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84" w:rsidRDefault="00FB5CA4">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华宝基金关于旗下部分基金新增国泰君安证券股份有限公司为代销机构的公告</w:t>
      </w:r>
    </w:p>
    <w:p w:rsidR="00863984" w:rsidRDefault="00FB5CA4">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）与国泰君安证券股份有限公司（以下简称</w:t>
      </w:r>
      <w:r>
        <w:rPr>
          <w:rFonts w:ascii="宋体" w:eastAsia="宋体" w:hAnsi="宋体" w:cs="宋体"/>
          <w:sz w:val="21"/>
          <w:szCs w:val="21"/>
        </w:rPr>
        <w:t>“</w:t>
      </w:r>
      <w:r>
        <w:rPr>
          <w:rFonts w:ascii="宋体" w:eastAsia="宋体" w:hAnsi="宋体" w:cs="宋体"/>
          <w:sz w:val="21"/>
          <w:szCs w:val="21"/>
        </w:rPr>
        <w:t>国泰君安证券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日起增加国泰君安证券为以下适用基金的代销机构。</w:t>
      </w:r>
      <w:r>
        <w:rPr>
          <w:rFonts w:ascii="宋体" w:eastAsia="宋体" w:hAnsi="宋体" w:cs="宋体"/>
          <w:sz w:val="21"/>
          <w:szCs w:val="21"/>
        </w:rPr>
        <w:t xml:space="preserve"> </w:t>
      </w:r>
    </w:p>
    <w:p w:rsidR="00863984" w:rsidRDefault="00FB5CA4">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b/>
                <w:bCs/>
                <w:color w:val="000000"/>
                <w:sz w:val="21"/>
                <w:szCs w:val="21"/>
              </w:rPr>
            </w:pPr>
            <w:r>
              <w:rPr>
                <w:rFonts w:ascii="宋体" w:eastAsia="宋体" w:hAnsi="宋体" w:cs="宋体"/>
                <w:b/>
                <w:bCs/>
                <w:color w:val="000000"/>
                <w:sz w:val="21"/>
                <w:szCs w:val="21"/>
              </w:rPr>
              <w:t>基金代码</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华宝生态中国混合型证券投资基金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016462</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华宝国策导向混合型证券投资基金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019108</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华宝事件驱动混合型证券投资基金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017995</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华宝万物互联灵活配置混合型证券投资基金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016463</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华宝新飞跃灵活配置混合型证券投资基金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004335</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华宝价值发现混合型证券投资基金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015614</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华宝大健康混合型证券投资基金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018529</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华宝绿色领先股票型证券投资基金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007590</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华宝成长策略混合型证券投资基金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021448</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华宝新兴成长混合型证券投资基金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017197</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华宝竞争优势混合型证券投资基金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019925</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011376</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021312</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华宝中证全指农牧渔指数型发起式证券投资基金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013471</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华宝中证全指农牧渔指数型发起式证券投资基金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013472</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013477</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013478</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华宝国证治理指数型发起式证券投资基金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013480</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华宝国证治理指数型发起式证券投资基金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013481</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华宝中证稀有金属主题指数增强型发起式证券投资基金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013942</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华宝中证稀有金属主题指数增强型发起式证券投资基金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013943</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华宝高端装备股票型发起式证券投资基金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016113</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华宝高端装备股票型发起式证券投资基金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016114</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华宝专精特新混合型发起式证券投资基金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016380</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华宝专精特新混合型发起式证券投资基金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016381</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华宝安融六个月持有期债券型证券投资基金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016806</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华宝安融六个月持有期债券型证券投资基金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016807</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华宝宝通</w:t>
            </w:r>
            <w:r>
              <w:rPr>
                <w:rFonts w:ascii="宋体" w:eastAsia="宋体" w:hAnsi="宋体" w:cs="宋体"/>
                <w:color w:val="000000"/>
                <w:sz w:val="21"/>
                <w:szCs w:val="21"/>
              </w:rPr>
              <w:t>30</w:t>
            </w:r>
            <w:r>
              <w:rPr>
                <w:rFonts w:ascii="宋体" w:eastAsia="宋体" w:hAnsi="宋体" w:cs="宋体"/>
                <w:color w:val="000000"/>
                <w:sz w:val="21"/>
                <w:szCs w:val="21"/>
              </w:rPr>
              <w:t>天持有期短债债券型证券投资基金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017100</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华宝宝通</w:t>
            </w:r>
            <w:r>
              <w:rPr>
                <w:rFonts w:ascii="宋体" w:eastAsia="宋体" w:hAnsi="宋体" w:cs="宋体"/>
                <w:color w:val="000000"/>
                <w:sz w:val="21"/>
                <w:szCs w:val="21"/>
              </w:rPr>
              <w:t>30</w:t>
            </w:r>
            <w:r>
              <w:rPr>
                <w:rFonts w:ascii="宋体" w:eastAsia="宋体" w:hAnsi="宋体" w:cs="宋体"/>
                <w:color w:val="000000"/>
                <w:sz w:val="21"/>
                <w:szCs w:val="21"/>
              </w:rPr>
              <w:t>天持有期短债债券型证券投资基金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017101</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华宝中证有色金属交易型开放式指数证券投资基金发起式联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017140</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华宝中证有色金属交易型开放式指数证券投资基金发起式联</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017141</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017436</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33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017437</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34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A50</w:t>
            </w:r>
            <w:r>
              <w:rPr>
                <w:rFonts w:ascii="宋体" w:eastAsia="宋体" w:hAnsi="宋体" w:cs="宋体"/>
                <w:color w:val="000000"/>
                <w:sz w:val="21"/>
                <w:szCs w:val="21"/>
              </w:rPr>
              <w:t>交易型开放式指数证券投资基金发起式联接</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021216</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A50</w:t>
            </w:r>
            <w:r>
              <w:rPr>
                <w:rFonts w:ascii="宋体" w:eastAsia="宋体" w:hAnsi="宋体" w:cs="宋体"/>
                <w:color w:val="000000"/>
                <w:sz w:val="21"/>
                <w:szCs w:val="21"/>
              </w:rPr>
              <w:t>交易型开放式指数证券投资基金发起式联接</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021217</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36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华宝动力组合混合型证券投资基金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016257</w:t>
            </w:r>
          </w:p>
        </w:tc>
      </w:tr>
      <w:tr w:rsidR="0086398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rPr>
                <w:color w:val="000000"/>
                <w:sz w:val="21"/>
                <w:szCs w:val="21"/>
              </w:rPr>
            </w:pPr>
            <w:r>
              <w:rPr>
                <w:rFonts w:ascii="宋体" w:eastAsia="宋体" w:hAnsi="宋体" w:cs="宋体"/>
                <w:color w:val="000000"/>
                <w:sz w:val="21"/>
                <w:szCs w:val="21"/>
              </w:rPr>
              <w:t>华宝医药生物优选混合型证券投资基金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63984" w:rsidRDefault="00FB5CA4">
            <w:pPr>
              <w:jc w:val="center"/>
              <w:rPr>
                <w:color w:val="000000"/>
                <w:sz w:val="21"/>
                <w:szCs w:val="21"/>
              </w:rPr>
            </w:pPr>
            <w:r>
              <w:rPr>
                <w:rFonts w:ascii="宋体" w:eastAsia="宋体" w:hAnsi="宋体" w:cs="宋体"/>
                <w:color w:val="000000"/>
                <w:sz w:val="21"/>
                <w:szCs w:val="21"/>
              </w:rPr>
              <w:t>019029</w:t>
            </w:r>
          </w:p>
        </w:tc>
      </w:tr>
    </w:tbl>
    <w:p w:rsidR="00863984" w:rsidRDefault="00FB5CA4">
      <w:pPr>
        <w:spacing w:before="210" w:after="210" w:line="560" w:lineRule="atLeast"/>
        <w:ind w:left="420"/>
        <w:rPr>
          <w:sz w:val="21"/>
          <w:szCs w:val="21"/>
        </w:rPr>
      </w:pPr>
      <w:r>
        <w:rPr>
          <w:rFonts w:ascii="宋体" w:eastAsia="宋体" w:hAnsi="宋体" w:cs="宋体"/>
          <w:sz w:val="21"/>
          <w:szCs w:val="21"/>
        </w:rPr>
        <w:t>二、投资者可到国泰君安证券办理上述基金的开户、认购、申赎及其他业务。投资者可以通过以下途径了解或咨询相关情况：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国泰君安证券股份有限公司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95521</w:t>
      </w:r>
      <w:r>
        <w:rPr>
          <w:rFonts w:ascii="宋体" w:eastAsia="宋体" w:hAnsi="宋体" w:cs="宋体"/>
          <w:sz w:val="21"/>
          <w:szCs w:val="21"/>
        </w:rPr>
        <w:t>或</w:t>
      </w:r>
      <w:r>
        <w:rPr>
          <w:rFonts w:ascii="宋体" w:eastAsia="宋体" w:hAnsi="宋体" w:cs="宋体"/>
          <w:sz w:val="21"/>
          <w:szCs w:val="21"/>
        </w:rPr>
        <w:t xml:space="preserve">4008888666 </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www.gtja.com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863984" w:rsidRDefault="00FB5CA4">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863984" w:rsidRDefault="00FB5CA4">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863984" w:rsidRDefault="00FB5CA4">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w:t>
      </w:r>
      <w:r>
        <w:rPr>
          <w:rFonts w:ascii="宋体" w:eastAsia="宋体" w:hAnsi="宋体" w:cs="宋体"/>
          <w:sz w:val="21"/>
          <w:szCs w:val="21"/>
        </w:rPr>
        <w:t xml:space="preserve"> </w:t>
      </w:r>
    </w:p>
    <w:p w:rsidR="00863984" w:rsidRDefault="00863984">
      <w:pPr>
        <w:spacing w:before="240" w:after="240"/>
      </w:pPr>
    </w:p>
    <w:sectPr w:rsidR="00863984" w:rsidSect="00863984">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984" w:rsidRDefault="00863984" w:rsidP="00863984">
      <w:r>
        <w:separator/>
      </w:r>
    </w:p>
  </w:endnote>
  <w:endnote w:type="continuationSeparator" w:id="0">
    <w:p w:rsidR="00863984" w:rsidRDefault="00863984" w:rsidP="00863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84" w:rsidRDefault="00863984">
    <w:pPr>
      <w:jc w:val="center"/>
      <w:rPr>
        <w:sz w:val="20"/>
      </w:rPr>
    </w:pPr>
    <w:r>
      <w:rPr>
        <w:sz w:val="20"/>
      </w:rPr>
      <w:fldChar w:fldCharType="begin"/>
    </w:r>
    <w:r w:rsidR="00FB5CA4">
      <w:rPr>
        <w:rFonts w:ascii="宋体" w:eastAsia="宋体" w:hAnsi="宋体" w:cs="宋体"/>
        <w:sz w:val="20"/>
      </w:rPr>
      <w:instrText>PAGE</w:instrText>
    </w:r>
    <w:r>
      <w:rPr>
        <w:sz w:val="20"/>
      </w:rPr>
      <w:fldChar w:fldCharType="separate"/>
    </w:r>
    <w:r w:rsidR="00FB5CA4">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984" w:rsidRDefault="00863984" w:rsidP="00863984">
      <w:r>
        <w:separator/>
      </w:r>
    </w:p>
  </w:footnote>
  <w:footnote w:type="continuationSeparator" w:id="0">
    <w:p w:rsidR="00863984" w:rsidRDefault="00863984" w:rsidP="008639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863984"/>
    <w:rsid w:val="00A77B3E"/>
    <w:rsid w:val="00CA2A55"/>
    <w:rsid w:val="00FB5C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984"/>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2024-12-16T16:01:00Z</dcterms:created>
  <dcterms:modified xsi:type="dcterms:W3CDTF">2024-12-16T16:01:00Z</dcterms:modified>
</cp:coreProperties>
</file>