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79" w:rsidRDefault="00C9505E">
      <w:pPr>
        <w:spacing w:line="360" w:lineRule="auto"/>
        <w:jc w:val="center"/>
        <w:rPr>
          <w:b/>
          <w:sz w:val="28"/>
          <w:szCs w:val="28"/>
        </w:rPr>
      </w:pPr>
      <w:r>
        <w:rPr>
          <w:rFonts w:hint="eastAsia"/>
          <w:b/>
          <w:sz w:val="28"/>
          <w:szCs w:val="28"/>
        </w:rPr>
        <w:t>富国首创水务封闭式基础设施证券投资基金</w:t>
      </w:r>
    </w:p>
    <w:p w:rsidR="004A2C79" w:rsidRDefault="00C9505E">
      <w:pPr>
        <w:spacing w:line="360" w:lineRule="auto"/>
        <w:jc w:val="center"/>
        <w:rPr>
          <w:b/>
          <w:sz w:val="28"/>
          <w:szCs w:val="28"/>
        </w:rPr>
      </w:pPr>
      <w:r>
        <w:rPr>
          <w:rFonts w:hint="eastAsia"/>
          <w:b/>
          <w:sz w:val="28"/>
          <w:szCs w:val="28"/>
        </w:rPr>
        <w:t>关于基础设施</w:t>
      </w:r>
      <w:r>
        <w:rPr>
          <w:b/>
          <w:sz w:val="28"/>
          <w:szCs w:val="28"/>
        </w:rPr>
        <w:t>项目签署特许权协议补充协议的公告</w:t>
      </w:r>
    </w:p>
    <w:p w:rsidR="004A2C79" w:rsidRDefault="004A2C79">
      <w:pPr>
        <w:spacing w:line="360" w:lineRule="auto"/>
        <w:rPr>
          <w:rFonts w:ascii="Times New Roman" w:hAnsi="Times New Roman" w:cs="Times New Roman"/>
          <w:b/>
          <w:sz w:val="28"/>
          <w:szCs w:val="28"/>
        </w:rPr>
      </w:pPr>
    </w:p>
    <w:p w:rsidR="004A2C79" w:rsidRPr="00C9505E" w:rsidRDefault="00C9505E">
      <w:pPr>
        <w:pStyle w:val="2"/>
        <w:rPr>
          <w:rStyle w:val="aa"/>
          <w:rFonts w:asciiTheme="minorEastAsia" w:eastAsiaTheme="minorEastAsia" w:hAnsiTheme="minorEastAsia"/>
          <w:b/>
          <w:bCs w:val="0"/>
          <w:color w:val="000000"/>
          <w:kern w:val="0"/>
          <w:sz w:val="22"/>
          <w:szCs w:val="24"/>
        </w:rPr>
      </w:pPr>
      <w:r w:rsidRPr="00C9505E">
        <w:rPr>
          <w:rStyle w:val="aa"/>
          <w:rFonts w:asciiTheme="minorEastAsia" w:eastAsiaTheme="minorEastAsia" w:hAnsiTheme="minorEastAsia" w:hint="eastAsia"/>
          <w:b/>
          <w:sz w:val="22"/>
          <w:szCs w:val="24"/>
        </w:rPr>
        <w:t>一、公募</w:t>
      </w:r>
      <w:r w:rsidRPr="00C9505E">
        <w:rPr>
          <w:rStyle w:val="aa"/>
          <w:rFonts w:asciiTheme="minorEastAsia" w:eastAsiaTheme="minorEastAsia" w:hAnsiTheme="minorEastAsia"/>
          <w:b/>
          <w:sz w:val="22"/>
          <w:szCs w:val="24"/>
        </w:rPr>
        <w:t>REITs</w:t>
      </w:r>
      <w:r w:rsidRPr="00C9505E">
        <w:rPr>
          <w:rStyle w:val="aa"/>
          <w:rFonts w:asciiTheme="minorEastAsia" w:eastAsiaTheme="minorEastAsia" w:hAnsiTheme="minorEastAsia" w:hint="eastAsia"/>
          <w:b/>
          <w:sz w:val="22"/>
          <w:szCs w:val="24"/>
        </w:rPr>
        <w:t>基本信息</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5670"/>
      </w:tblGrid>
      <w:tr w:rsidR="004A2C79" w:rsidRPr="00C9505E">
        <w:trPr>
          <w:trHeight w:val="349"/>
        </w:trPr>
        <w:tc>
          <w:tcPr>
            <w:tcW w:w="283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公募REITs名称</w:t>
            </w:r>
          </w:p>
        </w:tc>
        <w:tc>
          <w:tcPr>
            <w:tcW w:w="567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富国首创水务封闭式基础设施证券投资基金</w:t>
            </w:r>
          </w:p>
        </w:tc>
      </w:tr>
      <w:tr w:rsidR="004A2C79" w:rsidRPr="00C9505E">
        <w:trPr>
          <w:trHeight w:val="299"/>
        </w:trPr>
        <w:tc>
          <w:tcPr>
            <w:tcW w:w="283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公募REITs简称</w:t>
            </w:r>
          </w:p>
        </w:tc>
        <w:tc>
          <w:tcPr>
            <w:tcW w:w="567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富国首创水务REIT</w:t>
            </w:r>
          </w:p>
        </w:tc>
      </w:tr>
      <w:tr w:rsidR="004A2C79" w:rsidRPr="00C9505E">
        <w:trPr>
          <w:trHeight w:val="391"/>
        </w:trPr>
        <w:tc>
          <w:tcPr>
            <w:tcW w:w="283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公募REITs代码</w:t>
            </w:r>
          </w:p>
        </w:tc>
        <w:tc>
          <w:tcPr>
            <w:tcW w:w="567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508006</w:t>
            </w:r>
          </w:p>
        </w:tc>
      </w:tr>
      <w:tr w:rsidR="004A2C79" w:rsidRPr="00C9505E">
        <w:trPr>
          <w:trHeight w:val="391"/>
        </w:trPr>
        <w:tc>
          <w:tcPr>
            <w:tcW w:w="283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公募REITs合同生效日</w:t>
            </w:r>
          </w:p>
        </w:tc>
        <w:tc>
          <w:tcPr>
            <w:tcW w:w="567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2021年6月7日</w:t>
            </w:r>
          </w:p>
        </w:tc>
      </w:tr>
      <w:tr w:rsidR="004A2C79" w:rsidRPr="00C9505E">
        <w:tc>
          <w:tcPr>
            <w:tcW w:w="283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基金管理人名称</w:t>
            </w:r>
          </w:p>
        </w:tc>
        <w:tc>
          <w:tcPr>
            <w:tcW w:w="567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富国基金管理有限公司</w:t>
            </w:r>
          </w:p>
        </w:tc>
      </w:tr>
      <w:tr w:rsidR="004A2C79" w:rsidRPr="00C9505E">
        <w:trPr>
          <w:trHeight w:val="418"/>
        </w:trPr>
        <w:tc>
          <w:tcPr>
            <w:tcW w:w="283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基金托管人名称</w:t>
            </w:r>
          </w:p>
        </w:tc>
        <w:tc>
          <w:tcPr>
            <w:tcW w:w="567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招商银行股份有限公司</w:t>
            </w:r>
          </w:p>
        </w:tc>
      </w:tr>
      <w:tr w:rsidR="004A2C79" w:rsidRPr="00C9505E">
        <w:trPr>
          <w:trHeight w:val="300"/>
        </w:trPr>
        <w:tc>
          <w:tcPr>
            <w:tcW w:w="2830" w:type="dxa"/>
            <w:vAlign w:val="center"/>
          </w:tcPr>
          <w:p w:rsidR="004A2C79" w:rsidRPr="00C9505E" w:rsidRDefault="00C9505E">
            <w:pPr>
              <w:pStyle w:val="a7"/>
              <w:snapToGrid w:val="0"/>
              <w:spacing w:before="0" w:beforeAutospacing="0" w:after="0" w:afterAutospacing="0"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公告依据</w:t>
            </w:r>
          </w:p>
        </w:tc>
        <w:tc>
          <w:tcPr>
            <w:tcW w:w="5670" w:type="dxa"/>
            <w:vAlign w:val="center"/>
          </w:tcPr>
          <w:p w:rsidR="004A2C79" w:rsidRPr="00C9505E" w:rsidRDefault="00C9505E">
            <w:pPr>
              <w:pStyle w:val="a7"/>
              <w:snapToGrid w:val="0"/>
              <w:spacing w:line="240" w:lineRule="auto"/>
              <w:ind w:firstLineChars="0" w:firstLine="0"/>
              <w:jc w:val="both"/>
              <w:rPr>
                <w:rFonts w:asciiTheme="minorEastAsia" w:eastAsiaTheme="minorEastAsia" w:hAnsiTheme="minorEastAsia" w:cs="Times New Roman"/>
                <w:sz w:val="22"/>
              </w:rPr>
            </w:pPr>
            <w:r w:rsidRPr="00C9505E">
              <w:rPr>
                <w:rFonts w:asciiTheme="minorEastAsia" w:eastAsiaTheme="minorEastAsia" w:hAnsiTheme="minorEastAsia" w:cs="Times New Roman"/>
                <w:sz w:val="22"/>
              </w:rPr>
              <w:t>《中华人民共和国证券投资基金法》及配套法规、《公开募集基础设施证券投资基金指引（试行）》、《上海证券交易所公开募集基础设施证券投资基金（REITs）业务办法（试行）》、《上海证券交易所公开募集基础设施证券投资基金（REITs）规则适用指引第5号——临时报告（试行）》以及《富国首创水务封闭式基础设施证券投资基金基金合同》、《富国首创水务封闭式基础设施证券投资基金招募说明书》及其更新（以下简称“《招募说明书》”）等</w:t>
            </w:r>
          </w:p>
        </w:tc>
      </w:tr>
    </w:tbl>
    <w:p w:rsidR="004A2C79" w:rsidRPr="00C9505E" w:rsidRDefault="004A2C79">
      <w:pPr>
        <w:spacing w:line="360" w:lineRule="auto"/>
        <w:ind w:firstLineChars="200" w:firstLine="442"/>
        <w:jc w:val="left"/>
        <w:rPr>
          <w:rFonts w:asciiTheme="minorEastAsia" w:hAnsiTheme="minorEastAsia"/>
          <w:b/>
          <w:bCs/>
          <w:sz w:val="22"/>
        </w:rPr>
      </w:pPr>
    </w:p>
    <w:p w:rsidR="004A2C79" w:rsidRPr="00C9505E" w:rsidRDefault="00C9505E">
      <w:pPr>
        <w:pStyle w:val="2"/>
        <w:rPr>
          <w:rStyle w:val="aa"/>
          <w:rFonts w:asciiTheme="minorEastAsia" w:eastAsiaTheme="minorEastAsia" w:hAnsiTheme="minorEastAsia"/>
          <w:b/>
          <w:bCs w:val="0"/>
          <w:color w:val="000000"/>
          <w:kern w:val="0"/>
          <w:sz w:val="22"/>
          <w:szCs w:val="24"/>
        </w:rPr>
      </w:pPr>
      <w:r w:rsidRPr="00C9505E">
        <w:rPr>
          <w:rStyle w:val="aa"/>
          <w:rFonts w:asciiTheme="minorEastAsia" w:eastAsiaTheme="minorEastAsia" w:hAnsiTheme="minorEastAsia" w:hint="eastAsia"/>
          <w:b/>
          <w:sz w:val="22"/>
          <w:szCs w:val="24"/>
        </w:rPr>
        <w:t>二、基础设施项目基本情况</w:t>
      </w:r>
    </w:p>
    <w:p w:rsidR="004A2C79" w:rsidRPr="00C9505E" w:rsidRDefault="00C9505E">
      <w:pPr>
        <w:spacing w:line="360" w:lineRule="auto"/>
        <w:ind w:firstLine="480"/>
        <w:rPr>
          <w:rFonts w:asciiTheme="minorEastAsia" w:hAnsiTheme="minorEastAsia"/>
          <w:sz w:val="22"/>
          <w:szCs w:val="24"/>
        </w:rPr>
      </w:pPr>
      <w:r w:rsidRPr="00C9505E">
        <w:rPr>
          <w:rFonts w:asciiTheme="minorEastAsia" w:hAnsiTheme="minorEastAsia"/>
          <w:sz w:val="22"/>
          <w:szCs w:val="24"/>
        </w:rPr>
        <w:t>本</w:t>
      </w:r>
      <w:r w:rsidRPr="00C9505E">
        <w:rPr>
          <w:rFonts w:asciiTheme="minorEastAsia" w:hAnsiTheme="minorEastAsia" w:hint="eastAsia"/>
          <w:sz w:val="22"/>
          <w:szCs w:val="24"/>
        </w:rPr>
        <w:t>事项</w:t>
      </w:r>
      <w:r w:rsidRPr="00C9505E">
        <w:rPr>
          <w:rFonts w:asciiTheme="minorEastAsia" w:hAnsiTheme="minorEastAsia"/>
          <w:sz w:val="22"/>
          <w:szCs w:val="24"/>
        </w:rPr>
        <w:t>涉及基础设施项目为位于</w:t>
      </w:r>
      <w:r w:rsidRPr="00C9505E">
        <w:rPr>
          <w:rFonts w:asciiTheme="minorEastAsia" w:hAnsiTheme="minorEastAsia" w:hint="eastAsia"/>
          <w:sz w:val="22"/>
          <w:szCs w:val="24"/>
        </w:rPr>
        <w:t>安徽省合肥市包河区的合肥市十五里河污水处理厂PPP项目（简称“合肥项目”），属于污水处理类市政基础设施项目。项目公司为合肥十五里河首创水务有限责任公司（简称“合肥首创”</w:t>
      </w:r>
      <w:r w:rsidRPr="00C9505E">
        <w:rPr>
          <w:rFonts w:asciiTheme="minorEastAsia" w:hAnsiTheme="minorEastAsia"/>
          <w:sz w:val="22"/>
          <w:szCs w:val="24"/>
        </w:rPr>
        <w:t>）</w:t>
      </w:r>
      <w:r w:rsidRPr="00C9505E">
        <w:rPr>
          <w:rFonts w:asciiTheme="minorEastAsia" w:hAnsiTheme="minorEastAsia" w:hint="eastAsia"/>
          <w:sz w:val="22"/>
          <w:szCs w:val="24"/>
        </w:rPr>
        <w:t>。项目运营管理机构为北京首创生态环保集团股份有限公司。合肥项目采取特许经营权的方式，合肥首创通过BOT/TOT方式与合肥市城乡建设局签订《特许权协议》及相关补充协议（以下简称“原协议”），获得项目的特许经营权。原协议中约定处理水量、单价、付费方式、付费周期、调价机制等，由政府方根据协议约定向合肥首创支付污水处理服务费，合肥首创承担污水处理厂的融资建设和运营维护责任。</w:t>
      </w:r>
    </w:p>
    <w:p w:rsidR="004A2C79" w:rsidRPr="00C9505E" w:rsidRDefault="004A2C79">
      <w:pPr>
        <w:spacing w:line="360" w:lineRule="auto"/>
        <w:ind w:firstLine="480"/>
        <w:rPr>
          <w:rFonts w:asciiTheme="minorEastAsia" w:hAnsiTheme="minorEastAsia"/>
          <w:sz w:val="22"/>
          <w:szCs w:val="24"/>
        </w:rPr>
      </w:pPr>
    </w:p>
    <w:p w:rsidR="004A2C79" w:rsidRPr="00C9505E" w:rsidRDefault="00C9505E">
      <w:pPr>
        <w:pStyle w:val="2"/>
        <w:rPr>
          <w:rStyle w:val="aa"/>
          <w:rFonts w:asciiTheme="minorEastAsia" w:eastAsiaTheme="minorEastAsia" w:hAnsiTheme="minorEastAsia"/>
          <w:b/>
          <w:sz w:val="22"/>
        </w:rPr>
      </w:pPr>
      <w:r w:rsidRPr="00C9505E">
        <w:rPr>
          <w:rStyle w:val="aa"/>
          <w:rFonts w:asciiTheme="minorEastAsia" w:eastAsiaTheme="minorEastAsia" w:hAnsiTheme="minorEastAsia"/>
          <w:b/>
          <w:sz w:val="22"/>
        </w:rPr>
        <w:t>三、合肥项目</w:t>
      </w:r>
      <w:r w:rsidRPr="00C9505E">
        <w:rPr>
          <w:rStyle w:val="aa"/>
          <w:rFonts w:asciiTheme="minorEastAsia" w:eastAsiaTheme="minorEastAsia" w:hAnsiTheme="minorEastAsia" w:hint="eastAsia"/>
          <w:b/>
          <w:sz w:val="22"/>
        </w:rPr>
        <w:t>签署特许权协议补充协议的原因、依据和具体内容</w:t>
      </w:r>
    </w:p>
    <w:p w:rsidR="004A2C79" w:rsidRPr="00C9505E" w:rsidRDefault="00C9505E">
      <w:pPr>
        <w:spacing w:line="360" w:lineRule="auto"/>
        <w:ind w:firstLine="480"/>
        <w:rPr>
          <w:rFonts w:asciiTheme="minorEastAsia" w:hAnsiTheme="minorEastAsia"/>
          <w:sz w:val="22"/>
          <w:szCs w:val="24"/>
        </w:rPr>
      </w:pPr>
      <w:r w:rsidRPr="00C9505E">
        <w:rPr>
          <w:rFonts w:asciiTheme="minorEastAsia" w:hAnsiTheme="minorEastAsia"/>
          <w:sz w:val="22"/>
          <w:szCs w:val="24"/>
        </w:rPr>
        <w:t>根据</w:t>
      </w:r>
      <w:r w:rsidRPr="00C9505E">
        <w:rPr>
          <w:rFonts w:asciiTheme="minorEastAsia" w:hAnsiTheme="minorEastAsia" w:hint="eastAsia"/>
          <w:sz w:val="22"/>
          <w:szCs w:val="24"/>
        </w:rPr>
        <w:t>合肥市委编办《关于水务一体化改革机构编制事项调整的通知》</w:t>
      </w:r>
      <w:r w:rsidR="00F56010">
        <w:rPr>
          <w:rFonts w:asciiTheme="minorEastAsia" w:hAnsiTheme="minorEastAsia" w:hint="eastAsia"/>
          <w:sz w:val="22"/>
          <w:szCs w:val="24"/>
        </w:rPr>
        <w:t>（</w:t>
      </w:r>
      <w:r w:rsidRPr="00C9505E">
        <w:rPr>
          <w:rFonts w:asciiTheme="minorEastAsia" w:hAnsiTheme="minorEastAsia" w:hint="eastAsia"/>
          <w:sz w:val="22"/>
          <w:szCs w:val="24"/>
        </w:rPr>
        <w:t>合编办〔2024</w:t>
      </w:r>
      <w:r w:rsidR="00F56010" w:rsidRPr="00F56010">
        <w:rPr>
          <w:rFonts w:asciiTheme="minorEastAsia" w:hAnsiTheme="minorEastAsia" w:hint="eastAsia"/>
          <w:sz w:val="22"/>
          <w:szCs w:val="24"/>
        </w:rPr>
        <w:t>〕</w:t>
      </w:r>
      <w:r w:rsidRPr="00C9505E">
        <w:rPr>
          <w:rFonts w:asciiTheme="minorEastAsia" w:hAnsiTheme="minorEastAsia" w:hint="eastAsia"/>
          <w:sz w:val="22"/>
          <w:szCs w:val="24"/>
        </w:rPr>
        <w:t>40号</w:t>
      </w:r>
      <w:r w:rsidR="00F56010">
        <w:rPr>
          <w:rFonts w:asciiTheme="minorEastAsia" w:hAnsiTheme="minorEastAsia" w:hint="eastAsia"/>
          <w:sz w:val="22"/>
          <w:szCs w:val="24"/>
        </w:rPr>
        <w:t>）</w:t>
      </w:r>
      <w:r w:rsidRPr="00C9505E">
        <w:rPr>
          <w:rFonts w:asciiTheme="minorEastAsia" w:hAnsiTheme="minorEastAsia" w:hint="eastAsia"/>
          <w:sz w:val="22"/>
          <w:szCs w:val="24"/>
        </w:rPr>
        <w:t>，明确将合肥市城乡建设局排水、污</w:t>
      </w:r>
      <w:bookmarkStart w:id="0" w:name="_GoBack"/>
      <w:bookmarkEnd w:id="0"/>
      <w:r w:rsidRPr="00C9505E">
        <w:rPr>
          <w:rFonts w:asciiTheme="minorEastAsia" w:hAnsiTheme="minorEastAsia" w:hint="eastAsia"/>
          <w:sz w:val="22"/>
          <w:szCs w:val="24"/>
        </w:rPr>
        <w:t>水处理等职责划入合肥市水务局。为保证项</w:t>
      </w:r>
      <w:r w:rsidRPr="00C9505E">
        <w:rPr>
          <w:rFonts w:asciiTheme="minorEastAsia" w:hAnsiTheme="minorEastAsia" w:hint="eastAsia"/>
          <w:sz w:val="22"/>
          <w:szCs w:val="24"/>
        </w:rPr>
        <w:lastRenderedPageBreak/>
        <w:t>目稳定运营，经合肥市城乡建设局、合肥市水务局、合肥首创三方协商，就合肥项目原协议签署补充协议。</w:t>
      </w:r>
    </w:p>
    <w:p w:rsidR="004A2C79" w:rsidRPr="00C9505E" w:rsidRDefault="00C9505E">
      <w:pPr>
        <w:spacing w:line="360" w:lineRule="auto"/>
        <w:ind w:firstLine="480"/>
        <w:rPr>
          <w:rFonts w:asciiTheme="minorEastAsia" w:hAnsiTheme="minorEastAsia"/>
          <w:sz w:val="22"/>
          <w:szCs w:val="24"/>
        </w:rPr>
      </w:pPr>
      <w:r w:rsidRPr="00C9505E">
        <w:rPr>
          <w:rFonts w:asciiTheme="minorEastAsia" w:hAnsiTheme="minorEastAsia"/>
          <w:sz w:val="22"/>
          <w:szCs w:val="24"/>
        </w:rPr>
        <w:t>本补充协议签署内容</w:t>
      </w:r>
      <w:r w:rsidRPr="00C9505E">
        <w:rPr>
          <w:rFonts w:asciiTheme="minorEastAsia" w:hAnsiTheme="minorEastAsia" w:hint="eastAsia"/>
          <w:sz w:val="22"/>
          <w:szCs w:val="24"/>
        </w:rPr>
        <w:t>系本项目政府方主体资格变更，由合肥市城乡建设局将原协议项下全部权利和义务转让至合肥市水务局统一管理，合肥市水务局继承原协议项下全部权利和义务。同时，合肥市城乡建设局在原协议项下全部权利和义务终止。</w:t>
      </w:r>
    </w:p>
    <w:p w:rsidR="004A2C79" w:rsidRPr="00C9505E" w:rsidRDefault="00C9505E">
      <w:pPr>
        <w:spacing w:line="360" w:lineRule="auto"/>
        <w:ind w:firstLine="480"/>
        <w:rPr>
          <w:rStyle w:val="ab"/>
          <w:rFonts w:asciiTheme="minorEastAsia" w:hAnsiTheme="minorEastAsia"/>
          <w:sz w:val="20"/>
        </w:rPr>
      </w:pPr>
      <w:r w:rsidRPr="00C9505E">
        <w:rPr>
          <w:rFonts w:asciiTheme="minorEastAsia" w:hAnsiTheme="minorEastAsia"/>
          <w:sz w:val="22"/>
          <w:szCs w:val="24"/>
        </w:rPr>
        <w:t>上述各方于</w:t>
      </w:r>
      <w:r w:rsidRPr="00C9505E">
        <w:rPr>
          <w:rFonts w:asciiTheme="minorEastAsia" w:hAnsiTheme="minorEastAsia" w:hint="eastAsia"/>
          <w:sz w:val="22"/>
          <w:szCs w:val="24"/>
        </w:rPr>
        <w:t>2</w:t>
      </w:r>
      <w:r w:rsidRPr="00C9505E">
        <w:rPr>
          <w:rFonts w:asciiTheme="minorEastAsia" w:hAnsiTheme="minorEastAsia"/>
          <w:sz w:val="22"/>
          <w:szCs w:val="24"/>
        </w:rPr>
        <w:t>024年11月就本补充协议内容达成一致，并于</w:t>
      </w:r>
      <w:r w:rsidRPr="00C9505E">
        <w:rPr>
          <w:rFonts w:asciiTheme="minorEastAsia" w:hAnsiTheme="minorEastAsia" w:hint="eastAsia"/>
          <w:sz w:val="22"/>
          <w:szCs w:val="24"/>
        </w:rPr>
        <w:t>2</w:t>
      </w:r>
      <w:r w:rsidRPr="00C9505E">
        <w:rPr>
          <w:rFonts w:asciiTheme="minorEastAsia" w:hAnsiTheme="minorEastAsia"/>
          <w:sz w:val="22"/>
          <w:szCs w:val="24"/>
        </w:rPr>
        <w:t>024年</w:t>
      </w:r>
      <w:r w:rsidRPr="00C9505E">
        <w:rPr>
          <w:rFonts w:asciiTheme="minorEastAsia" w:hAnsiTheme="minorEastAsia" w:hint="eastAsia"/>
          <w:sz w:val="22"/>
          <w:szCs w:val="24"/>
        </w:rPr>
        <w:t>1</w:t>
      </w:r>
      <w:r w:rsidRPr="00C9505E">
        <w:rPr>
          <w:rFonts w:asciiTheme="minorEastAsia" w:hAnsiTheme="minorEastAsia"/>
          <w:sz w:val="22"/>
          <w:szCs w:val="24"/>
        </w:rPr>
        <w:t>2月</w:t>
      </w:r>
      <w:r w:rsidRPr="00C9505E">
        <w:rPr>
          <w:rFonts w:asciiTheme="minorEastAsia" w:hAnsiTheme="minorEastAsia" w:hint="eastAsia"/>
          <w:sz w:val="22"/>
          <w:szCs w:val="24"/>
        </w:rPr>
        <w:t>1</w:t>
      </w:r>
      <w:r w:rsidRPr="00C9505E">
        <w:rPr>
          <w:rFonts w:asciiTheme="minorEastAsia" w:hAnsiTheme="minorEastAsia"/>
          <w:sz w:val="22"/>
          <w:szCs w:val="24"/>
        </w:rPr>
        <w:t>1日</w:t>
      </w:r>
      <w:r w:rsidRPr="00C9505E">
        <w:rPr>
          <w:rFonts w:asciiTheme="minorEastAsia" w:hAnsiTheme="minorEastAsia" w:hint="eastAsia"/>
          <w:sz w:val="22"/>
          <w:szCs w:val="24"/>
        </w:rPr>
        <w:t>签署完成</w:t>
      </w:r>
      <w:r w:rsidRPr="00C9505E">
        <w:rPr>
          <w:rFonts w:asciiTheme="minorEastAsia" w:hAnsiTheme="minorEastAsia"/>
          <w:sz w:val="22"/>
          <w:szCs w:val="24"/>
        </w:rPr>
        <w:t>。</w:t>
      </w:r>
    </w:p>
    <w:p w:rsidR="004A2C79" w:rsidRPr="00C9505E" w:rsidRDefault="004A2C79">
      <w:pPr>
        <w:spacing w:line="360" w:lineRule="auto"/>
        <w:ind w:firstLine="480"/>
        <w:rPr>
          <w:rStyle w:val="ab"/>
          <w:rFonts w:asciiTheme="minorEastAsia" w:hAnsiTheme="minorEastAsia"/>
          <w:sz w:val="20"/>
        </w:rPr>
      </w:pPr>
    </w:p>
    <w:p w:rsidR="004A2C79" w:rsidRPr="00C9505E" w:rsidRDefault="00C9505E">
      <w:pPr>
        <w:pStyle w:val="2"/>
        <w:rPr>
          <w:rStyle w:val="aa"/>
          <w:rFonts w:asciiTheme="minorEastAsia" w:eastAsiaTheme="minorEastAsia" w:hAnsiTheme="minorEastAsia"/>
          <w:b/>
          <w:sz w:val="22"/>
        </w:rPr>
      </w:pPr>
      <w:r w:rsidRPr="00C9505E">
        <w:rPr>
          <w:rStyle w:val="aa"/>
          <w:rFonts w:asciiTheme="minorEastAsia" w:eastAsiaTheme="minorEastAsia" w:hAnsiTheme="minorEastAsia"/>
          <w:b/>
          <w:sz w:val="22"/>
        </w:rPr>
        <w:t>四、</w:t>
      </w:r>
      <w:r w:rsidRPr="00C9505E">
        <w:rPr>
          <w:rStyle w:val="aa"/>
          <w:rFonts w:asciiTheme="minorEastAsia" w:eastAsiaTheme="minorEastAsia" w:hAnsiTheme="minorEastAsia" w:hint="eastAsia"/>
          <w:b/>
          <w:sz w:val="22"/>
        </w:rPr>
        <w:t>有权决策机构的决策情况</w:t>
      </w:r>
    </w:p>
    <w:p w:rsidR="004A2C79" w:rsidRPr="00C9505E" w:rsidRDefault="00C9505E">
      <w:pPr>
        <w:spacing w:line="360" w:lineRule="auto"/>
        <w:ind w:firstLineChars="200" w:firstLine="440"/>
        <w:rPr>
          <w:rFonts w:asciiTheme="minorEastAsia" w:hAnsiTheme="minorEastAsia"/>
          <w:sz w:val="22"/>
          <w:szCs w:val="24"/>
        </w:rPr>
      </w:pPr>
      <w:r w:rsidRPr="00C9505E">
        <w:rPr>
          <w:rFonts w:asciiTheme="minorEastAsia" w:hAnsiTheme="minorEastAsia" w:hint="eastAsia"/>
          <w:sz w:val="22"/>
          <w:szCs w:val="24"/>
        </w:rPr>
        <w:t>本次合肥项目签署补充协议事项已根据政府方及项目公司制度规定履行了适当审批。</w:t>
      </w:r>
    </w:p>
    <w:p w:rsidR="004A2C79" w:rsidRPr="00C9505E" w:rsidRDefault="004A2C79">
      <w:pPr>
        <w:spacing w:line="360" w:lineRule="auto"/>
        <w:rPr>
          <w:rFonts w:asciiTheme="minorEastAsia" w:hAnsiTheme="minorEastAsia"/>
          <w:sz w:val="20"/>
        </w:rPr>
      </w:pPr>
    </w:p>
    <w:p w:rsidR="004A2C79" w:rsidRPr="00C9505E" w:rsidRDefault="00C9505E">
      <w:pPr>
        <w:pStyle w:val="2"/>
        <w:rPr>
          <w:rStyle w:val="aa"/>
          <w:rFonts w:asciiTheme="minorEastAsia" w:eastAsiaTheme="minorEastAsia" w:hAnsiTheme="minorEastAsia"/>
          <w:b/>
          <w:sz w:val="22"/>
        </w:rPr>
      </w:pPr>
      <w:r w:rsidRPr="00C9505E">
        <w:rPr>
          <w:rStyle w:val="aa"/>
          <w:rFonts w:asciiTheme="minorEastAsia" w:eastAsiaTheme="minorEastAsia" w:hAnsiTheme="minorEastAsia" w:hint="eastAsia"/>
          <w:b/>
          <w:sz w:val="22"/>
          <w:szCs w:val="24"/>
        </w:rPr>
        <w:t>五、对基础设施项目运营情况、经营业绩、现金流和基金份额持有人权益的影响</w:t>
      </w:r>
      <w:r w:rsidRPr="00C9505E">
        <w:rPr>
          <w:rStyle w:val="aa"/>
          <w:rFonts w:asciiTheme="minorEastAsia" w:eastAsiaTheme="minorEastAsia" w:hAnsiTheme="minorEastAsia" w:hint="eastAsia"/>
          <w:b/>
          <w:sz w:val="22"/>
        </w:rPr>
        <w:t>分析</w:t>
      </w:r>
    </w:p>
    <w:p w:rsidR="004A2C79" w:rsidRPr="00C9505E" w:rsidRDefault="00C9505E">
      <w:pPr>
        <w:spacing w:line="360" w:lineRule="auto"/>
        <w:ind w:firstLineChars="200" w:firstLine="440"/>
        <w:rPr>
          <w:rFonts w:asciiTheme="minorEastAsia" w:hAnsiTheme="minorEastAsia"/>
          <w:sz w:val="22"/>
          <w:szCs w:val="24"/>
        </w:rPr>
      </w:pPr>
      <w:r w:rsidRPr="00C9505E">
        <w:rPr>
          <w:rFonts w:asciiTheme="minorEastAsia" w:hAnsiTheme="minorEastAsia" w:hint="eastAsia"/>
          <w:sz w:val="22"/>
          <w:szCs w:val="24"/>
        </w:rPr>
        <w:t>本次合肥项目签署补充协议事项不涉及</w:t>
      </w:r>
      <w:r w:rsidR="006E0B0C">
        <w:rPr>
          <w:rFonts w:asciiTheme="minorEastAsia" w:hAnsiTheme="minorEastAsia" w:hint="eastAsia"/>
          <w:sz w:val="22"/>
          <w:szCs w:val="24"/>
        </w:rPr>
        <w:t>对</w:t>
      </w:r>
      <w:r w:rsidR="006E0B0C" w:rsidRPr="006E0B0C">
        <w:rPr>
          <w:rFonts w:asciiTheme="minorEastAsia" w:hAnsiTheme="minorEastAsia" w:hint="eastAsia"/>
          <w:sz w:val="22"/>
          <w:szCs w:val="24"/>
        </w:rPr>
        <w:t>约定处理水量、单价、付费方式、付费周期、调价机制等</w:t>
      </w:r>
      <w:r w:rsidR="006E0B0C">
        <w:rPr>
          <w:rFonts w:asciiTheme="minorEastAsia" w:hAnsiTheme="minorEastAsia" w:hint="eastAsia"/>
          <w:sz w:val="22"/>
          <w:szCs w:val="24"/>
        </w:rPr>
        <w:t>的改变，</w:t>
      </w:r>
      <w:r w:rsidRPr="00C9505E">
        <w:rPr>
          <w:rFonts w:asciiTheme="minorEastAsia" w:hAnsiTheme="minorEastAsia" w:hint="eastAsia"/>
          <w:sz w:val="22"/>
          <w:szCs w:val="24"/>
        </w:rPr>
        <w:t>基础设施项目运营管理和现金流</w:t>
      </w:r>
      <w:r w:rsidR="006E0B0C">
        <w:rPr>
          <w:rFonts w:asciiTheme="minorEastAsia" w:hAnsiTheme="minorEastAsia" w:hint="eastAsia"/>
          <w:sz w:val="22"/>
          <w:szCs w:val="24"/>
        </w:rPr>
        <w:t>均无变化，</w:t>
      </w:r>
      <w:r w:rsidRPr="00C9505E">
        <w:rPr>
          <w:rFonts w:asciiTheme="minorEastAsia" w:hAnsiTheme="minorEastAsia" w:hint="eastAsia"/>
          <w:sz w:val="22"/>
          <w:szCs w:val="24"/>
        </w:rPr>
        <w:t>对基金份额持有人的权益无实质性不利影响。</w:t>
      </w:r>
    </w:p>
    <w:p w:rsidR="004A2C79" w:rsidRPr="00C9505E" w:rsidRDefault="004A2C79">
      <w:pPr>
        <w:spacing w:line="360" w:lineRule="auto"/>
        <w:rPr>
          <w:rFonts w:asciiTheme="minorEastAsia" w:hAnsiTheme="minorEastAsia"/>
          <w:sz w:val="22"/>
          <w:szCs w:val="24"/>
        </w:rPr>
      </w:pPr>
    </w:p>
    <w:p w:rsidR="004A2C79" w:rsidRPr="00C9505E" w:rsidRDefault="00C9505E">
      <w:pPr>
        <w:pStyle w:val="2"/>
        <w:rPr>
          <w:rStyle w:val="aa"/>
          <w:rFonts w:asciiTheme="minorEastAsia" w:eastAsiaTheme="minorEastAsia" w:hAnsiTheme="minorEastAsia"/>
          <w:b/>
          <w:sz w:val="22"/>
        </w:rPr>
      </w:pPr>
      <w:r w:rsidRPr="00C9505E">
        <w:rPr>
          <w:rStyle w:val="aa"/>
          <w:rFonts w:asciiTheme="minorEastAsia" w:eastAsiaTheme="minorEastAsia" w:hAnsiTheme="minorEastAsia" w:hint="eastAsia"/>
          <w:b/>
          <w:sz w:val="22"/>
        </w:rPr>
        <w:t>六、相关机构联系方式</w:t>
      </w:r>
    </w:p>
    <w:p w:rsidR="004A2C79" w:rsidRPr="00C9505E" w:rsidRDefault="00C9505E">
      <w:pPr>
        <w:spacing w:line="360" w:lineRule="auto"/>
        <w:ind w:firstLineChars="200" w:firstLine="440"/>
        <w:rPr>
          <w:rFonts w:asciiTheme="minorEastAsia" w:hAnsiTheme="minorEastAsia"/>
          <w:sz w:val="22"/>
          <w:szCs w:val="24"/>
        </w:rPr>
      </w:pPr>
      <w:r w:rsidRPr="00C9505E">
        <w:rPr>
          <w:rFonts w:asciiTheme="minorEastAsia" w:hAnsiTheme="minorEastAsia" w:hint="eastAsia"/>
          <w:sz w:val="22"/>
          <w:szCs w:val="24"/>
        </w:rPr>
        <w:t>投资者可拨打富国基金管理有限公司客户服务电话（4008-880-688）或通过富国基金管理有限公司官网（http://www.fullgoal.com.cn/）咨询有关详情。</w:t>
      </w:r>
    </w:p>
    <w:p w:rsidR="004A2C79" w:rsidRPr="00C9505E" w:rsidRDefault="004A2C79">
      <w:pPr>
        <w:spacing w:line="360" w:lineRule="auto"/>
        <w:rPr>
          <w:rFonts w:asciiTheme="minorEastAsia" w:hAnsiTheme="minorEastAsia"/>
          <w:sz w:val="22"/>
          <w:szCs w:val="24"/>
        </w:rPr>
      </w:pPr>
    </w:p>
    <w:p w:rsidR="004A2C79" w:rsidRPr="00C9505E" w:rsidRDefault="00C9505E">
      <w:pPr>
        <w:pStyle w:val="2"/>
        <w:rPr>
          <w:rStyle w:val="aa"/>
          <w:rFonts w:asciiTheme="minorEastAsia" w:eastAsiaTheme="minorEastAsia" w:hAnsiTheme="minorEastAsia"/>
          <w:b/>
          <w:sz w:val="22"/>
        </w:rPr>
      </w:pPr>
      <w:r w:rsidRPr="00C9505E">
        <w:rPr>
          <w:rStyle w:val="aa"/>
          <w:rFonts w:asciiTheme="minorEastAsia" w:eastAsiaTheme="minorEastAsia" w:hAnsiTheme="minorEastAsia" w:hint="eastAsia"/>
          <w:b/>
          <w:sz w:val="22"/>
        </w:rPr>
        <w:t>七、风险提示</w:t>
      </w:r>
    </w:p>
    <w:p w:rsidR="004A2C79" w:rsidRPr="00C9505E" w:rsidRDefault="00C9505E">
      <w:pPr>
        <w:spacing w:line="360" w:lineRule="auto"/>
        <w:ind w:firstLineChars="200" w:firstLine="440"/>
        <w:rPr>
          <w:rFonts w:asciiTheme="minorEastAsia" w:hAnsiTheme="minorEastAsia"/>
          <w:sz w:val="22"/>
          <w:szCs w:val="24"/>
        </w:rPr>
      </w:pPr>
      <w:r w:rsidRPr="00C9505E">
        <w:rPr>
          <w:rFonts w:asciiTheme="minorEastAsia" w:hAnsiTheme="minorEastAsia" w:hint="eastAsia"/>
          <w:sz w:val="22"/>
          <w:szCs w:val="24"/>
        </w:rPr>
        <w:t>基金管理人承诺以诚实信用、勤勉尽责的原则管理和运用基金资产，但不保证基金一定盈利，也不保证最低收益。投资者投资于本基金时应认真阅读本基金的基金合同和最新的招募说明书。敬请投资者注意投资风险。</w:t>
      </w:r>
    </w:p>
    <w:p w:rsidR="004A2C79" w:rsidRPr="00C9505E" w:rsidRDefault="004A2C79">
      <w:pPr>
        <w:spacing w:line="360" w:lineRule="auto"/>
        <w:rPr>
          <w:rFonts w:asciiTheme="minorEastAsia" w:hAnsiTheme="minorEastAsia"/>
          <w:sz w:val="22"/>
          <w:szCs w:val="24"/>
        </w:rPr>
      </w:pPr>
    </w:p>
    <w:p w:rsidR="004A2C79" w:rsidRPr="00C9505E" w:rsidRDefault="00C9505E">
      <w:pPr>
        <w:spacing w:line="360" w:lineRule="auto"/>
        <w:ind w:firstLineChars="200" w:firstLine="440"/>
        <w:jc w:val="left"/>
        <w:rPr>
          <w:rFonts w:asciiTheme="minorEastAsia" w:hAnsiTheme="minorEastAsia"/>
          <w:sz w:val="22"/>
          <w:szCs w:val="24"/>
        </w:rPr>
      </w:pPr>
      <w:r w:rsidRPr="00C9505E">
        <w:rPr>
          <w:rFonts w:asciiTheme="minorEastAsia" w:hAnsiTheme="minorEastAsia" w:hint="eastAsia"/>
          <w:sz w:val="22"/>
          <w:szCs w:val="24"/>
        </w:rPr>
        <w:t>特此公告。</w:t>
      </w:r>
    </w:p>
    <w:p w:rsidR="004A2C79" w:rsidRPr="00C9505E" w:rsidRDefault="004A2C79">
      <w:pPr>
        <w:spacing w:line="360" w:lineRule="auto"/>
        <w:jc w:val="right"/>
        <w:rPr>
          <w:rFonts w:asciiTheme="minorEastAsia" w:hAnsiTheme="minorEastAsia"/>
          <w:sz w:val="22"/>
          <w:szCs w:val="24"/>
        </w:rPr>
      </w:pPr>
    </w:p>
    <w:p w:rsidR="004A2C79" w:rsidRPr="00C9505E" w:rsidRDefault="00C9505E">
      <w:pPr>
        <w:spacing w:line="360" w:lineRule="auto"/>
        <w:jc w:val="right"/>
        <w:rPr>
          <w:rFonts w:asciiTheme="minorEastAsia" w:hAnsiTheme="minorEastAsia"/>
          <w:sz w:val="22"/>
          <w:szCs w:val="24"/>
        </w:rPr>
      </w:pPr>
      <w:r w:rsidRPr="00C9505E">
        <w:rPr>
          <w:rFonts w:asciiTheme="minorEastAsia" w:hAnsiTheme="minorEastAsia" w:hint="eastAsia"/>
          <w:sz w:val="22"/>
          <w:szCs w:val="24"/>
        </w:rPr>
        <w:t>富国基金管理有限公司</w:t>
      </w:r>
    </w:p>
    <w:p w:rsidR="004A2C79" w:rsidRPr="00C9505E" w:rsidRDefault="00C9505E">
      <w:pPr>
        <w:spacing w:line="360" w:lineRule="auto"/>
        <w:jc w:val="right"/>
        <w:rPr>
          <w:rFonts w:asciiTheme="minorEastAsia" w:hAnsiTheme="minorEastAsia"/>
          <w:sz w:val="22"/>
          <w:szCs w:val="24"/>
        </w:rPr>
      </w:pPr>
      <w:r w:rsidRPr="00C9505E">
        <w:rPr>
          <w:rFonts w:asciiTheme="minorEastAsia" w:hAnsiTheme="minorEastAsia" w:hint="eastAsia"/>
          <w:sz w:val="22"/>
          <w:szCs w:val="24"/>
        </w:rPr>
        <w:t>2</w:t>
      </w:r>
      <w:r w:rsidRPr="00C9505E">
        <w:rPr>
          <w:rFonts w:asciiTheme="minorEastAsia" w:hAnsiTheme="minorEastAsia"/>
          <w:sz w:val="22"/>
          <w:szCs w:val="24"/>
        </w:rPr>
        <w:t>024</w:t>
      </w:r>
      <w:r w:rsidRPr="00C9505E">
        <w:rPr>
          <w:rFonts w:asciiTheme="minorEastAsia" w:hAnsiTheme="minorEastAsia" w:hint="eastAsia"/>
          <w:sz w:val="22"/>
          <w:szCs w:val="24"/>
        </w:rPr>
        <w:t>年1</w:t>
      </w:r>
      <w:r w:rsidRPr="00C9505E">
        <w:rPr>
          <w:rFonts w:asciiTheme="minorEastAsia" w:hAnsiTheme="minorEastAsia"/>
          <w:sz w:val="22"/>
          <w:szCs w:val="24"/>
        </w:rPr>
        <w:t>2</w:t>
      </w:r>
      <w:r w:rsidRPr="00C9505E">
        <w:rPr>
          <w:rFonts w:asciiTheme="minorEastAsia" w:hAnsiTheme="minorEastAsia" w:hint="eastAsia"/>
          <w:sz w:val="22"/>
          <w:szCs w:val="24"/>
        </w:rPr>
        <w:t>月1</w:t>
      </w:r>
      <w:r w:rsidR="00B153F1">
        <w:rPr>
          <w:rFonts w:asciiTheme="minorEastAsia" w:hAnsiTheme="minorEastAsia" w:hint="eastAsia"/>
          <w:sz w:val="22"/>
          <w:szCs w:val="24"/>
        </w:rPr>
        <w:t>3</w:t>
      </w:r>
      <w:r w:rsidRPr="00C9505E">
        <w:rPr>
          <w:rFonts w:asciiTheme="minorEastAsia" w:hAnsiTheme="minorEastAsia" w:hint="eastAsia"/>
          <w:sz w:val="22"/>
          <w:szCs w:val="24"/>
        </w:rPr>
        <w:t>日</w:t>
      </w:r>
    </w:p>
    <w:sectPr w:rsidR="004A2C79" w:rsidRPr="00C9505E" w:rsidSect="003D71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C51" w:rsidRDefault="009E0C51" w:rsidP="006E0B0C">
      <w:r>
        <w:separator/>
      </w:r>
    </w:p>
  </w:endnote>
  <w:endnote w:type="continuationSeparator" w:id="0">
    <w:p w:rsidR="009E0C51" w:rsidRDefault="009E0C51" w:rsidP="006E0B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C51" w:rsidRDefault="009E0C51" w:rsidP="006E0B0C">
      <w:r>
        <w:separator/>
      </w:r>
    </w:p>
  </w:footnote>
  <w:footnote w:type="continuationSeparator" w:id="0">
    <w:p w:rsidR="009E0C51" w:rsidRDefault="009E0C51" w:rsidP="006E0B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144"/>
    <w:rsid w:val="00066880"/>
    <w:rsid w:val="00075F54"/>
    <w:rsid w:val="000B0B73"/>
    <w:rsid w:val="000D69C2"/>
    <w:rsid w:val="001B0CA5"/>
    <w:rsid w:val="001F7337"/>
    <w:rsid w:val="003A5855"/>
    <w:rsid w:val="003D713E"/>
    <w:rsid w:val="004A2C79"/>
    <w:rsid w:val="004F5DB5"/>
    <w:rsid w:val="0052713B"/>
    <w:rsid w:val="00591988"/>
    <w:rsid w:val="005A3824"/>
    <w:rsid w:val="005C4805"/>
    <w:rsid w:val="005E1AD9"/>
    <w:rsid w:val="00614EE4"/>
    <w:rsid w:val="006228B9"/>
    <w:rsid w:val="00631577"/>
    <w:rsid w:val="006C3A37"/>
    <w:rsid w:val="006E0B0C"/>
    <w:rsid w:val="0071585B"/>
    <w:rsid w:val="00762CAC"/>
    <w:rsid w:val="009102E0"/>
    <w:rsid w:val="009E0C51"/>
    <w:rsid w:val="00A87455"/>
    <w:rsid w:val="00AC331B"/>
    <w:rsid w:val="00AF12C2"/>
    <w:rsid w:val="00B153F1"/>
    <w:rsid w:val="00BF2732"/>
    <w:rsid w:val="00C9505E"/>
    <w:rsid w:val="00CE1B33"/>
    <w:rsid w:val="00D262DE"/>
    <w:rsid w:val="00D31144"/>
    <w:rsid w:val="00D50C2A"/>
    <w:rsid w:val="00E01C7B"/>
    <w:rsid w:val="00EB1B74"/>
    <w:rsid w:val="00EC2FBA"/>
    <w:rsid w:val="00F56010"/>
    <w:rsid w:val="00F6400B"/>
    <w:rsid w:val="00F93BAA"/>
    <w:rsid w:val="012C687B"/>
    <w:rsid w:val="06133805"/>
    <w:rsid w:val="065E4B7E"/>
    <w:rsid w:val="06AF6F07"/>
    <w:rsid w:val="084F3130"/>
    <w:rsid w:val="0A0C074C"/>
    <w:rsid w:val="0B1A6AC6"/>
    <w:rsid w:val="0C9F68C2"/>
    <w:rsid w:val="0EF84E8C"/>
    <w:rsid w:val="0F363083"/>
    <w:rsid w:val="103A162C"/>
    <w:rsid w:val="14BF5618"/>
    <w:rsid w:val="152F374B"/>
    <w:rsid w:val="16884C04"/>
    <w:rsid w:val="1D07422E"/>
    <w:rsid w:val="29461DB4"/>
    <w:rsid w:val="2A7F3244"/>
    <w:rsid w:val="30925BBF"/>
    <w:rsid w:val="32A2148E"/>
    <w:rsid w:val="391D0925"/>
    <w:rsid w:val="3ADE61A4"/>
    <w:rsid w:val="3D1612C7"/>
    <w:rsid w:val="3F0940B7"/>
    <w:rsid w:val="45225AF9"/>
    <w:rsid w:val="453E1BA6"/>
    <w:rsid w:val="45BC5CF7"/>
    <w:rsid w:val="45E66B3C"/>
    <w:rsid w:val="4910286C"/>
    <w:rsid w:val="4A3B4557"/>
    <w:rsid w:val="515F688E"/>
    <w:rsid w:val="51AE1E90"/>
    <w:rsid w:val="52054A9D"/>
    <w:rsid w:val="5B7623FF"/>
    <w:rsid w:val="5E5B3B59"/>
    <w:rsid w:val="61821187"/>
    <w:rsid w:val="6F7A019C"/>
    <w:rsid w:val="75255FC0"/>
    <w:rsid w:val="7D0E3538"/>
    <w:rsid w:val="7E3D3C2A"/>
    <w:rsid w:val="7E3E74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13E"/>
    <w:pPr>
      <w:widowControl w:val="0"/>
      <w:jc w:val="both"/>
    </w:pPr>
    <w:rPr>
      <w:kern w:val="2"/>
      <w:sz w:val="21"/>
      <w:szCs w:val="22"/>
    </w:rPr>
  </w:style>
  <w:style w:type="paragraph" w:styleId="2">
    <w:name w:val="heading 2"/>
    <w:basedOn w:val="a"/>
    <w:next w:val="a"/>
    <w:link w:val="2Char"/>
    <w:qFormat/>
    <w:rsid w:val="003D713E"/>
    <w:pPr>
      <w:keepNext/>
      <w:keepLines/>
      <w:spacing w:line="360" w:lineRule="auto"/>
      <w:outlineLvl w:val="1"/>
    </w:pPr>
    <w:rPr>
      <w:rFonts w:ascii="Times New Roman" w:eastAsia="宋体" w:hAnsi="Times New Roman" w:cs="Times New Roman"/>
      <w:b/>
      <w:sz w:val="24"/>
      <w:szCs w:val="20"/>
    </w:rPr>
  </w:style>
  <w:style w:type="paragraph" w:styleId="3">
    <w:name w:val="heading 3"/>
    <w:basedOn w:val="a"/>
    <w:next w:val="a"/>
    <w:link w:val="3Char"/>
    <w:uiPriority w:val="9"/>
    <w:semiHidden/>
    <w:unhideWhenUsed/>
    <w:qFormat/>
    <w:rsid w:val="00F5601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D713E"/>
    <w:pPr>
      <w:jc w:val="left"/>
    </w:pPr>
  </w:style>
  <w:style w:type="paragraph" w:styleId="a4">
    <w:name w:val="Balloon Text"/>
    <w:basedOn w:val="a"/>
    <w:link w:val="Char0"/>
    <w:uiPriority w:val="99"/>
    <w:semiHidden/>
    <w:unhideWhenUsed/>
    <w:qFormat/>
    <w:rsid w:val="003D713E"/>
    <w:rPr>
      <w:sz w:val="18"/>
      <w:szCs w:val="18"/>
    </w:rPr>
  </w:style>
  <w:style w:type="paragraph" w:styleId="a5">
    <w:name w:val="footer"/>
    <w:basedOn w:val="a"/>
    <w:link w:val="Char1"/>
    <w:uiPriority w:val="99"/>
    <w:unhideWhenUsed/>
    <w:qFormat/>
    <w:rsid w:val="003D713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D713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3D713E"/>
    <w:pPr>
      <w:widowControl/>
      <w:spacing w:before="100" w:beforeAutospacing="1" w:after="100" w:afterAutospacing="1" w:line="560" w:lineRule="exact"/>
      <w:ind w:firstLineChars="200" w:firstLine="200"/>
      <w:jc w:val="left"/>
    </w:pPr>
    <w:rPr>
      <w:rFonts w:ascii="宋体" w:eastAsia="宋体" w:hAnsi="宋体" w:cs="宋体"/>
      <w:color w:val="000000"/>
      <w:kern w:val="0"/>
      <w:sz w:val="24"/>
      <w:szCs w:val="24"/>
    </w:rPr>
  </w:style>
  <w:style w:type="paragraph" w:styleId="a8">
    <w:name w:val="annotation subject"/>
    <w:basedOn w:val="a3"/>
    <w:next w:val="a3"/>
    <w:link w:val="Char3"/>
    <w:uiPriority w:val="99"/>
    <w:semiHidden/>
    <w:unhideWhenUsed/>
    <w:rsid w:val="003D713E"/>
    <w:rPr>
      <w:b/>
      <w:bCs/>
    </w:rPr>
  </w:style>
  <w:style w:type="table" w:styleId="a9">
    <w:name w:val="Table Grid"/>
    <w:basedOn w:val="a1"/>
    <w:uiPriority w:val="39"/>
    <w:qFormat/>
    <w:rsid w:val="003D7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sid w:val="003D713E"/>
    <w:rPr>
      <w:b/>
      <w:bCs/>
    </w:rPr>
  </w:style>
  <w:style w:type="character" w:styleId="ab">
    <w:name w:val="annotation reference"/>
    <w:basedOn w:val="a0"/>
    <w:uiPriority w:val="99"/>
    <w:semiHidden/>
    <w:unhideWhenUsed/>
    <w:qFormat/>
    <w:rsid w:val="003D713E"/>
    <w:rPr>
      <w:sz w:val="21"/>
      <w:szCs w:val="21"/>
    </w:rPr>
  </w:style>
  <w:style w:type="character" w:customStyle="1" w:styleId="Char0">
    <w:name w:val="批注框文本 Char"/>
    <w:basedOn w:val="a0"/>
    <w:link w:val="a4"/>
    <w:uiPriority w:val="99"/>
    <w:semiHidden/>
    <w:rsid w:val="003D713E"/>
    <w:rPr>
      <w:kern w:val="2"/>
      <w:sz w:val="18"/>
      <w:szCs w:val="18"/>
    </w:rPr>
  </w:style>
  <w:style w:type="character" w:customStyle="1" w:styleId="Char2">
    <w:name w:val="页眉 Char"/>
    <w:basedOn w:val="a0"/>
    <w:link w:val="a6"/>
    <w:uiPriority w:val="99"/>
    <w:qFormat/>
    <w:rsid w:val="003D713E"/>
    <w:rPr>
      <w:kern w:val="2"/>
      <w:sz w:val="18"/>
      <w:szCs w:val="18"/>
    </w:rPr>
  </w:style>
  <w:style w:type="character" w:customStyle="1" w:styleId="Char1">
    <w:name w:val="页脚 Char"/>
    <w:basedOn w:val="a0"/>
    <w:link w:val="a5"/>
    <w:uiPriority w:val="99"/>
    <w:qFormat/>
    <w:rsid w:val="003D713E"/>
    <w:rPr>
      <w:kern w:val="2"/>
      <w:sz w:val="18"/>
      <w:szCs w:val="18"/>
    </w:rPr>
  </w:style>
  <w:style w:type="character" w:customStyle="1" w:styleId="2Char">
    <w:name w:val="标题 2 Char"/>
    <w:basedOn w:val="a0"/>
    <w:link w:val="2"/>
    <w:qFormat/>
    <w:rsid w:val="003D713E"/>
    <w:rPr>
      <w:rFonts w:ascii="Times New Roman" w:eastAsia="宋体" w:hAnsi="Times New Roman" w:cs="Times New Roman"/>
      <w:b/>
      <w:kern w:val="2"/>
      <w:sz w:val="24"/>
    </w:rPr>
  </w:style>
  <w:style w:type="character" w:customStyle="1" w:styleId="Char">
    <w:name w:val="批注文字 Char"/>
    <w:basedOn w:val="a0"/>
    <w:link w:val="a3"/>
    <w:uiPriority w:val="99"/>
    <w:semiHidden/>
    <w:rsid w:val="003D713E"/>
    <w:rPr>
      <w:kern w:val="2"/>
      <w:sz w:val="21"/>
      <w:szCs w:val="22"/>
    </w:rPr>
  </w:style>
  <w:style w:type="character" w:customStyle="1" w:styleId="Char3">
    <w:name w:val="批注主题 Char"/>
    <w:basedOn w:val="Char"/>
    <w:link w:val="a8"/>
    <w:uiPriority w:val="99"/>
    <w:semiHidden/>
    <w:qFormat/>
    <w:rsid w:val="003D713E"/>
    <w:rPr>
      <w:b/>
      <w:bCs/>
      <w:kern w:val="2"/>
      <w:sz w:val="21"/>
      <w:szCs w:val="22"/>
    </w:rPr>
  </w:style>
  <w:style w:type="paragraph" w:styleId="ac">
    <w:name w:val="Revision"/>
    <w:hidden/>
    <w:uiPriority w:val="99"/>
    <w:semiHidden/>
    <w:rsid w:val="006E0B0C"/>
    <w:rPr>
      <w:kern w:val="2"/>
      <w:sz w:val="21"/>
      <w:szCs w:val="22"/>
    </w:rPr>
  </w:style>
  <w:style w:type="character" w:customStyle="1" w:styleId="3Char">
    <w:name w:val="标题 3 Char"/>
    <w:basedOn w:val="a0"/>
    <w:link w:val="3"/>
    <w:uiPriority w:val="9"/>
    <w:semiHidden/>
    <w:rsid w:val="00F56010"/>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57339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5D53-2434-4C28-866C-C963FBDC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1216</Characters>
  <Application>Microsoft Office Word</Application>
  <DocSecurity>4</DocSecurity>
  <Lines>10</Lines>
  <Paragraphs>2</Paragraphs>
  <ScaleCrop>false</ScaleCrop>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陈璐</dc:creator>
  <cp:lastModifiedBy>ZHONGM</cp:lastModifiedBy>
  <cp:revision>2</cp:revision>
  <dcterms:created xsi:type="dcterms:W3CDTF">2024-12-12T16:02:00Z</dcterms:created>
  <dcterms:modified xsi:type="dcterms:W3CDTF">2024-12-12T16:02:00Z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A2AC144B8A984461B712F83237BDC7E5</vt:lpwstr>
  </property>
</Properties>
</file>