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center"/>
        <w:rPr>
          <w:rFonts w:ascii="宋体" w:hAnsi="宋体" w:cs="宋体"/>
          <w:b/>
          <w:bCs/>
          <w:color w:val="000000"/>
          <w:kern w:val="36"/>
          <w:sz w:val="32"/>
          <w:szCs w:val="32"/>
        </w:rPr>
      </w:pPr>
      <w:r>
        <w:rPr>
          <w:rFonts w:ascii="宋体" w:hAnsi="宋体" w:cs="宋体" w:hint="eastAsia"/>
          <w:b/>
          <w:bCs/>
          <w:color w:val="000000"/>
          <w:kern w:val="36"/>
          <w:sz w:val="32"/>
          <w:szCs w:val="32"/>
        </w:rPr>
        <w:t>安信基金管理有限责任公司关于旗下部分开放式基金新增红塔证券股份有限公司为基金销售服务机构的公告</w:t>
      </w: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center"/>
        <w:rPr>
          <w:rFonts w:ascii="宋体" w:hAnsi="宋体" w:cs="宋体" w:hint="eastAsia"/>
          <w:b/>
          <w:bCs/>
          <w:color w:val="000000"/>
          <w:kern w:val="36"/>
          <w:sz w:val="32"/>
          <w:szCs w:val="32"/>
        </w:rPr>
      </w:pP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sz w:val="24"/>
        </w:rPr>
      </w:pPr>
      <w:r>
        <w:rPr>
          <w:rFonts w:ascii="宋体" w:hAnsi="宋体" w:cs="宋体" w:hint="eastAsia"/>
          <w:color w:val="000000"/>
          <w:kern w:val="0"/>
          <w:sz w:val="24"/>
          <w:szCs w:val="24"/>
        </w:rPr>
        <w:t>根据安信基金管理有限责任公司（以下简称“本公司”</w:t>
      </w:r>
      <w:r>
        <w:rPr>
          <w:rFonts w:ascii="宋体" w:hAnsi="宋体" w:cs="宋体" w:hint="eastAsia"/>
          <w:color w:val="000000"/>
          <w:kern w:val="0"/>
          <w:sz w:val="24"/>
          <w:szCs w:val="24"/>
        </w:rPr>
        <w:t>)</w:t>
      </w:r>
      <w:r>
        <w:rPr>
          <w:rFonts w:ascii="宋体" w:hAnsi="宋体" w:cs="宋体" w:hint="eastAsia"/>
          <w:color w:val="000000"/>
          <w:kern w:val="0"/>
          <w:sz w:val="24"/>
          <w:szCs w:val="24"/>
        </w:rPr>
        <w:t>与</w:t>
      </w:r>
      <w:r>
        <w:rPr>
          <w:rFonts w:ascii="宋体" w:hAnsi="宋体" w:cs="宋体" w:hint="eastAsia"/>
          <w:color w:val="000000"/>
          <w:kern w:val="0"/>
          <w:sz w:val="24"/>
          <w:szCs w:val="24"/>
        </w:rPr>
        <w:t>红塔证券股份有限公司（以下简称“红塔证券”）签署的销售服务协议，本公司决定新增红塔证券为</w:t>
      </w:r>
      <w:r>
        <w:rPr>
          <w:rFonts w:ascii="宋体" w:hAnsi="宋体" w:cs="Calibri" w:hint="eastAsia"/>
          <w:color w:val="000000"/>
          <w:kern w:val="0"/>
          <w:sz w:val="24"/>
          <w:szCs w:val="24"/>
        </w:rPr>
        <w:t>旗下部分开放式</w:t>
      </w:r>
      <w:r>
        <w:rPr>
          <w:rFonts w:ascii="宋体" w:hAnsi="宋体" w:cs="宋体" w:hint="eastAsia"/>
          <w:color w:val="000000"/>
          <w:kern w:val="0"/>
          <w:sz w:val="24"/>
          <w:szCs w:val="24"/>
        </w:rPr>
        <w:t>基金的销售服务机构。投资者自</w:t>
      </w:r>
      <w:r>
        <w:rPr>
          <w:rFonts w:ascii="宋体" w:hAnsi="宋体" w:cs="宋体" w:hint="eastAsia"/>
          <w:color w:val="000000"/>
          <w:kern w:val="0"/>
          <w:sz w:val="24"/>
          <w:szCs w:val="24"/>
        </w:rPr>
        <w:t>202</w:t>
      </w:r>
      <w:r>
        <w:rPr>
          <w:rFonts w:ascii="宋体" w:hAnsi="宋体" w:cs="宋体"/>
          <w:color w:val="000000"/>
          <w:kern w:val="0"/>
          <w:sz w:val="24"/>
          <w:szCs w:val="24"/>
        </w:rPr>
        <w:t>4</w:t>
      </w:r>
      <w:r>
        <w:rPr>
          <w:rFonts w:ascii="宋体" w:hAnsi="宋体" w:cs="宋体" w:hint="eastAsia"/>
          <w:color w:val="000000"/>
          <w:kern w:val="0"/>
          <w:sz w:val="24"/>
          <w:szCs w:val="24"/>
        </w:rPr>
        <w:t>年</w:t>
      </w:r>
      <w:r>
        <w:rPr>
          <w:rFonts w:ascii="宋体" w:hAnsi="宋体" w:cs="宋体" w:hint="eastAsia"/>
          <w:color w:val="000000"/>
          <w:kern w:val="0"/>
          <w:sz w:val="24"/>
          <w:szCs w:val="24"/>
        </w:rPr>
        <w:t>12</w:t>
      </w:r>
      <w:r>
        <w:rPr>
          <w:rFonts w:ascii="宋体" w:hAnsi="宋体" w:cs="宋体" w:hint="eastAsia"/>
          <w:color w:val="000000"/>
          <w:kern w:val="0"/>
          <w:sz w:val="24"/>
          <w:szCs w:val="24"/>
        </w:rPr>
        <w:t>月</w:t>
      </w:r>
      <w:r>
        <w:rPr>
          <w:rFonts w:ascii="宋体" w:hAnsi="宋体" w:cs="宋体" w:hint="eastAsia"/>
          <w:color w:val="000000"/>
          <w:kern w:val="0"/>
          <w:sz w:val="24"/>
          <w:szCs w:val="24"/>
        </w:rPr>
        <w:t>13</w:t>
      </w:r>
      <w:r>
        <w:rPr>
          <w:rFonts w:ascii="宋体" w:hAnsi="宋体" w:cs="宋体" w:hint="eastAsia"/>
          <w:color w:val="000000"/>
          <w:kern w:val="0"/>
          <w:sz w:val="24"/>
          <w:szCs w:val="24"/>
        </w:rPr>
        <w:t>日起可在红塔证券办理上述基金的开户、申购、赎回、定期定额投资、</w:t>
      </w:r>
      <w:r>
        <w:rPr>
          <w:rFonts w:ascii="宋体" w:hAnsi="宋体" w:cs="宋体"/>
          <w:color w:val="000000"/>
          <w:kern w:val="0"/>
          <w:sz w:val="24"/>
          <w:szCs w:val="24"/>
        </w:rPr>
        <w:t>转换</w:t>
      </w:r>
      <w:r>
        <w:rPr>
          <w:rFonts w:ascii="宋体" w:hAnsi="宋体" w:cs="宋体" w:hint="eastAsia"/>
          <w:color w:val="000000"/>
          <w:kern w:val="0"/>
          <w:sz w:val="24"/>
          <w:szCs w:val="24"/>
        </w:rPr>
        <w:t>等业务。如上述基金尚未开放、暂停办理对应业务或对其进行限制的，请遵照相关公告执行。</w:t>
      </w:r>
      <w:r>
        <w:rPr>
          <w:rFonts w:ascii="宋体" w:hAnsi="宋体" w:cs="宋体"/>
          <w:color w:val="000000"/>
          <w:kern w:val="0"/>
          <w:sz w:val="24"/>
          <w:szCs w:val="24"/>
        </w:rPr>
        <w:cr/>
      </w: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一、适用基金：</w:t>
      </w:r>
      <w:r>
        <w:rPr>
          <w:rFonts w:ascii="宋体" w:hAnsi="宋体" w:cs="宋体"/>
          <w:color w:val="000000"/>
          <w:kern w:val="0"/>
          <w:sz w:val="24"/>
          <w:szCs w:val="24"/>
        </w:rPr>
        <w:t xml:space="preserve"> </w:t>
      </w:r>
    </w:p>
    <w:tbl>
      <w:tblPr>
        <w:tblW w:w="9062" w:type="dxa"/>
        <w:jc w:val="center"/>
        <w:tblInd w:w="0" w:type="dxa"/>
        <w:tblLook w:val="0000"/>
      </w:tblPr>
      <w:tblGrid>
        <w:gridCol w:w="896"/>
        <w:gridCol w:w="6591"/>
        <w:gridCol w:w="1575"/>
      </w:tblGrid>
      <w:tr w:rsidR="00000000">
        <w:trPr>
          <w:trHeight w:val="567"/>
          <w:tblHeader/>
          <w:jc w:val="center"/>
        </w:trPr>
        <w:tc>
          <w:tcPr>
            <w:tcW w:w="896" w:type="dxa"/>
            <w:tcBorders>
              <w:top w:val="single" w:sz="8" w:space="0" w:color="auto"/>
              <w:left w:val="single" w:sz="8" w:space="0" w:color="auto"/>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rPr>
            </w:pPr>
            <w:r>
              <w:rPr>
                <w:rFonts w:ascii="宋体" w:hAnsi="宋体" w:cs="宋体" w:hint="eastAsia"/>
                <w:b/>
                <w:bCs/>
                <w:color w:val="000000"/>
                <w:kern w:val="0"/>
                <w:sz w:val="24"/>
                <w:szCs w:val="24"/>
                <w:lang/>
              </w:rPr>
              <w:t>序号</w:t>
            </w:r>
          </w:p>
        </w:tc>
        <w:tc>
          <w:tcPr>
            <w:tcW w:w="6591" w:type="dxa"/>
            <w:tcBorders>
              <w:top w:val="single" w:sz="8" w:space="0" w:color="auto"/>
              <w:left w:val="nil"/>
              <w:bottom w:val="single" w:sz="8" w:space="0" w:color="auto"/>
              <w:right w:val="single" w:sz="8" w:space="0" w:color="auto"/>
            </w:tcBorders>
            <w:vAlign w:val="center"/>
          </w:tcPr>
          <w:p w:rsidR="00000000" w:rsidRDefault="00AC10E8">
            <w:pPr>
              <w:widowControl/>
              <w:jc w:val="center"/>
              <w:textAlignment w:val="bottom"/>
              <w:rPr>
                <w:rFonts w:ascii="宋体" w:hAnsi="宋体" w:cs="宋体" w:hint="eastAsia"/>
                <w:color w:val="000000"/>
                <w:kern w:val="0"/>
                <w:sz w:val="24"/>
                <w:szCs w:val="24"/>
              </w:rPr>
            </w:pPr>
            <w:r>
              <w:rPr>
                <w:rFonts w:ascii="宋体" w:hAnsi="宋体" w:cs="宋体" w:hint="eastAsia"/>
                <w:b/>
                <w:bCs/>
                <w:color w:val="000000"/>
                <w:kern w:val="0"/>
                <w:sz w:val="24"/>
                <w:szCs w:val="24"/>
                <w:lang/>
              </w:rPr>
              <w:t>基金全称</w:t>
            </w:r>
          </w:p>
        </w:tc>
        <w:tc>
          <w:tcPr>
            <w:tcW w:w="1575" w:type="dxa"/>
            <w:tcBorders>
              <w:top w:val="single" w:sz="8" w:space="0" w:color="auto"/>
              <w:left w:val="nil"/>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rPr>
            </w:pPr>
            <w:r>
              <w:rPr>
                <w:rFonts w:ascii="宋体" w:hAnsi="宋体" w:cs="宋体" w:hint="eastAsia"/>
                <w:b/>
                <w:bCs/>
                <w:color w:val="000000"/>
                <w:kern w:val="0"/>
                <w:sz w:val="24"/>
                <w:szCs w:val="24"/>
                <w:lang/>
              </w:rPr>
              <w:t>基金代码</w:t>
            </w:r>
          </w:p>
        </w:tc>
      </w:tr>
      <w:tr w:rsidR="00000000">
        <w:trPr>
          <w:trHeight w:val="567"/>
          <w:jc w:val="center"/>
        </w:trPr>
        <w:tc>
          <w:tcPr>
            <w:tcW w:w="896" w:type="dxa"/>
            <w:tcBorders>
              <w:top w:val="nil"/>
              <w:left w:val="single" w:sz="8" w:space="0" w:color="auto"/>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lang/>
              </w:rPr>
              <w:t>1</w:t>
            </w:r>
          </w:p>
        </w:tc>
        <w:tc>
          <w:tcPr>
            <w:tcW w:w="6591" w:type="dxa"/>
            <w:tcBorders>
              <w:top w:val="nil"/>
              <w:left w:val="nil"/>
              <w:bottom w:val="single" w:sz="8" w:space="0" w:color="auto"/>
              <w:right w:val="single" w:sz="8" w:space="0" w:color="auto"/>
            </w:tcBorders>
            <w:vAlign w:val="center"/>
          </w:tcPr>
          <w:p w:rsidR="00000000" w:rsidRDefault="00AC10E8">
            <w:pPr>
              <w:widowControl/>
              <w:textAlignment w:val="center"/>
              <w:rPr>
                <w:rFonts w:ascii="宋体" w:hAnsi="宋体" w:cs="宋体" w:hint="eastAsia"/>
                <w:color w:val="000000"/>
                <w:kern w:val="0"/>
                <w:sz w:val="24"/>
                <w:szCs w:val="24"/>
              </w:rPr>
            </w:pPr>
            <w:r>
              <w:rPr>
                <w:rFonts w:ascii="宋体" w:hAnsi="宋体" w:cs="宋体" w:hint="eastAsia"/>
                <w:color w:val="000000"/>
                <w:kern w:val="0"/>
                <w:sz w:val="24"/>
                <w:szCs w:val="24"/>
                <w:lang/>
              </w:rPr>
              <w:t>安信活期宝</w:t>
            </w:r>
            <w:r>
              <w:rPr>
                <w:rFonts w:ascii="宋体" w:hAnsi="宋体" w:cs="宋体" w:hint="eastAsia"/>
                <w:color w:val="000000"/>
                <w:kern w:val="0"/>
                <w:sz w:val="24"/>
                <w:szCs w:val="24"/>
                <w:lang/>
              </w:rPr>
              <w:t>货币市场基</w:t>
            </w:r>
            <w:r>
              <w:rPr>
                <w:rFonts w:ascii="宋体" w:hAnsi="宋体" w:cs="宋体" w:hint="eastAsia"/>
                <w:color w:val="000000"/>
                <w:kern w:val="0"/>
                <w:sz w:val="24"/>
                <w:szCs w:val="24"/>
                <w:lang/>
              </w:rPr>
              <w:t>金</w:t>
            </w:r>
            <w:r>
              <w:rPr>
                <w:rFonts w:ascii="宋体" w:hAnsi="宋体" w:cs="宋体" w:hint="eastAsia"/>
                <w:color w:val="000000"/>
                <w:kern w:val="0"/>
                <w:sz w:val="24"/>
                <w:szCs w:val="24"/>
                <w:lang/>
              </w:rPr>
              <w:t>A</w:t>
            </w:r>
            <w:r>
              <w:rPr>
                <w:rFonts w:ascii="宋体" w:hAnsi="宋体" w:cs="宋体" w:hint="eastAsia"/>
                <w:color w:val="000000"/>
                <w:kern w:val="0"/>
                <w:sz w:val="24"/>
                <w:szCs w:val="24"/>
                <w:lang/>
              </w:rPr>
              <w:t>类份额</w:t>
            </w:r>
          </w:p>
        </w:tc>
        <w:tc>
          <w:tcPr>
            <w:tcW w:w="1575" w:type="dxa"/>
            <w:tcBorders>
              <w:top w:val="nil"/>
              <w:left w:val="nil"/>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lang/>
              </w:rPr>
              <w:t>003402</w:t>
            </w:r>
          </w:p>
        </w:tc>
      </w:tr>
      <w:tr w:rsidR="00000000">
        <w:trPr>
          <w:trHeight w:val="567"/>
          <w:jc w:val="center"/>
        </w:trPr>
        <w:tc>
          <w:tcPr>
            <w:tcW w:w="896" w:type="dxa"/>
            <w:tcBorders>
              <w:top w:val="nil"/>
              <w:left w:val="single" w:sz="8" w:space="0" w:color="auto"/>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lang/>
              </w:rPr>
              <w:t>2</w:t>
            </w:r>
          </w:p>
        </w:tc>
        <w:tc>
          <w:tcPr>
            <w:tcW w:w="6591" w:type="dxa"/>
            <w:tcBorders>
              <w:top w:val="nil"/>
              <w:left w:val="nil"/>
              <w:bottom w:val="single" w:sz="8" w:space="0" w:color="auto"/>
              <w:right w:val="single" w:sz="8" w:space="0" w:color="auto"/>
            </w:tcBorders>
            <w:vAlign w:val="center"/>
          </w:tcPr>
          <w:p w:rsidR="00000000" w:rsidRDefault="00AC10E8">
            <w:pPr>
              <w:widowControl/>
              <w:textAlignment w:val="center"/>
              <w:rPr>
                <w:rFonts w:ascii="宋体" w:hAnsi="宋体" w:cs="宋体" w:hint="eastAsia"/>
                <w:color w:val="000000"/>
                <w:kern w:val="0"/>
                <w:sz w:val="24"/>
                <w:szCs w:val="24"/>
              </w:rPr>
            </w:pPr>
            <w:r>
              <w:rPr>
                <w:rFonts w:ascii="宋体" w:hAnsi="宋体" w:cs="宋体" w:hint="eastAsia"/>
                <w:color w:val="000000"/>
                <w:kern w:val="0"/>
                <w:sz w:val="24"/>
                <w:szCs w:val="24"/>
                <w:lang/>
              </w:rPr>
              <w:t>安信活期宝货币市场基金</w:t>
            </w:r>
            <w:r>
              <w:rPr>
                <w:rFonts w:ascii="宋体" w:hAnsi="宋体" w:cs="宋体" w:hint="eastAsia"/>
                <w:color w:val="000000"/>
                <w:kern w:val="0"/>
                <w:sz w:val="24"/>
                <w:szCs w:val="24"/>
                <w:lang/>
              </w:rPr>
              <w:t>B</w:t>
            </w:r>
            <w:r>
              <w:rPr>
                <w:rFonts w:ascii="宋体" w:hAnsi="宋体" w:cs="宋体" w:hint="eastAsia"/>
                <w:color w:val="000000"/>
                <w:kern w:val="0"/>
                <w:sz w:val="24"/>
                <w:szCs w:val="24"/>
                <w:lang/>
              </w:rPr>
              <w:t>类份额</w:t>
            </w:r>
          </w:p>
        </w:tc>
        <w:tc>
          <w:tcPr>
            <w:tcW w:w="1575" w:type="dxa"/>
            <w:tcBorders>
              <w:top w:val="nil"/>
              <w:left w:val="nil"/>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lang/>
              </w:rPr>
              <w:t>004167</w:t>
            </w:r>
          </w:p>
        </w:tc>
      </w:tr>
      <w:tr w:rsidR="00000000">
        <w:trPr>
          <w:trHeight w:val="567"/>
          <w:jc w:val="center"/>
        </w:trPr>
        <w:tc>
          <w:tcPr>
            <w:tcW w:w="896" w:type="dxa"/>
            <w:tcBorders>
              <w:top w:val="nil"/>
              <w:left w:val="single" w:sz="8" w:space="0" w:color="auto"/>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lang/>
              </w:rPr>
              <w:t>3</w:t>
            </w:r>
          </w:p>
        </w:tc>
        <w:tc>
          <w:tcPr>
            <w:tcW w:w="6591" w:type="dxa"/>
            <w:tcBorders>
              <w:top w:val="nil"/>
              <w:left w:val="nil"/>
              <w:bottom w:val="single" w:sz="8" w:space="0" w:color="auto"/>
              <w:right w:val="single" w:sz="8" w:space="0" w:color="auto"/>
            </w:tcBorders>
            <w:vAlign w:val="center"/>
          </w:tcPr>
          <w:p w:rsidR="00000000" w:rsidRDefault="00AC10E8">
            <w:pPr>
              <w:widowControl/>
              <w:textAlignment w:val="center"/>
              <w:rPr>
                <w:rFonts w:ascii="宋体" w:hAnsi="宋体" w:cs="宋体" w:hint="eastAsia"/>
                <w:color w:val="000000"/>
                <w:kern w:val="0"/>
                <w:sz w:val="24"/>
                <w:szCs w:val="24"/>
              </w:rPr>
            </w:pPr>
            <w:r>
              <w:rPr>
                <w:rFonts w:ascii="宋体" w:hAnsi="宋体" w:cs="宋体" w:hint="eastAsia"/>
                <w:color w:val="000000"/>
                <w:kern w:val="0"/>
                <w:sz w:val="24"/>
                <w:szCs w:val="24"/>
                <w:lang/>
              </w:rPr>
              <w:t>安信价值精选股票型证券投资基金</w:t>
            </w:r>
          </w:p>
        </w:tc>
        <w:tc>
          <w:tcPr>
            <w:tcW w:w="1575" w:type="dxa"/>
            <w:tcBorders>
              <w:top w:val="nil"/>
              <w:left w:val="nil"/>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lang/>
              </w:rPr>
              <w:t>000577</w:t>
            </w:r>
          </w:p>
        </w:tc>
      </w:tr>
      <w:tr w:rsidR="00000000">
        <w:trPr>
          <w:trHeight w:val="567"/>
          <w:jc w:val="center"/>
        </w:trPr>
        <w:tc>
          <w:tcPr>
            <w:tcW w:w="896" w:type="dxa"/>
            <w:tcBorders>
              <w:top w:val="nil"/>
              <w:left w:val="single" w:sz="8" w:space="0" w:color="auto"/>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4</w:t>
            </w:r>
          </w:p>
        </w:tc>
        <w:tc>
          <w:tcPr>
            <w:tcW w:w="6591" w:type="dxa"/>
            <w:tcBorders>
              <w:top w:val="nil"/>
              <w:left w:val="nil"/>
              <w:bottom w:val="single" w:sz="8" w:space="0" w:color="auto"/>
              <w:right w:val="single" w:sz="8" w:space="0" w:color="auto"/>
            </w:tcBorders>
            <w:vAlign w:val="center"/>
          </w:tcPr>
          <w:p w:rsidR="00000000" w:rsidRDefault="00AC10E8">
            <w:pPr>
              <w:widowControl/>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安信策略精选灵活配置混合型证券投资基金</w:t>
            </w:r>
          </w:p>
        </w:tc>
        <w:tc>
          <w:tcPr>
            <w:tcW w:w="1575" w:type="dxa"/>
            <w:tcBorders>
              <w:top w:val="nil"/>
              <w:left w:val="nil"/>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750001</w:t>
            </w:r>
          </w:p>
        </w:tc>
      </w:tr>
      <w:tr w:rsidR="00000000">
        <w:trPr>
          <w:trHeight w:val="567"/>
          <w:jc w:val="center"/>
        </w:trPr>
        <w:tc>
          <w:tcPr>
            <w:tcW w:w="896" w:type="dxa"/>
            <w:tcBorders>
              <w:top w:val="nil"/>
              <w:left w:val="single" w:sz="8" w:space="0" w:color="auto"/>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5</w:t>
            </w:r>
          </w:p>
        </w:tc>
        <w:tc>
          <w:tcPr>
            <w:tcW w:w="6591" w:type="dxa"/>
            <w:tcBorders>
              <w:top w:val="nil"/>
              <w:left w:val="nil"/>
              <w:bottom w:val="single" w:sz="8" w:space="0" w:color="auto"/>
              <w:right w:val="single" w:sz="8" w:space="0" w:color="auto"/>
            </w:tcBorders>
            <w:vAlign w:val="center"/>
          </w:tcPr>
          <w:p w:rsidR="00000000" w:rsidRDefault="00AC10E8">
            <w:pPr>
              <w:widowControl/>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安信目标收益债券型证券投资基金</w:t>
            </w:r>
            <w:r>
              <w:rPr>
                <w:rFonts w:ascii="宋体" w:hAnsi="宋体" w:cs="宋体" w:hint="eastAsia"/>
                <w:color w:val="000000"/>
                <w:kern w:val="0"/>
                <w:sz w:val="24"/>
                <w:szCs w:val="24"/>
                <w:lang/>
              </w:rPr>
              <w:t>A</w:t>
            </w:r>
            <w:r>
              <w:rPr>
                <w:rFonts w:ascii="宋体" w:hAnsi="宋体" w:cs="宋体" w:hint="eastAsia"/>
                <w:color w:val="000000"/>
                <w:kern w:val="0"/>
                <w:sz w:val="24"/>
                <w:szCs w:val="24"/>
                <w:lang/>
              </w:rPr>
              <w:t>类份额</w:t>
            </w:r>
          </w:p>
        </w:tc>
        <w:tc>
          <w:tcPr>
            <w:tcW w:w="1575" w:type="dxa"/>
            <w:tcBorders>
              <w:top w:val="nil"/>
              <w:left w:val="nil"/>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750002</w:t>
            </w:r>
          </w:p>
        </w:tc>
      </w:tr>
      <w:tr w:rsidR="00000000">
        <w:trPr>
          <w:trHeight w:val="567"/>
          <w:jc w:val="center"/>
        </w:trPr>
        <w:tc>
          <w:tcPr>
            <w:tcW w:w="896" w:type="dxa"/>
            <w:tcBorders>
              <w:top w:val="nil"/>
              <w:left w:val="single" w:sz="8" w:space="0" w:color="auto"/>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6</w:t>
            </w:r>
          </w:p>
        </w:tc>
        <w:tc>
          <w:tcPr>
            <w:tcW w:w="6591" w:type="dxa"/>
            <w:tcBorders>
              <w:top w:val="nil"/>
              <w:left w:val="nil"/>
              <w:bottom w:val="single" w:sz="8" w:space="0" w:color="auto"/>
              <w:right w:val="single" w:sz="8" w:space="0" w:color="auto"/>
            </w:tcBorders>
            <w:vAlign w:val="center"/>
          </w:tcPr>
          <w:p w:rsidR="00000000" w:rsidRDefault="00AC10E8">
            <w:pPr>
              <w:widowControl/>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安信目标收益债券型证券投资基金</w:t>
            </w:r>
            <w:r>
              <w:rPr>
                <w:rFonts w:ascii="宋体" w:hAnsi="宋体" w:cs="宋体" w:hint="eastAsia"/>
                <w:color w:val="000000"/>
                <w:kern w:val="0"/>
                <w:sz w:val="24"/>
                <w:szCs w:val="24"/>
                <w:lang/>
              </w:rPr>
              <w:t>C</w:t>
            </w:r>
            <w:r>
              <w:rPr>
                <w:rFonts w:ascii="宋体" w:hAnsi="宋体" w:cs="宋体" w:hint="eastAsia"/>
                <w:color w:val="000000"/>
                <w:kern w:val="0"/>
                <w:sz w:val="24"/>
                <w:szCs w:val="24"/>
                <w:lang/>
              </w:rPr>
              <w:t>类份额</w:t>
            </w:r>
          </w:p>
        </w:tc>
        <w:tc>
          <w:tcPr>
            <w:tcW w:w="1575" w:type="dxa"/>
            <w:tcBorders>
              <w:top w:val="nil"/>
              <w:left w:val="nil"/>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750003</w:t>
            </w:r>
          </w:p>
        </w:tc>
      </w:tr>
      <w:tr w:rsidR="00000000">
        <w:trPr>
          <w:trHeight w:val="567"/>
          <w:jc w:val="center"/>
        </w:trPr>
        <w:tc>
          <w:tcPr>
            <w:tcW w:w="896" w:type="dxa"/>
            <w:tcBorders>
              <w:top w:val="nil"/>
              <w:left w:val="single" w:sz="8" w:space="0" w:color="auto"/>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lang/>
              </w:rPr>
              <w:t>7</w:t>
            </w:r>
          </w:p>
        </w:tc>
        <w:tc>
          <w:tcPr>
            <w:tcW w:w="6591" w:type="dxa"/>
            <w:tcBorders>
              <w:top w:val="nil"/>
              <w:left w:val="nil"/>
              <w:bottom w:val="single" w:sz="8" w:space="0" w:color="auto"/>
              <w:right w:val="single" w:sz="8" w:space="0" w:color="auto"/>
            </w:tcBorders>
            <w:vAlign w:val="center"/>
          </w:tcPr>
          <w:p w:rsidR="00000000" w:rsidRDefault="00AC10E8">
            <w:pPr>
              <w:widowControl/>
              <w:textAlignment w:val="center"/>
              <w:rPr>
                <w:rFonts w:ascii="宋体" w:hAnsi="宋体" w:cs="宋体" w:hint="eastAsia"/>
                <w:color w:val="000000"/>
                <w:kern w:val="0"/>
                <w:sz w:val="24"/>
                <w:szCs w:val="24"/>
              </w:rPr>
            </w:pPr>
            <w:r>
              <w:rPr>
                <w:rFonts w:ascii="宋体" w:hAnsi="宋体" w:cs="宋体" w:hint="eastAsia"/>
                <w:color w:val="000000"/>
                <w:kern w:val="0"/>
                <w:sz w:val="24"/>
                <w:szCs w:val="24"/>
                <w:lang/>
              </w:rPr>
              <w:t>安信新常态沪港深精选股票型证券投资基金</w:t>
            </w:r>
            <w:r>
              <w:rPr>
                <w:rFonts w:ascii="宋体" w:hAnsi="宋体" w:cs="宋体" w:hint="eastAsia"/>
                <w:color w:val="000000"/>
                <w:kern w:val="0"/>
                <w:sz w:val="24"/>
                <w:szCs w:val="24"/>
                <w:lang/>
              </w:rPr>
              <w:t>A</w:t>
            </w:r>
            <w:r>
              <w:rPr>
                <w:rFonts w:ascii="宋体" w:hAnsi="宋体" w:cs="宋体" w:hint="eastAsia"/>
                <w:color w:val="000000"/>
                <w:kern w:val="0"/>
                <w:sz w:val="24"/>
                <w:szCs w:val="24"/>
                <w:lang/>
              </w:rPr>
              <w:t>类份额</w:t>
            </w:r>
          </w:p>
        </w:tc>
        <w:tc>
          <w:tcPr>
            <w:tcW w:w="1575" w:type="dxa"/>
            <w:tcBorders>
              <w:top w:val="nil"/>
              <w:left w:val="nil"/>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lang/>
              </w:rPr>
              <w:t>001583</w:t>
            </w:r>
          </w:p>
        </w:tc>
      </w:tr>
      <w:tr w:rsidR="00000000">
        <w:trPr>
          <w:trHeight w:val="567"/>
          <w:jc w:val="center"/>
        </w:trPr>
        <w:tc>
          <w:tcPr>
            <w:tcW w:w="896" w:type="dxa"/>
            <w:tcBorders>
              <w:top w:val="nil"/>
              <w:left w:val="single" w:sz="8" w:space="0" w:color="auto"/>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lang/>
              </w:rPr>
              <w:t>8</w:t>
            </w:r>
          </w:p>
        </w:tc>
        <w:tc>
          <w:tcPr>
            <w:tcW w:w="6591" w:type="dxa"/>
            <w:tcBorders>
              <w:top w:val="nil"/>
              <w:left w:val="nil"/>
              <w:bottom w:val="single" w:sz="8" w:space="0" w:color="auto"/>
              <w:right w:val="single" w:sz="8" w:space="0" w:color="auto"/>
            </w:tcBorders>
            <w:vAlign w:val="center"/>
          </w:tcPr>
          <w:p w:rsidR="00000000" w:rsidRDefault="00AC10E8">
            <w:pPr>
              <w:widowControl/>
              <w:textAlignment w:val="center"/>
              <w:rPr>
                <w:rFonts w:ascii="宋体" w:hAnsi="宋体" w:cs="宋体" w:hint="eastAsia"/>
                <w:color w:val="000000"/>
                <w:kern w:val="0"/>
                <w:sz w:val="24"/>
                <w:szCs w:val="24"/>
              </w:rPr>
            </w:pPr>
            <w:r>
              <w:rPr>
                <w:rFonts w:ascii="宋体" w:hAnsi="宋体" w:cs="宋体" w:hint="eastAsia"/>
                <w:color w:val="000000"/>
                <w:kern w:val="0"/>
                <w:sz w:val="24"/>
                <w:szCs w:val="24"/>
                <w:lang/>
              </w:rPr>
              <w:t>安信新常态沪港深精选股票型证券投资基金</w:t>
            </w:r>
            <w:r>
              <w:rPr>
                <w:rFonts w:ascii="宋体" w:hAnsi="宋体" w:cs="宋体" w:hint="eastAsia"/>
                <w:color w:val="000000"/>
                <w:kern w:val="0"/>
                <w:sz w:val="24"/>
                <w:szCs w:val="24"/>
                <w:lang/>
              </w:rPr>
              <w:t>C</w:t>
            </w:r>
            <w:r>
              <w:rPr>
                <w:rFonts w:ascii="宋体" w:hAnsi="宋体" w:cs="宋体" w:hint="eastAsia"/>
                <w:color w:val="000000"/>
                <w:kern w:val="0"/>
                <w:sz w:val="24"/>
                <w:szCs w:val="24"/>
                <w:lang/>
              </w:rPr>
              <w:t>类份额</w:t>
            </w:r>
          </w:p>
        </w:tc>
        <w:tc>
          <w:tcPr>
            <w:tcW w:w="1575" w:type="dxa"/>
            <w:tcBorders>
              <w:top w:val="nil"/>
              <w:left w:val="nil"/>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rPr>
            </w:pPr>
            <w:r>
              <w:rPr>
                <w:rFonts w:ascii="宋体" w:hAnsi="宋体" w:cs="宋体" w:hint="eastAsia"/>
                <w:color w:val="000000"/>
                <w:kern w:val="0"/>
                <w:sz w:val="24"/>
                <w:szCs w:val="24"/>
                <w:lang/>
              </w:rPr>
              <w:t>011726</w:t>
            </w:r>
          </w:p>
        </w:tc>
      </w:tr>
      <w:tr w:rsidR="00000000">
        <w:trPr>
          <w:trHeight w:val="567"/>
          <w:jc w:val="center"/>
        </w:trPr>
        <w:tc>
          <w:tcPr>
            <w:tcW w:w="896" w:type="dxa"/>
            <w:tcBorders>
              <w:top w:val="nil"/>
              <w:left w:val="single" w:sz="8" w:space="0" w:color="auto"/>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9</w:t>
            </w:r>
          </w:p>
        </w:tc>
        <w:tc>
          <w:tcPr>
            <w:tcW w:w="6591" w:type="dxa"/>
            <w:tcBorders>
              <w:top w:val="nil"/>
              <w:left w:val="nil"/>
              <w:bottom w:val="single" w:sz="8" w:space="0" w:color="auto"/>
              <w:right w:val="single" w:sz="8" w:space="0" w:color="auto"/>
            </w:tcBorders>
            <w:vAlign w:val="center"/>
          </w:tcPr>
          <w:p w:rsidR="00000000" w:rsidRDefault="00AC10E8">
            <w:pPr>
              <w:widowControl/>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安信新价值灵活配置混合型证券投资基金</w:t>
            </w:r>
            <w:r>
              <w:rPr>
                <w:rFonts w:ascii="宋体" w:hAnsi="宋体" w:cs="宋体" w:hint="eastAsia"/>
                <w:color w:val="000000"/>
                <w:kern w:val="0"/>
                <w:sz w:val="24"/>
                <w:szCs w:val="24"/>
                <w:lang/>
              </w:rPr>
              <w:t>A</w:t>
            </w:r>
            <w:r>
              <w:rPr>
                <w:rFonts w:ascii="宋体" w:hAnsi="宋体" w:cs="宋体" w:hint="eastAsia"/>
                <w:color w:val="000000"/>
                <w:kern w:val="0"/>
                <w:sz w:val="24"/>
                <w:szCs w:val="24"/>
                <w:lang/>
              </w:rPr>
              <w:t>类份额</w:t>
            </w:r>
          </w:p>
        </w:tc>
        <w:tc>
          <w:tcPr>
            <w:tcW w:w="1575" w:type="dxa"/>
            <w:tcBorders>
              <w:top w:val="nil"/>
              <w:left w:val="nil"/>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00</w:t>
            </w:r>
            <w:r>
              <w:rPr>
                <w:rFonts w:ascii="宋体" w:hAnsi="宋体" w:cs="宋体" w:hint="eastAsia"/>
                <w:color w:val="000000"/>
                <w:kern w:val="0"/>
                <w:sz w:val="24"/>
                <w:szCs w:val="24"/>
                <w:lang/>
              </w:rPr>
              <w:t>3026</w:t>
            </w:r>
          </w:p>
        </w:tc>
      </w:tr>
      <w:tr w:rsidR="00000000">
        <w:trPr>
          <w:trHeight w:val="567"/>
          <w:jc w:val="center"/>
        </w:trPr>
        <w:tc>
          <w:tcPr>
            <w:tcW w:w="896" w:type="dxa"/>
            <w:tcBorders>
              <w:top w:val="nil"/>
              <w:left w:val="single" w:sz="8" w:space="0" w:color="auto"/>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10</w:t>
            </w:r>
          </w:p>
        </w:tc>
        <w:tc>
          <w:tcPr>
            <w:tcW w:w="6591" w:type="dxa"/>
            <w:tcBorders>
              <w:top w:val="nil"/>
              <w:left w:val="nil"/>
              <w:bottom w:val="single" w:sz="8" w:space="0" w:color="auto"/>
              <w:right w:val="single" w:sz="8" w:space="0" w:color="auto"/>
            </w:tcBorders>
            <w:vAlign w:val="center"/>
          </w:tcPr>
          <w:p w:rsidR="00000000" w:rsidRDefault="00AC10E8">
            <w:pPr>
              <w:widowControl/>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安信新价值灵活配置混合型证券投资基金</w:t>
            </w:r>
            <w:r>
              <w:rPr>
                <w:rFonts w:ascii="宋体" w:hAnsi="宋体" w:cs="宋体" w:hint="eastAsia"/>
                <w:color w:val="000000"/>
                <w:kern w:val="0"/>
                <w:sz w:val="24"/>
                <w:szCs w:val="24"/>
                <w:lang/>
              </w:rPr>
              <w:t>C</w:t>
            </w:r>
            <w:r>
              <w:rPr>
                <w:rFonts w:ascii="宋体" w:hAnsi="宋体" w:cs="宋体" w:hint="eastAsia"/>
                <w:color w:val="000000"/>
                <w:kern w:val="0"/>
                <w:sz w:val="24"/>
                <w:szCs w:val="24"/>
                <w:lang/>
              </w:rPr>
              <w:t>类份额</w:t>
            </w:r>
          </w:p>
        </w:tc>
        <w:tc>
          <w:tcPr>
            <w:tcW w:w="1575" w:type="dxa"/>
            <w:tcBorders>
              <w:top w:val="nil"/>
              <w:left w:val="nil"/>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003027</w:t>
            </w:r>
          </w:p>
        </w:tc>
      </w:tr>
      <w:tr w:rsidR="00000000">
        <w:trPr>
          <w:trHeight w:val="567"/>
          <w:jc w:val="center"/>
        </w:trPr>
        <w:tc>
          <w:tcPr>
            <w:tcW w:w="896" w:type="dxa"/>
            <w:tcBorders>
              <w:top w:val="nil"/>
              <w:left w:val="single" w:sz="8" w:space="0" w:color="auto"/>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11</w:t>
            </w:r>
          </w:p>
        </w:tc>
        <w:tc>
          <w:tcPr>
            <w:tcW w:w="6591" w:type="dxa"/>
            <w:tcBorders>
              <w:top w:val="nil"/>
              <w:left w:val="nil"/>
              <w:bottom w:val="single" w:sz="8" w:space="0" w:color="auto"/>
              <w:right w:val="single" w:sz="8" w:space="0" w:color="auto"/>
            </w:tcBorders>
            <w:vAlign w:val="center"/>
          </w:tcPr>
          <w:p w:rsidR="00000000" w:rsidRDefault="00AC10E8">
            <w:pPr>
              <w:widowControl/>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安信鑫安得利灵活配置混合型证券投资基金</w:t>
            </w:r>
            <w:r>
              <w:rPr>
                <w:rFonts w:ascii="宋体" w:hAnsi="宋体" w:cs="宋体" w:hint="eastAsia"/>
                <w:color w:val="000000"/>
                <w:kern w:val="0"/>
                <w:sz w:val="24"/>
                <w:szCs w:val="24"/>
                <w:lang/>
              </w:rPr>
              <w:t>A</w:t>
            </w:r>
            <w:r>
              <w:rPr>
                <w:rFonts w:ascii="宋体" w:hAnsi="宋体" w:cs="宋体" w:hint="eastAsia"/>
                <w:color w:val="000000"/>
                <w:kern w:val="0"/>
                <w:sz w:val="24"/>
                <w:szCs w:val="24"/>
                <w:lang/>
              </w:rPr>
              <w:t>类份额</w:t>
            </w:r>
          </w:p>
        </w:tc>
        <w:tc>
          <w:tcPr>
            <w:tcW w:w="1575" w:type="dxa"/>
            <w:tcBorders>
              <w:top w:val="nil"/>
              <w:left w:val="nil"/>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001399</w:t>
            </w:r>
          </w:p>
        </w:tc>
      </w:tr>
      <w:tr w:rsidR="00000000">
        <w:trPr>
          <w:trHeight w:val="567"/>
          <w:jc w:val="center"/>
        </w:trPr>
        <w:tc>
          <w:tcPr>
            <w:tcW w:w="896" w:type="dxa"/>
            <w:tcBorders>
              <w:top w:val="nil"/>
              <w:left w:val="single" w:sz="8" w:space="0" w:color="auto"/>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12</w:t>
            </w:r>
          </w:p>
        </w:tc>
        <w:tc>
          <w:tcPr>
            <w:tcW w:w="6591" w:type="dxa"/>
            <w:tcBorders>
              <w:top w:val="nil"/>
              <w:left w:val="nil"/>
              <w:bottom w:val="single" w:sz="8" w:space="0" w:color="auto"/>
              <w:right w:val="single" w:sz="8" w:space="0" w:color="auto"/>
            </w:tcBorders>
            <w:vAlign w:val="center"/>
          </w:tcPr>
          <w:p w:rsidR="00000000" w:rsidRDefault="00AC10E8">
            <w:pPr>
              <w:widowControl/>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安信鑫安得利灵活配置混合型证券投资基金</w:t>
            </w:r>
            <w:r>
              <w:rPr>
                <w:rFonts w:ascii="宋体" w:hAnsi="宋体" w:cs="宋体" w:hint="eastAsia"/>
                <w:color w:val="000000"/>
                <w:kern w:val="0"/>
                <w:sz w:val="24"/>
                <w:szCs w:val="24"/>
                <w:lang/>
              </w:rPr>
              <w:t>C</w:t>
            </w:r>
            <w:r>
              <w:rPr>
                <w:rFonts w:ascii="宋体" w:hAnsi="宋体" w:cs="宋体" w:hint="eastAsia"/>
                <w:color w:val="000000"/>
                <w:kern w:val="0"/>
                <w:sz w:val="24"/>
                <w:szCs w:val="24"/>
                <w:lang/>
              </w:rPr>
              <w:t>类份额</w:t>
            </w:r>
          </w:p>
        </w:tc>
        <w:tc>
          <w:tcPr>
            <w:tcW w:w="1575" w:type="dxa"/>
            <w:tcBorders>
              <w:top w:val="nil"/>
              <w:left w:val="nil"/>
              <w:bottom w:val="single" w:sz="8" w:space="0" w:color="auto"/>
              <w:right w:val="single" w:sz="8" w:space="0" w:color="auto"/>
            </w:tcBorders>
            <w:vAlign w:val="center"/>
          </w:tcPr>
          <w:p w:rsidR="00000000" w:rsidRDefault="00AC10E8">
            <w:pPr>
              <w:widowControl/>
              <w:jc w:val="center"/>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001400</w:t>
            </w:r>
          </w:p>
        </w:tc>
      </w:tr>
    </w:tbl>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hint="eastAsia"/>
          <w:color w:val="000000"/>
          <w:kern w:val="0"/>
          <w:sz w:val="24"/>
          <w:szCs w:val="24"/>
        </w:rPr>
      </w:pP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Calibri"/>
          <w:color w:val="000000"/>
          <w:kern w:val="0"/>
          <w:sz w:val="24"/>
          <w:szCs w:val="24"/>
        </w:rPr>
      </w:pPr>
      <w:r>
        <w:rPr>
          <w:rFonts w:ascii="宋体" w:hAnsi="宋体" w:cs="Calibri" w:hint="eastAsia"/>
          <w:color w:val="000000"/>
          <w:kern w:val="0"/>
          <w:sz w:val="24"/>
          <w:szCs w:val="24"/>
        </w:rPr>
        <w:t>二、</w:t>
      </w:r>
      <w:r>
        <w:rPr>
          <w:rFonts w:ascii="宋体" w:hAnsi="宋体" w:cs="Calibri"/>
          <w:color w:val="000000"/>
          <w:kern w:val="0"/>
          <w:sz w:val="24"/>
          <w:szCs w:val="24"/>
        </w:rPr>
        <w:t xml:space="preserve"> </w:t>
      </w:r>
      <w:r>
        <w:rPr>
          <w:rFonts w:ascii="宋体" w:hAnsi="宋体" w:cs="Calibri" w:hint="eastAsia"/>
          <w:color w:val="000000"/>
          <w:kern w:val="0"/>
          <w:sz w:val="24"/>
          <w:szCs w:val="24"/>
        </w:rPr>
        <w:t>重要提示</w:t>
      </w: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1.</w:t>
      </w:r>
      <w:r>
        <w:rPr>
          <w:rFonts w:ascii="宋体" w:hAnsi="宋体" w:cs="宋体" w:hint="eastAsia"/>
          <w:color w:val="000000"/>
          <w:kern w:val="0"/>
          <w:sz w:val="24"/>
          <w:szCs w:val="24"/>
        </w:rPr>
        <w:t>投资者在红塔证券办理上述基金投资业务，具体办理规则及程序请遵循红塔证券的规定。上述基金可参与红塔证券</w:t>
      </w:r>
      <w:r>
        <w:rPr>
          <w:rFonts w:ascii="宋体" w:hAnsi="宋体" w:cs="Calibri" w:hint="eastAsia"/>
          <w:color w:val="000000"/>
          <w:kern w:val="0"/>
          <w:sz w:val="24"/>
          <w:szCs w:val="24"/>
        </w:rPr>
        <w:t>开展的费率优惠活动，届时请以</w:t>
      </w:r>
      <w:r>
        <w:rPr>
          <w:rFonts w:ascii="宋体" w:hAnsi="宋体" w:cs="宋体" w:hint="eastAsia"/>
          <w:color w:val="000000"/>
          <w:kern w:val="0"/>
          <w:sz w:val="24"/>
          <w:szCs w:val="24"/>
        </w:rPr>
        <w:t>红塔证券</w:t>
      </w:r>
      <w:r>
        <w:rPr>
          <w:rFonts w:ascii="宋体" w:hAnsi="宋体" w:cs="Calibri" w:hint="eastAsia"/>
          <w:color w:val="000000"/>
          <w:kern w:val="0"/>
          <w:sz w:val="24"/>
          <w:szCs w:val="24"/>
        </w:rPr>
        <w:t>公告为准，本公司不再另行公告。</w:t>
      </w: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投资者欲了解上述基金产品的详细情况，请仔细阅读刊登于本公司网站（</w:t>
      </w:r>
      <w:r>
        <w:rPr>
          <w:rFonts w:ascii="宋体" w:hAnsi="宋体" w:cs="宋体" w:hint="eastAsia"/>
          <w:color w:val="000000"/>
          <w:kern w:val="0"/>
          <w:sz w:val="24"/>
          <w:szCs w:val="24"/>
        </w:rPr>
        <w:t>www.essencefund.com</w:t>
      </w:r>
      <w:r>
        <w:rPr>
          <w:rFonts w:ascii="宋体" w:hAnsi="宋体" w:cs="宋体" w:hint="eastAsia"/>
          <w:color w:val="000000"/>
          <w:kern w:val="0"/>
          <w:sz w:val="24"/>
          <w:szCs w:val="24"/>
        </w:rPr>
        <w:t>）的相关基金《基金合同》、《招募说明书》等法律文件及相关业务公告。</w:t>
      </w: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Calibri" w:hint="eastAsia"/>
          <w:color w:val="000000"/>
          <w:kern w:val="0"/>
          <w:sz w:val="24"/>
          <w:szCs w:val="24"/>
        </w:rPr>
      </w:pP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hint="eastAsia"/>
          <w:color w:val="000000"/>
          <w:kern w:val="0"/>
          <w:sz w:val="24"/>
          <w:szCs w:val="24"/>
        </w:rPr>
      </w:pPr>
      <w:r>
        <w:rPr>
          <w:rFonts w:ascii="宋体" w:hAnsi="宋体" w:cs="宋体" w:hint="eastAsia"/>
          <w:color w:val="1E1E1E"/>
          <w:kern w:val="0"/>
          <w:sz w:val="24"/>
          <w:szCs w:val="24"/>
        </w:rPr>
        <w:t>三、</w:t>
      </w:r>
      <w:r>
        <w:rPr>
          <w:rFonts w:ascii="宋体" w:hAnsi="宋体" w:cs="宋体" w:hint="eastAsia"/>
          <w:color w:val="000000"/>
          <w:kern w:val="0"/>
          <w:sz w:val="24"/>
          <w:szCs w:val="24"/>
        </w:rPr>
        <w:t>投资者可通过以下渠道咨询详情：</w:t>
      </w: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、安信基金管理有限责任公司</w:t>
      </w: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住所</w:t>
      </w:r>
      <w:r>
        <w:rPr>
          <w:rFonts w:ascii="宋体" w:hAnsi="宋体" w:cs="宋体"/>
          <w:color w:val="000000"/>
          <w:kern w:val="0"/>
          <w:sz w:val="24"/>
          <w:szCs w:val="24"/>
        </w:rPr>
        <w:t>：</w:t>
      </w:r>
      <w:r>
        <w:rPr>
          <w:rFonts w:ascii="宋体" w:hAnsi="宋体" w:cs="宋体" w:hint="eastAsia"/>
          <w:color w:val="000000"/>
          <w:kern w:val="0"/>
          <w:sz w:val="24"/>
          <w:szCs w:val="24"/>
        </w:rPr>
        <w:t>深圳市福田区福田街道福安社区福华一路</w:t>
      </w:r>
      <w:r>
        <w:rPr>
          <w:rFonts w:ascii="宋体" w:hAnsi="宋体" w:cs="宋体" w:hint="eastAsia"/>
          <w:color w:val="000000"/>
          <w:kern w:val="0"/>
          <w:sz w:val="24"/>
          <w:szCs w:val="24"/>
        </w:rPr>
        <w:t>119</w:t>
      </w:r>
      <w:r>
        <w:rPr>
          <w:rFonts w:ascii="宋体" w:hAnsi="宋体" w:cs="宋体" w:hint="eastAsia"/>
          <w:color w:val="000000"/>
          <w:kern w:val="0"/>
          <w:sz w:val="24"/>
          <w:szCs w:val="24"/>
        </w:rPr>
        <w:t>号安信金融大厦</w:t>
      </w:r>
      <w:r>
        <w:rPr>
          <w:rFonts w:ascii="宋体" w:hAnsi="宋体" w:cs="宋体" w:hint="eastAsia"/>
          <w:color w:val="000000"/>
          <w:kern w:val="0"/>
          <w:sz w:val="24"/>
          <w:szCs w:val="24"/>
        </w:rPr>
        <w:t>29</w:t>
      </w:r>
      <w:r>
        <w:rPr>
          <w:rFonts w:ascii="宋体" w:hAnsi="宋体" w:cs="宋体" w:hint="eastAsia"/>
          <w:color w:val="000000"/>
          <w:kern w:val="0"/>
          <w:sz w:val="24"/>
          <w:szCs w:val="24"/>
        </w:rPr>
        <w:t>楼</w:t>
      </w: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hint="eastAsia"/>
          <w:color w:val="000000"/>
          <w:kern w:val="0"/>
          <w:sz w:val="24"/>
          <w:szCs w:val="24"/>
        </w:rPr>
      </w:pPr>
      <w:r>
        <w:rPr>
          <w:rFonts w:ascii="宋体" w:hAnsi="宋体" w:cs="宋体" w:hint="eastAsia"/>
          <w:color w:val="000000"/>
          <w:kern w:val="0"/>
          <w:sz w:val="24"/>
          <w:szCs w:val="24"/>
        </w:rPr>
        <w:t>客户服务电话：</w:t>
      </w:r>
      <w:r>
        <w:rPr>
          <w:rFonts w:ascii="宋体" w:hAnsi="宋体" w:cs="宋体" w:hint="eastAsia"/>
          <w:color w:val="000000"/>
          <w:kern w:val="0"/>
          <w:sz w:val="24"/>
          <w:szCs w:val="24"/>
        </w:rPr>
        <w:t>4008-088-088</w:t>
      </w: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hint="eastAsia"/>
          <w:color w:val="000000"/>
          <w:kern w:val="0"/>
          <w:sz w:val="24"/>
          <w:szCs w:val="24"/>
        </w:rPr>
      </w:pPr>
      <w:r>
        <w:rPr>
          <w:rFonts w:ascii="宋体" w:hAnsi="宋体" w:cs="宋体" w:hint="eastAsia"/>
          <w:color w:val="000000"/>
          <w:kern w:val="0"/>
          <w:sz w:val="24"/>
          <w:szCs w:val="24"/>
        </w:rPr>
        <w:t>网站：</w:t>
      </w:r>
      <w:hyperlink r:id="rId4" w:history="1">
        <w:r>
          <w:rPr>
            <w:rStyle w:val="ae"/>
            <w:rFonts w:ascii="宋体" w:hAnsi="宋体" w:cs="宋体" w:hint="eastAsia"/>
            <w:color w:val="auto"/>
            <w:kern w:val="0"/>
            <w:sz w:val="24"/>
            <w:szCs w:val="24"/>
            <w:u w:val="none"/>
          </w:rPr>
          <w:t>www.essencefund.com</w:t>
        </w:r>
      </w:hyperlink>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、红塔证券红塔证券股份有限</w:t>
      </w:r>
      <w:r>
        <w:rPr>
          <w:rFonts w:ascii="宋体" w:hAnsi="宋体" w:cs="宋体" w:hint="eastAsia"/>
          <w:color w:val="000000"/>
          <w:kern w:val="0"/>
          <w:sz w:val="24"/>
          <w:szCs w:val="24"/>
        </w:rPr>
        <w:t>公司</w:t>
      </w: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hint="eastAsia"/>
          <w:color w:val="000000"/>
          <w:kern w:val="0"/>
          <w:sz w:val="24"/>
          <w:szCs w:val="24"/>
        </w:rPr>
      </w:pPr>
      <w:r>
        <w:rPr>
          <w:rFonts w:ascii="宋体" w:hAnsi="宋体" w:cs="宋体" w:hint="eastAsia"/>
          <w:color w:val="000000"/>
          <w:kern w:val="0"/>
          <w:sz w:val="24"/>
          <w:szCs w:val="24"/>
        </w:rPr>
        <w:t>住所：云南省昆明市北京路</w:t>
      </w:r>
      <w:r>
        <w:rPr>
          <w:rFonts w:ascii="宋体" w:hAnsi="宋体" w:cs="宋体" w:hint="eastAsia"/>
          <w:color w:val="000000"/>
          <w:kern w:val="0"/>
          <w:sz w:val="24"/>
          <w:szCs w:val="24"/>
        </w:rPr>
        <w:t>155</w:t>
      </w:r>
      <w:r>
        <w:rPr>
          <w:rFonts w:ascii="宋体" w:hAnsi="宋体" w:cs="宋体" w:hint="eastAsia"/>
          <w:color w:val="000000"/>
          <w:kern w:val="0"/>
          <w:sz w:val="24"/>
          <w:szCs w:val="24"/>
        </w:rPr>
        <w:t>号附</w:t>
      </w:r>
      <w:r>
        <w:rPr>
          <w:rFonts w:ascii="宋体" w:hAnsi="宋体" w:cs="宋体" w:hint="eastAsia"/>
          <w:color w:val="000000"/>
          <w:kern w:val="0"/>
          <w:sz w:val="24"/>
          <w:szCs w:val="24"/>
        </w:rPr>
        <w:t>1</w:t>
      </w:r>
      <w:r>
        <w:rPr>
          <w:rFonts w:ascii="宋体" w:hAnsi="宋体" w:cs="宋体" w:hint="eastAsia"/>
          <w:color w:val="000000"/>
          <w:kern w:val="0"/>
          <w:sz w:val="24"/>
          <w:szCs w:val="24"/>
        </w:rPr>
        <w:t>号</w:t>
      </w: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hint="eastAsia"/>
          <w:color w:val="000000"/>
          <w:kern w:val="0"/>
          <w:sz w:val="24"/>
          <w:szCs w:val="24"/>
        </w:rPr>
      </w:pPr>
      <w:r>
        <w:rPr>
          <w:rFonts w:ascii="宋体" w:hAnsi="宋体" w:cs="宋体" w:hint="eastAsia"/>
          <w:color w:val="000000"/>
          <w:kern w:val="0"/>
          <w:sz w:val="24"/>
          <w:szCs w:val="24"/>
        </w:rPr>
        <w:t>客户服务电话：</w:t>
      </w:r>
      <w:r>
        <w:rPr>
          <w:rFonts w:ascii="宋体" w:hAnsi="宋体" w:cs="宋体" w:hint="eastAsia"/>
          <w:color w:val="000000"/>
          <w:kern w:val="0"/>
          <w:sz w:val="24"/>
          <w:szCs w:val="24"/>
        </w:rPr>
        <w:t>956060</w:t>
      </w: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网址：</w:t>
      </w:r>
      <w:r>
        <w:t xml:space="preserve"> </w:t>
      </w:r>
      <w:r>
        <w:rPr>
          <w:rFonts w:ascii="宋体" w:hAnsi="宋体" w:cs="宋体"/>
          <w:color w:val="000000"/>
          <w:kern w:val="0"/>
          <w:sz w:val="24"/>
          <w:szCs w:val="24"/>
        </w:rPr>
        <w:t>www.hongtastock.com</w:t>
      </w: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cs="宋体" w:hint="eastAsia"/>
          <w:color w:val="000000"/>
          <w:kern w:val="0"/>
          <w:sz w:val="24"/>
          <w:szCs w:val="24"/>
        </w:rPr>
      </w:pP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68"/>
        <w:jc w:val="left"/>
        <w:rPr>
          <w:rFonts w:ascii="宋体" w:hAnsi="宋体" w:cs="宋体"/>
          <w:color w:val="000000"/>
          <w:kern w:val="0"/>
          <w:sz w:val="24"/>
          <w:szCs w:val="24"/>
        </w:rPr>
      </w:pPr>
      <w:r>
        <w:rPr>
          <w:rFonts w:ascii="宋体" w:hAnsi="宋体" w:cs="宋体" w:hint="eastAsia"/>
          <w:color w:val="000000"/>
          <w:kern w:val="0"/>
          <w:sz w:val="24"/>
          <w:szCs w:val="24"/>
        </w:rPr>
        <w:t>风险提示：本公司承诺以诚实信用、勤勉尽责的原则管理和运用基金资产，但不保证基金一定盈利，也不保证最低收益。定期定额投资是引导投资人进行长期投资、平均投资成本的一种投资方式。但是定期定额投资并不能规避</w:t>
      </w:r>
      <w:r>
        <w:rPr>
          <w:rFonts w:ascii="宋体" w:hAnsi="宋体" w:cs="宋体" w:hint="eastAsia"/>
          <w:color w:val="000000"/>
          <w:kern w:val="0"/>
          <w:sz w:val="24"/>
          <w:szCs w:val="24"/>
        </w:rPr>
        <w:t>基金投资所固有的风险，不能保证投资人获得收益，也不是替代储蓄的等效理财方式。基金投资有风险，敬请投资人认真阅读基金的相关法律文件，并选择适合自身风险承受能力的投资品种进行投资。</w:t>
      </w:r>
      <w:r>
        <w:rPr>
          <w:rFonts w:ascii="宋体" w:hAnsi="宋体" w:cs="宋体"/>
          <w:color w:val="000000"/>
          <w:kern w:val="0"/>
          <w:sz w:val="24"/>
          <w:szCs w:val="24"/>
        </w:rPr>
        <w:t xml:space="preserve"> </w:t>
      </w: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color w:val="000000"/>
          <w:kern w:val="0"/>
          <w:sz w:val="24"/>
          <w:szCs w:val="24"/>
        </w:rPr>
      </w:pPr>
      <w:r>
        <w:rPr>
          <w:rFonts w:ascii="宋体" w:hAnsi="宋体" w:cs="宋体"/>
          <w:color w:val="000000"/>
          <w:kern w:val="0"/>
          <w:sz w:val="24"/>
          <w:szCs w:val="24"/>
        </w:rPr>
        <w:t xml:space="preserve">    </w:t>
      </w: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68"/>
        <w:jc w:val="left"/>
        <w:rPr>
          <w:rFonts w:ascii="宋体" w:hAnsi="宋体" w:cs="宋体" w:hint="eastAsia"/>
          <w:color w:val="000000"/>
          <w:kern w:val="0"/>
          <w:sz w:val="24"/>
          <w:szCs w:val="24"/>
        </w:rPr>
      </w:pPr>
      <w:r>
        <w:rPr>
          <w:rFonts w:ascii="宋体" w:hAnsi="宋体" w:cs="宋体"/>
          <w:color w:val="000000"/>
          <w:kern w:val="0"/>
          <w:sz w:val="24"/>
          <w:szCs w:val="24"/>
        </w:rPr>
        <w:t>特此公告。</w:t>
      </w:r>
    </w:p>
    <w:p w:rsidR="00000000"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color w:val="000000"/>
          <w:kern w:val="0"/>
          <w:sz w:val="24"/>
          <w:szCs w:val="24"/>
        </w:rPr>
        <w:t xml:space="preserve"> </w:t>
      </w:r>
      <w:r>
        <w:rPr>
          <w:rFonts w:ascii="宋体" w:hAnsi="宋体" w:cs="宋体" w:hint="eastAsia"/>
          <w:color w:val="000000"/>
          <w:kern w:val="0"/>
          <w:sz w:val="24"/>
          <w:szCs w:val="24"/>
        </w:rPr>
        <w:t>安信</w:t>
      </w:r>
      <w:r>
        <w:rPr>
          <w:rFonts w:ascii="宋体" w:hAnsi="宋体" w:cs="宋体"/>
          <w:color w:val="000000"/>
          <w:kern w:val="0"/>
          <w:sz w:val="24"/>
          <w:szCs w:val="24"/>
        </w:rPr>
        <w:t>基金管理有限</w:t>
      </w:r>
      <w:r>
        <w:rPr>
          <w:rFonts w:ascii="宋体" w:hAnsi="宋体" w:cs="宋体" w:hint="eastAsia"/>
          <w:color w:val="000000"/>
          <w:kern w:val="0"/>
          <w:sz w:val="24"/>
          <w:szCs w:val="24"/>
        </w:rPr>
        <w:t>责任</w:t>
      </w:r>
      <w:r>
        <w:rPr>
          <w:rFonts w:ascii="宋体" w:hAnsi="宋体" w:cs="宋体"/>
          <w:color w:val="000000"/>
          <w:kern w:val="0"/>
          <w:sz w:val="24"/>
          <w:szCs w:val="24"/>
        </w:rPr>
        <w:t>公司</w:t>
      </w:r>
    </w:p>
    <w:p w:rsidR="002618DF" w:rsidRDefault="00AC10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hAnsi="宋体" w:cs="宋体" w:hint="eastAsia"/>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color w:val="000000"/>
          <w:kern w:val="0"/>
          <w:sz w:val="24"/>
          <w:szCs w:val="24"/>
        </w:rPr>
        <w:t>2024</w:t>
      </w:r>
      <w:r>
        <w:rPr>
          <w:rFonts w:ascii="宋体" w:hAnsi="宋体" w:cs="宋体"/>
          <w:color w:val="000000"/>
          <w:kern w:val="0"/>
          <w:sz w:val="24"/>
          <w:szCs w:val="24"/>
        </w:rPr>
        <w:t>年</w:t>
      </w:r>
      <w:r>
        <w:rPr>
          <w:rFonts w:ascii="宋体" w:hAnsi="宋体" w:cs="宋体" w:hint="eastAsia"/>
          <w:color w:val="000000"/>
          <w:kern w:val="0"/>
          <w:sz w:val="24"/>
          <w:szCs w:val="24"/>
        </w:rPr>
        <w:t>12</w:t>
      </w:r>
      <w:r>
        <w:rPr>
          <w:rFonts w:ascii="宋体" w:hAnsi="宋体" w:cs="宋体"/>
          <w:color w:val="000000"/>
          <w:kern w:val="0"/>
          <w:sz w:val="24"/>
          <w:szCs w:val="24"/>
        </w:rPr>
        <w:t>月</w:t>
      </w:r>
      <w:r>
        <w:rPr>
          <w:rFonts w:ascii="宋体" w:hAnsi="宋体" w:cs="宋体" w:hint="eastAsia"/>
          <w:color w:val="000000"/>
          <w:kern w:val="0"/>
          <w:sz w:val="24"/>
          <w:szCs w:val="24"/>
        </w:rPr>
        <w:t>13</w:t>
      </w:r>
      <w:r>
        <w:rPr>
          <w:rFonts w:ascii="宋体" w:hAnsi="宋体" w:cs="宋体"/>
          <w:color w:val="000000"/>
          <w:kern w:val="0"/>
          <w:sz w:val="24"/>
          <w:szCs w:val="24"/>
        </w:rPr>
        <w:t>日</w:t>
      </w:r>
    </w:p>
    <w:sectPr w:rsidR="002618D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GFhMzQyZGZlYzk4MDJiMGE2NzhlNTgzOWYyNzVmY2IifQ=="/>
  </w:docVars>
  <w:rsids>
    <w:rsidRoot w:val="006F7B63"/>
    <w:rsid w:val="00007694"/>
    <w:rsid w:val="00021711"/>
    <w:rsid w:val="00033233"/>
    <w:rsid w:val="00041A92"/>
    <w:rsid w:val="00042B8A"/>
    <w:rsid w:val="00044729"/>
    <w:rsid w:val="000516B6"/>
    <w:rsid w:val="00055227"/>
    <w:rsid w:val="00055FF8"/>
    <w:rsid w:val="00056D27"/>
    <w:rsid w:val="0006040A"/>
    <w:rsid w:val="000616FD"/>
    <w:rsid w:val="00065DD1"/>
    <w:rsid w:val="00070748"/>
    <w:rsid w:val="00070842"/>
    <w:rsid w:val="000716A1"/>
    <w:rsid w:val="000747CE"/>
    <w:rsid w:val="000761CE"/>
    <w:rsid w:val="00095382"/>
    <w:rsid w:val="00095539"/>
    <w:rsid w:val="000A022F"/>
    <w:rsid w:val="000A1818"/>
    <w:rsid w:val="000A6FE5"/>
    <w:rsid w:val="000B21D2"/>
    <w:rsid w:val="000B56E4"/>
    <w:rsid w:val="000D4293"/>
    <w:rsid w:val="000D5316"/>
    <w:rsid w:val="000F6E25"/>
    <w:rsid w:val="000F7C74"/>
    <w:rsid w:val="001027BA"/>
    <w:rsid w:val="00103B2E"/>
    <w:rsid w:val="001367EA"/>
    <w:rsid w:val="00150D1F"/>
    <w:rsid w:val="001548A3"/>
    <w:rsid w:val="0016075D"/>
    <w:rsid w:val="00161064"/>
    <w:rsid w:val="001644CE"/>
    <w:rsid w:val="00164506"/>
    <w:rsid w:val="00166058"/>
    <w:rsid w:val="00176295"/>
    <w:rsid w:val="00177005"/>
    <w:rsid w:val="00183C61"/>
    <w:rsid w:val="0018785C"/>
    <w:rsid w:val="00197343"/>
    <w:rsid w:val="001A1CE3"/>
    <w:rsid w:val="001A3C5F"/>
    <w:rsid w:val="001A466B"/>
    <w:rsid w:val="001A4EC2"/>
    <w:rsid w:val="001A56B1"/>
    <w:rsid w:val="001A6AC5"/>
    <w:rsid w:val="001A6CCC"/>
    <w:rsid w:val="001A7D68"/>
    <w:rsid w:val="001B47EA"/>
    <w:rsid w:val="001B516A"/>
    <w:rsid w:val="001C0A6C"/>
    <w:rsid w:val="001E6132"/>
    <w:rsid w:val="001E7F86"/>
    <w:rsid w:val="001F0985"/>
    <w:rsid w:val="001F4358"/>
    <w:rsid w:val="001F5BA2"/>
    <w:rsid w:val="002002E7"/>
    <w:rsid w:val="00202026"/>
    <w:rsid w:val="00214886"/>
    <w:rsid w:val="00220850"/>
    <w:rsid w:val="00220AA6"/>
    <w:rsid w:val="0022238F"/>
    <w:rsid w:val="00223A06"/>
    <w:rsid w:val="0022476A"/>
    <w:rsid w:val="00227A24"/>
    <w:rsid w:val="00237E1D"/>
    <w:rsid w:val="00240FC4"/>
    <w:rsid w:val="00250104"/>
    <w:rsid w:val="002601DF"/>
    <w:rsid w:val="002618DF"/>
    <w:rsid w:val="002632F2"/>
    <w:rsid w:val="00270888"/>
    <w:rsid w:val="00271962"/>
    <w:rsid w:val="00272E70"/>
    <w:rsid w:val="0027672C"/>
    <w:rsid w:val="002801AD"/>
    <w:rsid w:val="0028088F"/>
    <w:rsid w:val="00282A8C"/>
    <w:rsid w:val="0028531D"/>
    <w:rsid w:val="00285EF7"/>
    <w:rsid w:val="00290437"/>
    <w:rsid w:val="002929F0"/>
    <w:rsid w:val="00293DDD"/>
    <w:rsid w:val="002953F1"/>
    <w:rsid w:val="002A27B9"/>
    <w:rsid w:val="002B4018"/>
    <w:rsid w:val="002C154B"/>
    <w:rsid w:val="002C2992"/>
    <w:rsid w:val="002C3F9F"/>
    <w:rsid w:val="002C6322"/>
    <w:rsid w:val="002D5DD2"/>
    <w:rsid w:val="002E021C"/>
    <w:rsid w:val="002E0E18"/>
    <w:rsid w:val="002E28BB"/>
    <w:rsid w:val="002E5B10"/>
    <w:rsid w:val="002F0873"/>
    <w:rsid w:val="002F31F8"/>
    <w:rsid w:val="00300408"/>
    <w:rsid w:val="00301253"/>
    <w:rsid w:val="00307000"/>
    <w:rsid w:val="003369F1"/>
    <w:rsid w:val="00336CF9"/>
    <w:rsid w:val="00337520"/>
    <w:rsid w:val="00340636"/>
    <w:rsid w:val="003467B2"/>
    <w:rsid w:val="00351B84"/>
    <w:rsid w:val="00355BD6"/>
    <w:rsid w:val="0035753A"/>
    <w:rsid w:val="003612F4"/>
    <w:rsid w:val="00365F09"/>
    <w:rsid w:val="003721E0"/>
    <w:rsid w:val="00382DD8"/>
    <w:rsid w:val="00384BD4"/>
    <w:rsid w:val="003871ED"/>
    <w:rsid w:val="00393463"/>
    <w:rsid w:val="003936EC"/>
    <w:rsid w:val="003A785D"/>
    <w:rsid w:val="003B0E10"/>
    <w:rsid w:val="003B3A79"/>
    <w:rsid w:val="003B5D92"/>
    <w:rsid w:val="003C3448"/>
    <w:rsid w:val="003C4100"/>
    <w:rsid w:val="003D04FA"/>
    <w:rsid w:val="003E544D"/>
    <w:rsid w:val="003E5E74"/>
    <w:rsid w:val="003E726F"/>
    <w:rsid w:val="003E7A40"/>
    <w:rsid w:val="003F037B"/>
    <w:rsid w:val="003F252C"/>
    <w:rsid w:val="003F3F80"/>
    <w:rsid w:val="003F6A9C"/>
    <w:rsid w:val="0041533E"/>
    <w:rsid w:val="00434169"/>
    <w:rsid w:val="00436D7C"/>
    <w:rsid w:val="004417EF"/>
    <w:rsid w:val="00444777"/>
    <w:rsid w:val="004449E3"/>
    <w:rsid w:val="00473854"/>
    <w:rsid w:val="00474749"/>
    <w:rsid w:val="00475494"/>
    <w:rsid w:val="00476B7F"/>
    <w:rsid w:val="004810D2"/>
    <w:rsid w:val="0048438E"/>
    <w:rsid w:val="0049495E"/>
    <w:rsid w:val="00496B78"/>
    <w:rsid w:val="004A17AB"/>
    <w:rsid w:val="004A2946"/>
    <w:rsid w:val="004B48D4"/>
    <w:rsid w:val="004D3143"/>
    <w:rsid w:val="004D3F82"/>
    <w:rsid w:val="004D40E8"/>
    <w:rsid w:val="004D5198"/>
    <w:rsid w:val="004E0496"/>
    <w:rsid w:val="004F0CAD"/>
    <w:rsid w:val="004F1986"/>
    <w:rsid w:val="004F3854"/>
    <w:rsid w:val="00501F7A"/>
    <w:rsid w:val="0050754E"/>
    <w:rsid w:val="00516888"/>
    <w:rsid w:val="00522214"/>
    <w:rsid w:val="00523137"/>
    <w:rsid w:val="00527752"/>
    <w:rsid w:val="005320CC"/>
    <w:rsid w:val="0055222F"/>
    <w:rsid w:val="00554C8F"/>
    <w:rsid w:val="005565E8"/>
    <w:rsid w:val="0055738A"/>
    <w:rsid w:val="00563990"/>
    <w:rsid w:val="00573A47"/>
    <w:rsid w:val="00580980"/>
    <w:rsid w:val="00583E99"/>
    <w:rsid w:val="00584000"/>
    <w:rsid w:val="00585234"/>
    <w:rsid w:val="005961F2"/>
    <w:rsid w:val="005A2D3B"/>
    <w:rsid w:val="005A4F64"/>
    <w:rsid w:val="005B586F"/>
    <w:rsid w:val="005D4CE1"/>
    <w:rsid w:val="005E0FAC"/>
    <w:rsid w:val="005E28FE"/>
    <w:rsid w:val="005E7AD7"/>
    <w:rsid w:val="005F0A08"/>
    <w:rsid w:val="005F6E28"/>
    <w:rsid w:val="006008D1"/>
    <w:rsid w:val="00620844"/>
    <w:rsid w:val="0062209B"/>
    <w:rsid w:val="00623EDB"/>
    <w:rsid w:val="006263F3"/>
    <w:rsid w:val="00636B39"/>
    <w:rsid w:val="00636F72"/>
    <w:rsid w:val="00640214"/>
    <w:rsid w:val="00640918"/>
    <w:rsid w:val="0066477B"/>
    <w:rsid w:val="006658E4"/>
    <w:rsid w:val="00677189"/>
    <w:rsid w:val="00677644"/>
    <w:rsid w:val="006804A8"/>
    <w:rsid w:val="00684922"/>
    <w:rsid w:val="00690571"/>
    <w:rsid w:val="00690825"/>
    <w:rsid w:val="0069320C"/>
    <w:rsid w:val="006A758C"/>
    <w:rsid w:val="006A7B2D"/>
    <w:rsid w:val="006B2964"/>
    <w:rsid w:val="006B3091"/>
    <w:rsid w:val="006B6B15"/>
    <w:rsid w:val="006B7C74"/>
    <w:rsid w:val="006C52AE"/>
    <w:rsid w:val="006D0D0F"/>
    <w:rsid w:val="006D31B5"/>
    <w:rsid w:val="006D35ED"/>
    <w:rsid w:val="006D43D4"/>
    <w:rsid w:val="006D4B01"/>
    <w:rsid w:val="006D50B0"/>
    <w:rsid w:val="006E351F"/>
    <w:rsid w:val="006E4FC6"/>
    <w:rsid w:val="006E7DBB"/>
    <w:rsid w:val="006E7EFC"/>
    <w:rsid w:val="006F0DF3"/>
    <w:rsid w:val="006F4778"/>
    <w:rsid w:val="006F61B6"/>
    <w:rsid w:val="006F7B63"/>
    <w:rsid w:val="007044F5"/>
    <w:rsid w:val="0071080D"/>
    <w:rsid w:val="00710FF7"/>
    <w:rsid w:val="00714B3A"/>
    <w:rsid w:val="007229C9"/>
    <w:rsid w:val="00723D92"/>
    <w:rsid w:val="007344B3"/>
    <w:rsid w:val="00740654"/>
    <w:rsid w:val="00752A9A"/>
    <w:rsid w:val="0076442E"/>
    <w:rsid w:val="0076467D"/>
    <w:rsid w:val="0076553E"/>
    <w:rsid w:val="00775D16"/>
    <w:rsid w:val="00777C77"/>
    <w:rsid w:val="0078110E"/>
    <w:rsid w:val="00781CD6"/>
    <w:rsid w:val="007846F0"/>
    <w:rsid w:val="007A4C66"/>
    <w:rsid w:val="007B5132"/>
    <w:rsid w:val="007B575A"/>
    <w:rsid w:val="007C05F3"/>
    <w:rsid w:val="007C1E61"/>
    <w:rsid w:val="007C38AF"/>
    <w:rsid w:val="007C39AB"/>
    <w:rsid w:val="007C3EEC"/>
    <w:rsid w:val="007C4C41"/>
    <w:rsid w:val="007C5291"/>
    <w:rsid w:val="007D0F6D"/>
    <w:rsid w:val="007D6599"/>
    <w:rsid w:val="007D7C36"/>
    <w:rsid w:val="007E73F2"/>
    <w:rsid w:val="0080644F"/>
    <w:rsid w:val="00811708"/>
    <w:rsid w:val="00814B0E"/>
    <w:rsid w:val="0081542F"/>
    <w:rsid w:val="00816F48"/>
    <w:rsid w:val="00820BB0"/>
    <w:rsid w:val="00821AA3"/>
    <w:rsid w:val="00822EBD"/>
    <w:rsid w:val="00824AC4"/>
    <w:rsid w:val="00825A30"/>
    <w:rsid w:val="00836FCB"/>
    <w:rsid w:val="008518EC"/>
    <w:rsid w:val="00867219"/>
    <w:rsid w:val="00867ABD"/>
    <w:rsid w:val="00870542"/>
    <w:rsid w:val="008739E8"/>
    <w:rsid w:val="00875745"/>
    <w:rsid w:val="00876619"/>
    <w:rsid w:val="00877E64"/>
    <w:rsid w:val="00881B08"/>
    <w:rsid w:val="00882608"/>
    <w:rsid w:val="008875CE"/>
    <w:rsid w:val="00894E4D"/>
    <w:rsid w:val="008A42E1"/>
    <w:rsid w:val="008A60D1"/>
    <w:rsid w:val="008B128A"/>
    <w:rsid w:val="008B438E"/>
    <w:rsid w:val="008C4E0C"/>
    <w:rsid w:val="008D28AE"/>
    <w:rsid w:val="008E0103"/>
    <w:rsid w:val="008E0F28"/>
    <w:rsid w:val="008F1DE0"/>
    <w:rsid w:val="008F2B76"/>
    <w:rsid w:val="008F43DC"/>
    <w:rsid w:val="008F480A"/>
    <w:rsid w:val="009017E8"/>
    <w:rsid w:val="00901A98"/>
    <w:rsid w:val="0091397D"/>
    <w:rsid w:val="00915708"/>
    <w:rsid w:val="00921F48"/>
    <w:rsid w:val="009255AE"/>
    <w:rsid w:val="00930545"/>
    <w:rsid w:val="00935F19"/>
    <w:rsid w:val="00937722"/>
    <w:rsid w:val="00945207"/>
    <w:rsid w:val="00955EAB"/>
    <w:rsid w:val="00957D76"/>
    <w:rsid w:val="00960755"/>
    <w:rsid w:val="009736C5"/>
    <w:rsid w:val="00974C2C"/>
    <w:rsid w:val="00985946"/>
    <w:rsid w:val="009870B7"/>
    <w:rsid w:val="00993E87"/>
    <w:rsid w:val="00996083"/>
    <w:rsid w:val="0099629D"/>
    <w:rsid w:val="00996DE6"/>
    <w:rsid w:val="009976BD"/>
    <w:rsid w:val="009A2A8A"/>
    <w:rsid w:val="009A7378"/>
    <w:rsid w:val="009A77A5"/>
    <w:rsid w:val="009B1EBB"/>
    <w:rsid w:val="009C3276"/>
    <w:rsid w:val="009C5955"/>
    <w:rsid w:val="009C5EEB"/>
    <w:rsid w:val="009D5711"/>
    <w:rsid w:val="009D6378"/>
    <w:rsid w:val="009D6B46"/>
    <w:rsid w:val="009E13C7"/>
    <w:rsid w:val="009E40B4"/>
    <w:rsid w:val="009E7BEB"/>
    <w:rsid w:val="009F0A66"/>
    <w:rsid w:val="009F7DBC"/>
    <w:rsid w:val="00A00342"/>
    <w:rsid w:val="00A01CED"/>
    <w:rsid w:val="00A02F7F"/>
    <w:rsid w:val="00A03C2E"/>
    <w:rsid w:val="00A1294B"/>
    <w:rsid w:val="00A13852"/>
    <w:rsid w:val="00A24808"/>
    <w:rsid w:val="00A27D9D"/>
    <w:rsid w:val="00A31F85"/>
    <w:rsid w:val="00A327FE"/>
    <w:rsid w:val="00A435E0"/>
    <w:rsid w:val="00A464AD"/>
    <w:rsid w:val="00A74994"/>
    <w:rsid w:val="00A875C2"/>
    <w:rsid w:val="00AC10E8"/>
    <w:rsid w:val="00AC1D02"/>
    <w:rsid w:val="00AC25C7"/>
    <w:rsid w:val="00AD0971"/>
    <w:rsid w:val="00AD0BAC"/>
    <w:rsid w:val="00AE1FD4"/>
    <w:rsid w:val="00AE21BD"/>
    <w:rsid w:val="00AF38CF"/>
    <w:rsid w:val="00B16CC3"/>
    <w:rsid w:val="00B22103"/>
    <w:rsid w:val="00B377FC"/>
    <w:rsid w:val="00B5037C"/>
    <w:rsid w:val="00B50964"/>
    <w:rsid w:val="00B606B9"/>
    <w:rsid w:val="00B63E39"/>
    <w:rsid w:val="00B6536E"/>
    <w:rsid w:val="00B6549D"/>
    <w:rsid w:val="00B734F2"/>
    <w:rsid w:val="00B84A0C"/>
    <w:rsid w:val="00B9067D"/>
    <w:rsid w:val="00B963DC"/>
    <w:rsid w:val="00BB081F"/>
    <w:rsid w:val="00BB16A6"/>
    <w:rsid w:val="00BB597D"/>
    <w:rsid w:val="00BC323E"/>
    <w:rsid w:val="00BC4669"/>
    <w:rsid w:val="00BC70C2"/>
    <w:rsid w:val="00BC7DDE"/>
    <w:rsid w:val="00BD31F0"/>
    <w:rsid w:val="00BD6E5E"/>
    <w:rsid w:val="00BE0CEE"/>
    <w:rsid w:val="00BE35A0"/>
    <w:rsid w:val="00C04303"/>
    <w:rsid w:val="00C05A87"/>
    <w:rsid w:val="00C06B63"/>
    <w:rsid w:val="00C0742E"/>
    <w:rsid w:val="00C10899"/>
    <w:rsid w:val="00C11130"/>
    <w:rsid w:val="00C27F11"/>
    <w:rsid w:val="00C36C69"/>
    <w:rsid w:val="00C40217"/>
    <w:rsid w:val="00C47030"/>
    <w:rsid w:val="00C50E37"/>
    <w:rsid w:val="00C52495"/>
    <w:rsid w:val="00C75DCC"/>
    <w:rsid w:val="00C762FE"/>
    <w:rsid w:val="00C76DD7"/>
    <w:rsid w:val="00C84685"/>
    <w:rsid w:val="00C850A2"/>
    <w:rsid w:val="00C85DA5"/>
    <w:rsid w:val="00CA65E9"/>
    <w:rsid w:val="00CB0756"/>
    <w:rsid w:val="00CB41C9"/>
    <w:rsid w:val="00CB5607"/>
    <w:rsid w:val="00CB7ECE"/>
    <w:rsid w:val="00CC1FC5"/>
    <w:rsid w:val="00CD01EC"/>
    <w:rsid w:val="00CD2D75"/>
    <w:rsid w:val="00CD3BB1"/>
    <w:rsid w:val="00CD62F9"/>
    <w:rsid w:val="00CD731C"/>
    <w:rsid w:val="00CE52CA"/>
    <w:rsid w:val="00CF2DB0"/>
    <w:rsid w:val="00CF5E50"/>
    <w:rsid w:val="00D158D1"/>
    <w:rsid w:val="00D179A9"/>
    <w:rsid w:val="00D214B6"/>
    <w:rsid w:val="00D24961"/>
    <w:rsid w:val="00D25B9C"/>
    <w:rsid w:val="00D31229"/>
    <w:rsid w:val="00D35F78"/>
    <w:rsid w:val="00D47C59"/>
    <w:rsid w:val="00D5295E"/>
    <w:rsid w:val="00D53690"/>
    <w:rsid w:val="00D64014"/>
    <w:rsid w:val="00D666C3"/>
    <w:rsid w:val="00D67D98"/>
    <w:rsid w:val="00D759EC"/>
    <w:rsid w:val="00DA0472"/>
    <w:rsid w:val="00DC1FA6"/>
    <w:rsid w:val="00DD2C2E"/>
    <w:rsid w:val="00DD37FD"/>
    <w:rsid w:val="00DD48D7"/>
    <w:rsid w:val="00DD56B1"/>
    <w:rsid w:val="00DD700C"/>
    <w:rsid w:val="00DE0757"/>
    <w:rsid w:val="00DE1218"/>
    <w:rsid w:val="00DE167D"/>
    <w:rsid w:val="00DE30EC"/>
    <w:rsid w:val="00DE491C"/>
    <w:rsid w:val="00DF0200"/>
    <w:rsid w:val="00DF5A0D"/>
    <w:rsid w:val="00E0366E"/>
    <w:rsid w:val="00E03D0B"/>
    <w:rsid w:val="00E04769"/>
    <w:rsid w:val="00E05C69"/>
    <w:rsid w:val="00E07DED"/>
    <w:rsid w:val="00E1144C"/>
    <w:rsid w:val="00E1219D"/>
    <w:rsid w:val="00E12F8D"/>
    <w:rsid w:val="00E153AD"/>
    <w:rsid w:val="00E15B71"/>
    <w:rsid w:val="00E237B4"/>
    <w:rsid w:val="00E23EA7"/>
    <w:rsid w:val="00E27778"/>
    <w:rsid w:val="00E32E4A"/>
    <w:rsid w:val="00E350F4"/>
    <w:rsid w:val="00E42157"/>
    <w:rsid w:val="00E464BF"/>
    <w:rsid w:val="00E51217"/>
    <w:rsid w:val="00E51855"/>
    <w:rsid w:val="00E76064"/>
    <w:rsid w:val="00E82FF2"/>
    <w:rsid w:val="00E833B0"/>
    <w:rsid w:val="00E91609"/>
    <w:rsid w:val="00E958CA"/>
    <w:rsid w:val="00EA1C23"/>
    <w:rsid w:val="00EB2CF0"/>
    <w:rsid w:val="00EC04E0"/>
    <w:rsid w:val="00EC3011"/>
    <w:rsid w:val="00EC441F"/>
    <w:rsid w:val="00EC5415"/>
    <w:rsid w:val="00ED34D6"/>
    <w:rsid w:val="00ED3E2A"/>
    <w:rsid w:val="00ED5D37"/>
    <w:rsid w:val="00EE028E"/>
    <w:rsid w:val="00EE77E8"/>
    <w:rsid w:val="00EF3395"/>
    <w:rsid w:val="00F17D87"/>
    <w:rsid w:val="00F22B5F"/>
    <w:rsid w:val="00F32ED4"/>
    <w:rsid w:val="00F348DE"/>
    <w:rsid w:val="00F36565"/>
    <w:rsid w:val="00F40C1C"/>
    <w:rsid w:val="00F413C6"/>
    <w:rsid w:val="00F466E9"/>
    <w:rsid w:val="00F513E3"/>
    <w:rsid w:val="00F76004"/>
    <w:rsid w:val="00F770E2"/>
    <w:rsid w:val="00F77ADA"/>
    <w:rsid w:val="00F82EE7"/>
    <w:rsid w:val="00F95116"/>
    <w:rsid w:val="00F97E76"/>
    <w:rsid w:val="00FA64C3"/>
    <w:rsid w:val="00FB65F5"/>
    <w:rsid w:val="00FC0A11"/>
    <w:rsid w:val="00FC7F36"/>
    <w:rsid w:val="00FD5387"/>
    <w:rsid w:val="00FF0574"/>
    <w:rsid w:val="00FF2DFF"/>
    <w:rsid w:val="00FF3232"/>
    <w:rsid w:val="00FF7265"/>
    <w:rsid w:val="069D3983"/>
    <w:rsid w:val="0BC425EB"/>
    <w:rsid w:val="0EBF1B7D"/>
    <w:rsid w:val="0EDC46DD"/>
    <w:rsid w:val="207F3D0A"/>
    <w:rsid w:val="339A0886"/>
    <w:rsid w:val="3B0F485F"/>
    <w:rsid w:val="3D6F7195"/>
    <w:rsid w:val="5F9F1992"/>
    <w:rsid w:val="61BF13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Body Text 2" w:semiHidden="0" w:uiPriority="0" w:unhideWhenUsed="0"/>
    <w:lsdException w:name="Hyperlink" w:semiHidden="0" w:qFormat="1"/>
    <w:lsdException w:name="Strong" w:semiHidden="0" w:uiPriority="22" w:unhideWhenUsed="0" w:qFormat="1"/>
    <w:lsdException w:name="Emphasis" w:semiHidden="0" w:uiPriority="20" w:unhideWhenUsed="0" w:qFormat="1"/>
    <w:lsdException w:name="Normal (Web)" w:semiHidden="0"/>
    <w:lsdException w:name="HTML Preformatted" w:semiHidden="0"/>
    <w:lsdException w:name="Normal Table" w:semiHidden="0" w:qFormat="1"/>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宋体" w:hAnsi="宋体" w:cs="宋体"/>
      <w:b/>
      <w:bCs/>
      <w:kern w:val="36"/>
      <w:sz w:val="48"/>
      <w:szCs w:val="48"/>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kern w:val="2"/>
      <w:sz w:val="21"/>
      <w:szCs w:val="22"/>
    </w:rPr>
  </w:style>
  <w:style w:type="paragraph" w:styleId="a5">
    <w:name w:val="Balloon Text"/>
    <w:basedOn w:val="a"/>
    <w:link w:val="a6"/>
    <w:uiPriority w:val="99"/>
    <w:unhideWhenUsed/>
    <w:rPr>
      <w:sz w:val="18"/>
      <w:szCs w:val="18"/>
    </w:rPr>
  </w:style>
  <w:style w:type="character" w:customStyle="1" w:styleId="a6">
    <w:name w:val="批注框文本 字符"/>
    <w:link w:val="a5"/>
    <w:uiPriority w:val="99"/>
    <w:semiHidden/>
    <w:rPr>
      <w:kern w:val="2"/>
      <w:sz w:val="18"/>
      <w:szCs w:val="18"/>
    </w:rPr>
  </w:style>
  <w:style w:type="paragraph" w:styleId="a7">
    <w:name w:val="footer"/>
    <w:basedOn w:val="a"/>
    <w:link w:val="a8"/>
    <w:uiPriority w:val="99"/>
    <w:unhideWhenUsed/>
    <w:pPr>
      <w:tabs>
        <w:tab w:val="center" w:pos="4153"/>
        <w:tab w:val="right" w:pos="8306"/>
      </w:tabs>
      <w:snapToGrid w:val="0"/>
      <w:jc w:val="left"/>
    </w:pPr>
    <w:rPr>
      <w:kern w:val="0"/>
      <w:sz w:val="18"/>
      <w:szCs w:val="18"/>
    </w:rPr>
  </w:style>
  <w:style w:type="character" w:customStyle="1" w:styleId="a8">
    <w:name w:val="页脚 字符"/>
    <w:link w:val="a7"/>
    <w:uiPriority w:val="99"/>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aa">
    <w:name w:val="页眉 字符"/>
    <w:link w:val="a9"/>
    <w:uiPriority w:val="99"/>
    <w:rPr>
      <w:sz w:val="18"/>
      <w:szCs w:val="18"/>
    </w:rPr>
  </w:style>
  <w:style w:type="paragraph" w:styleId="2">
    <w:name w:val="Body Text 2"/>
    <w:basedOn w:val="a"/>
    <w:link w:val="20"/>
    <w:rPr>
      <w:sz w:val="24"/>
      <w:szCs w:val="20"/>
    </w:rPr>
  </w:style>
  <w:style w:type="character" w:customStyle="1" w:styleId="20">
    <w:name w:val="正文文本 2 字符"/>
    <w:link w:val="2"/>
    <w:rPr>
      <w:rFonts w:ascii="Times New Roman" w:hAnsi="Times New Roman"/>
      <w:kern w:val="2"/>
      <w:sz w:val="24"/>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link w:val="HTML"/>
    <w:uiPriority w:val="99"/>
    <w:semiHidden/>
    <w:rPr>
      <w:rFonts w:ascii="宋体" w:eastAsia="宋体" w:hAnsi="宋体" w:cs="宋体"/>
      <w:kern w:val="0"/>
      <w:sz w:val="24"/>
      <w:szCs w:val="24"/>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unhideWhenUsed/>
    <w:rPr>
      <w:b/>
      <w:bCs/>
    </w:rPr>
  </w:style>
  <w:style w:type="character" w:customStyle="1" w:styleId="ad">
    <w:name w:val="批注主题 字符"/>
    <w:link w:val="ac"/>
    <w:uiPriority w:val="99"/>
    <w:semiHidden/>
    <w:rPr>
      <w:b/>
      <w:bCs/>
      <w:kern w:val="2"/>
      <w:sz w:val="21"/>
      <w:szCs w:val="22"/>
    </w:rPr>
  </w:style>
  <w:style w:type="character" w:styleId="ae">
    <w:name w:val="Hyperlink"/>
    <w:uiPriority w:val="99"/>
    <w:unhideWhenUsed/>
    <w:qFormat/>
    <w:rPr>
      <w:color w:val="0000FF"/>
      <w:u w:val="single"/>
    </w:rPr>
  </w:style>
  <w:style w:type="character" w:styleId="af">
    <w:name w:val="annotation reference"/>
    <w:uiPriority w:val="99"/>
    <w:unhideWhenUsed/>
    <w:rPr>
      <w:sz w:val="21"/>
      <w:szCs w:val="21"/>
    </w:rPr>
  </w:style>
  <w:style w:type="character" w:customStyle="1" w:styleId="txtcontent11">
    <w:name w:val="txtcontent11"/>
    <w:rPr>
      <w:rFonts w:ascii="ˎ̥" w:hAnsi="ˎ̥" w:hint="default"/>
      <w:b w:val="0"/>
      <w:bCs w:val="0"/>
      <w:color w:val="000000"/>
      <w:sz w:val="17"/>
      <w:szCs w:val="17"/>
    </w:rPr>
  </w:style>
  <w:style w:type="paragraph" w:styleId="af0">
    <w:name w:val="列表段落"/>
    <w:basedOn w:val="a"/>
    <w:uiPriority w:val="34"/>
    <w:qFormat/>
    <w:pPr>
      <w:ind w:firstLineChars="200" w:firstLine="420"/>
    </w:pPr>
  </w:style>
  <w:style w:type="paragraph" w:customStyle="1" w:styleId="11">
    <w:name w:val="列出段落1"/>
    <w:basedOn w:val="a"/>
    <w:uiPriority w:val="34"/>
    <w:unhideWhenUsed/>
    <w:pPr>
      <w:ind w:firstLineChars="200" w:firstLine="420"/>
    </w:pPr>
    <w:rPr>
      <w:szCs w:val="24"/>
    </w:rPr>
  </w:style>
  <w:style w:type="character" w:customStyle="1" w:styleId="af1">
    <w:name w:val="未处理的提及"/>
    <w:uiPriority w:val="99"/>
    <w:unhideWhenUsed/>
    <w:rPr>
      <w:color w:val="605E5C"/>
      <w:shd w:val="clear" w:color="auto" w:fill="E1DFDD"/>
    </w:rPr>
  </w:style>
  <w:style w:type="paragraph" w:styleId="af2">
    <w:name w:val="Revision"/>
    <w:uiPriority w:val="99"/>
    <w:unhideWhenUsed/>
    <w:rPr>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44"/>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sence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4</DocSecurity>
  <PresentationFormat/>
  <Lines>9</Lines>
  <Paragraphs>2</Paragraphs>
  <Slides>0</Slides>
  <Notes>0</Notes>
  <HiddenSlides>0</HiddenSlides>
  <MMClips>0</MMClips>
  <ScaleCrop>false</ScaleCrop>
  <Manager/>
  <Company/>
  <LinksUpToDate>false</LinksUpToDate>
  <CharactersWithSpaces>1352</CharactersWithSpaces>
  <SharedDoc>false</SharedDoc>
  <HLinks>
    <vt:vector size="6" baseType="variant">
      <vt:variant>
        <vt:i4>2687084</vt:i4>
      </vt:variant>
      <vt:variant>
        <vt:i4>0</vt:i4>
      </vt:variant>
      <vt:variant>
        <vt:i4>0</vt:i4>
      </vt:variant>
      <vt:variant>
        <vt:i4>5</vt:i4>
      </vt:variant>
      <vt:variant>
        <vt:lpwstr>http://www.essencefund.com/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刘亦璇</dc:creator>
  <cp:keywords/>
  <dc:description/>
  <cp:lastModifiedBy>ZHONGM</cp:lastModifiedBy>
  <cp:revision>2</cp:revision>
  <cp:lastPrinted>2024-02-05T01:58:00Z</cp:lastPrinted>
  <dcterms:created xsi:type="dcterms:W3CDTF">2024-12-12T16:01:00Z</dcterms:created>
  <dcterms:modified xsi:type="dcterms:W3CDTF">2024-12-12T16:01:00Z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7280C6255FBD4143B04890009CE42CEA_12</vt:lpwstr>
  </property>
</Properties>
</file>