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71540">
      <w:pPr>
        <w:widowControl/>
        <w:jc w:val="center"/>
        <w:rPr>
          <w:rFonts w:eastAsia="黑体" w:cs="黑体" w:hint="eastAsia"/>
          <w:b/>
          <w:bCs/>
          <w:kern w:val="0"/>
          <w:szCs w:val="32"/>
        </w:rPr>
      </w:pPr>
      <w:r>
        <w:rPr>
          <w:rFonts w:eastAsia="黑体" w:cs="黑体" w:hint="eastAsia"/>
          <w:b/>
          <w:bCs/>
          <w:kern w:val="0"/>
          <w:szCs w:val="32"/>
        </w:rPr>
        <w:t>2024</w:t>
      </w:r>
      <w:r>
        <w:rPr>
          <w:rFonts w:eastAsia="黑体" w:cs="黑体" w:hint="eastAsia"/>
          <w:b/>
          <w:bCs/>
          <w:kern w:val="0"/>
          <w:szCs w:val="32"/>
        </w:rPr>
        <w:t>年度东吴瑞盈</w:t>
      </w:r>
      <w:r>
        <w:rPr>
          <w:rFonts w:eastAsia="黑体" w:cs="黑体" w:hint="eastAsia"/>
          <w:b/>
          <w:bCs/>
          <w:kern w:val="0"/>
          <w:szCs w:val="32"/>
        </w:rPr>
        <w:t>63</w:t>
      </w:r>
      <w:r>
        <w:rPr>
          <w:rFonts w:eastAsia="黑体" w:cs="黑体" w:hint="eastAsia"/>
          <w:b/>
          <w:bCs/>
          <w:kern w:val="0"/>
          <w:szCs w:val="32"/>
        </w:rPr>
        <w:t>个月定期开放债券型证券投资基金</w:t>
      </w:r>
    </w:p>
    <w:p w:rsidR="00000000" w:rsidRDefault="00271540">
      <w:pPr>
        <w:widowControl/>
        <w:jc w:val="center"/>
        <w:rPr>
          <w:rFonts w:eastAsia="黑体" w:cs="黑体" w:hint="eastAsia"/>
          <w:b/>
          <w:bCs/>
          <w:kern w:val="0"/>
          <w:szCs w:val="32"/>
        </w:rPr>
      </w:pPr>
      <w:r>
        <w:rPr>
          <w:rFonts w:eastAsia="黑体" w:cs="黑体" w:hint="eastAsia"/>
          <w:b/>
          <w:bCs/>
          <w:kern w:val="0"/>
          <w:szCs w:val="32"/>
        </w:rPr>
        <w:t>分红公告</w:t>
      </w:r>
    </w:p>
    <w:p w:rsidR="00000000" w:rsidRDefault="00271540">
      <w:pPr>
        <w:spacing w:line="560" w:lineRule="exact"/>
        <w:jc w:val="center"/>
        <w:rPr>
          <w:rFonts w:eastAsia="宋体" w:cs="宋体" w:hint="eastAsia"/>
          <w:sz w:val="24"/>
          <w:szCs w:val="24"/>
        </w:rPr>
      </w:pPr>
      <w:r>
        <w:rPr>
          <w:rFonts w:eastAsia="宋体" w:cs="宋体" w:hint="eastAsia"/>
          <w:sz w:val="24"/>
          <w:szCs w:val="24"/>
        </w:rPr>
        <w:t>公告送出日期：</w:t>
      </w:r>
      <w:r>
        <w:rPr>
          <w:rFonts w:eastAsia="宋体" w:cs="宋体" w:hint="eastAsia"/>
          <w:sz w:val="24"/>
          <w:szCs w:val="24"/>
        </w:rPr>
        <w:t>2024</w:t>
      </w:r>
      <w:r>
        <w:rPr>
          <w:rFonts w:eastAsia="宋体" w:cs="宋体" w:hint="eastAsia"/>
          <w:sz w:val="24"/>
          <w:szCs w:val="24"/>
        </w:rPr>
        <w:t>年</w:t>
      </w:r>
      <w:r>
        <w:rPr>
          <w:rFonts w:eastAsia="宋体" w:cs="宋体" w:hint="eastAsia"/>
          <w:sz w:val="24"/>
          <w:szCs w:val="24"/>
        </w:rPr>
        <w:t>12</w:t>
      </w:r>
      <w:r>
        <w:rPr>
          <w:rFonts w:eastAsia="宋体" w:cs="宋体" w:hint="eastAsia"/>
          <w:sz w:val="24"/>
          <w:szCs w:val="24"/>
        </w:rPr>
        <w:t>月</w:t>
      </w:r>
      <w:r>
        <w:rPr>
          <w:rFonts w:eastAsia="宋体" w:cs="宋体" w:hint="eastAsia"/>
          <w:sz w:val="24"/>
          <w:szCs w:val="24"/>
        </w:rPr>
        <w:t>12</w:t>
      </w:r>
      <w:r>
        <w:rPr>
          <w:rFonts w:eastAsia="宋体" w:cs="宋体" w:hint="eastAsia"/>
          <w:sz w:val="24"/>
          <w:szCs w:val="24"/>
        </w:rPr>
        <w:t>日</w:t>
      </w:r>
    </w:p>
    <w:p w:rsidR="00000000" w:rsidRDefault="00271540">
      <w:pPr>
        <w:pStyle w:val="2"/>
        <w:spacing w:line="560" w:lineRule="exact"/>
        <w:rPr>
          <w:rFonts w:ascii="Times New Roman" w:eastAsia="宋体" w:hAnsi="Times New Roman" w:cs="宋体" w:hint="eastAsia"/>
          <w:bCs w:val="0"/>
          <w:sz w:val="24"/>
          <w:szCs w:val="24"/>
        </w:rPr>
      </w:pPr>
      <w:bookmarkStart w:id="0" w:name="_Toc275961418"/>
      <w:r>
        <w:rPr>
          <w:rFonts w:ascii="Times New Roman" w:eastAsia="宋体" w:hAnsi="Times New Roman" w:cs="宋体" w:hint="eastAsia"/>
          <w:bCs w:val="0"/>
          <w:sz w:val="24"/>
          <w:szCs w:val="24"/>
        </w:rPr>
        <w:t xml:space="preserve">1 </w:t>
      </w:r>
      <w:r>
        <w:rPr>
          <w:rFonts w:ascii="Times New Roman" w:eastAsia="宋体" w:hAnsi="Times New Roman" w:cs="宋体" w:hint="eastAsia"/>
          <w:bCs w:val="0"/>
          <w:sz w:val="24"/>
          <w:szCs w:val="24"/>
        </w:rPr>
        <w:t>公告基本信息</w:t>
      </w:r>
      <w:bookmarkEnd w:id="0"/>
    </w:p>
    <w:tbl>
      <w:tblPr>
        <w:tblW w:w="828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8"/>
        <w:gridCol w:w="2391"/>
        <w:gridCol w:w="4586"/>
      </w:tblGrid>
      <w:tr w:rsidR="00000000">
        <w:trPr>
          <w:jc w:val="center"/>
        </w:trPr>
        <w:tc>
          <w:tcPr>
            <w:tcW w:w="3699" w:type="dxa"/>
            <w:gridSpan w:val="2"/>
          </w:tcPr>
          <w:p w:rsidR="00000000" w:rsidRDefault="00271540">
            <w:pPr>
              <w:spacing w:line="360" w:lineRule="auto"/>
              <w:jc w:val="left"/>
              <w:rPr>
                <w:rFonts w:eastAsia="宋体" w:cs="宋体" w:hint="eastAsia"/>
                <w:sz w:val="21"/>
                <w:szCs w:val="21"/>
              </w:rPr>
            </w:pPr>
            <w:r>
              <w:rPr>
                <w:rFonts w:eastAsia="宋体" w:cs="宋体" w:hint="eastAsia"/>
                <w:sz w:val="21"/>
                <w:szCs w:val="21"/>
              </w:rPr>
              <w:t>基金名称</w:t>
            </w:r>
          </w:p>
        </w:tc>
        <w:tc>
          <w:tcPr>
            <w:tcW w:w="4586" w:type="dxa"/>
            <w:vAlign w:val="center"/>
          </w:tcPr>
          <w:p w:rsidR="00000000" w:rsidRDefault="00271540">
            <w:pPr>
              <w:jc w:val="left"/>
              <w:rPr>
                <w:rFonts w:eastAsia="宋体" w:cs="宋体" w:hint="eastAsia"/>
                <w:sz w:val="21"/>
                <w:szCs w:val="21"/>
              </w:rPr>
            </w:pPr>
            <w:r>
              <w:rPr>
                <w:rFonts w:eastAsia="宋体" w:cs="宋体" w:hint="eastAsia"/>
                <w:sz w:val="21"/>
                <w:szCs w:val="21"/>
              </w:rPr>
              <w:t>东吴瑞盈</w:t>
            </w:r>
            <w:r>
              <w:rPr>
                <w:rFonts w:eastAsia="宋体" w:cs="宋体" w:hint="eastAsia"/>
                <w:sz w:val="21"/>
                <w:szCs w:val="21"/>
              </w:rPr>
              <w:t>63</w:t>
            </w:r>
            <w:r>
              <w:rPr>
                <w:rFonts w:eastAsia="宋体" w:cs="宋体" w:hint="eastAsia"/>
                <w:sz w:val="21"/>
                <w:szCs w:val="21"/>
              </w:rPr>
              <w:t>个月定期开放债券型证券投资基金</w:t>
            </w:r>
          </w:p>
        </w:tc>
      </w:tr>
      <w:tr w:rsidR="00000000">
        <w:trPr>
          <w:jc w:val="center"/>
        </w:trPr>
        <w:tc>
          <w:tcPr>
            <w:tcW w:w="3699" w:type="dxa"/>
            <w:gridSpan w:val="2"/>
          </w:tcPr>
          <w:p w:rsidR="00000000" w:rsidRDefault="00271540">
            <w:pPr>
              <w:spacing w:line="360" w:lineRule="auto"/>
              <w:jc w:val="left"/>
              <w:rPr>
                <w:rFonts w:eastAsia="宋体" w:cs="宋体" w:hint="eastAsia"/>
                <w:sz w:val="21"/>
                <w:szCs w:val="21"/>
              </w:rPr>
            </w:pPr>
            <w:r>
              <w:rPr>
                <w:rFonts w:eastAsia="宋体" w:cs="宋体" w:hint="eastAsia"/>
                <w:sz w:val="21"/>
                <w:szCs w:val="21"/>
              </w:rPr>
              <w:t>基金简称</w:t>
            </w:r>
          </w:p>
        </w:tc>
        <w:tc>
          <w:tcPr>
            <w:tcW w:w="4586" w:type="dxa"/>
            <w:vAlign w:val="center"/>
          </w:tcPr>
          <w:p w:rsidR="00000000" w:rsidRDefault="00271540">
            <w:pPr>
              <w:jc w:val="left"/>
              <w:rPr>
                <w:rFonts w:eastAsia="宋体" w:cs="宋体" w:hint="eastAsia"/>
                <w:sz w:val="21"/>
                <w:szCs w:val="21"/>
              </w:rPr>
            </w:pPr>
            <w:r>
              <w:rPr>
                <w:rFonts w:eastAsia="宋体" w:cs="宋体" w:hint="eastAsia"/>
                <w:sz w:val="21"/>
                <w:szCs w:val="21"/>
              </w:rPr>
              <w:t>东吴瑞盈</w:t>
            </w:r>
            <w:r>
              <w:rPr>
                <w:rFonts w:eastAsia="宋体" w:cs="宋体" w:hint="eastAsia"/>
                <w:sz w:val="21"/>
                <w:szCs w:val="21"/>
              </w:rPr>
              <w:t>63</w:t>
            </w:r>
            <w:r>
              <w:rPr>
                <w:rFonts w:eastAsia="宋体" w:cs="宋体" w:hint="eastAsia"/>
                <w:sz w:val="21"/>
                <w:szCs w:val="21"/>
              </w:rPr>
              <w:t>个月定开债券</w:t>
            </w:r>
          </w:p>
        </w:tc>
      </w:tr>
      <w:tr w:rsidR="00000000">
        <w:trPr>
          <w:jc w:val="center"/>
        </w:trPr>
        <w:tc>
          <w:tcPr>
            <w:tcW w:w="3699" w:type="dxa"/>
            <w:gridSpan w:val="2"/>
          </w:tcPr>
          <w:p w:rsidR="00000000" w:rsidRDefault="00271540">
            <w:pPr>
              <w:spacing w:line="360" w:lineRule="auto"/>
              <w:jc w:val="left"/>
              <w:rPr>
                <w:rFonts w:eastAsia="宋体" w:cs="宋体" w:hint="eastAsia"/>
                <w:sz w:val="21"/>
                <w:szCs w:val="21"/>
              </w:rPr>
            </w:pPr>
            <w:r>
              <w:rPr>
                <w:rFonts w:eastAsia="宋体" w:cs="宋体" w:hint="eastAsia"/>
                <w:sz w:val="21"/>
                <w:szCs w:val="21"/>
              </w:rPr>
              <w:t>基金主代码</w:t>
            </w:r>
          </w:p>
        </w:tc>
        <w:tc>
          <w:tcPr>
            <w:tcW w:w="4586" w:type="dxa"/>
            <w:vAlign w:val="center"/>
          </w:tcPr>
          <w:p w:rsidR="00000000" w:rsidRDefault="00271540">
            <w:pPr>
              <w:jc w:val="left"/>
              <w:rPr>
                <w:rFonts w:eastAsia="宋体" w:cs="宋体"/>
                <w:sz w:val="21"/>
                <w:szCs w:val="21"/>
              </w:rPr>
            </w:pPr>
            <w:r>
              <w:rPr>
                <w:rFonts w:eastAsia="宋体" w:cs="宋体" w:hint="eastAsia"/>
                <w:sz w:val="21"/>
                <w:szCs w:val="21"/>
              </w:rPr>
              <w:t>010719</w:t>
            </w:r>
          </w:p>
        </w:tc>
      </w:tr>
      <w:tr w:rsidR="00000000">
        <w:trPr>
          <w:jc w:val="center"/>
        </w:trPr>
        <w:tc>
          <w:tcPr>
            <w:tcW w:w="3699" w:type="dxa"/>
            <w:gridSpan w:val="2"/>
          </w:tcPr>
          <w:p w:rsidR="00000000" w:rsidRDefault="00271540">
            <w:pPr>
              <w:spacing w:line="360" w:lineRule="auto"/>
              <w:jc w:val="left"/>
              <w:rPr>
                <w:rFonts w:eastAsia="宋体" w:cs="宋体" w:hint="eastAsia"/>
                <w:sz w:val="21"/>
                <w:szCs w:val="21"/>
              </w:rPr>
            </w:pPr>
            <w:r>
              <w:rPr>
                <w:rFonts w:eastAsia="宋体" w:cs="宋体" w:hint="eastAsia"/>
                <w:sz w:val="21"/>
                <w:szCs w:val="21"/>
              </w:rPr>
              <w:t>基金合同生效日</w:t>
            </w:r>
          </w:p>
        </w:tc>
        <w:tc>
          <w:tcPr>
            <w:tcW w:w="4586" w:type="dxa"/>
            <w:vAlign w:val="center"/>
          </w:tcPr>
          <w:p w:rsidR="00000000" w:rsidRDefault="00271540">
            <w:pPr>
              <w:jc w:val="left"/>
              <w:rPr>
                <w:rFonts w:eastAsia="宋体" w:cs="宋体" w:hint="eastAsia"/>
                <w:sz w:val="21"/>
                <w:szCs w:val="21"/>
              </w:rPr>
            </w:pPr>
            <w:r>
              <w:rPr>
                <w:rFonts w:eastAsia="宋体" w:cs="宋体" w:hint="eastAsia"/>
                <w:sz w:val="21"/>
                <w:szCs w:val="21"/>
              </w:rPr>
              <w:t>20</w:t>
            </w:r>
            <w:r>
              <w:rPr>
                <w:rFonts w:eastAsia="宋体" w:cs="宋体" w:hint="eastAsia"/>
                <w:sz w:val="21"/>
                <w:szCs w:val="21"/>
              </w:rPr>
              <w:t>21</w:t>
            </w:r>
            <w:r>
              <w:rPr>
                <w:rFonts w:eastAsia="宋体" w:cs="宋体" w:hint="eastAsia"/>
                <w:sz w:val="21"/>
                <w:szCs w:val="21"/>
              </w:rPr>
              <w:t>年</w:t>
            </w:r>
            <w:r>
              <w:rPr>
                <w:rFonts w:eastAsia="宋体" w:cs="宋体" w:hint="eastAsia"/>
                <w:sz w:val="21"/>
                <w:szCs w:val="21"/>
              </w:rPr>
              <w:t>2</w:t>
            </w:r>
            <w:r>
              <w:rPr>
                <w:rFonts w:eastAsia="宋体" w:cs="宋体" w:hint="eastAsia"/>
                <w:sz w:val="21"/>
                <w:szCs w:val="21"/>
              </w:rPr>
              <w:t>月</w:t>
            </w:r>
            <w:r>
              <w:rPr>
                <w:rFonts w:eastAsia="宋体" w:cs="宋体" w:hint="eastAsia"/>
                <w:sz w:val="21"/>
                <w:szCs w:val="21"/>
              </w:rPr>
              <w:t>8</w:t>
            </w:r>
            <w:r>
              <w:rPr>
                <w:rFonts w:eastAsia="宋体" w:cs="宋体" w:hint="eastAsia"/>
                <w:sz w:val="21"/>
                <w:szCs w:val="21"/>
              </w:rPr>
              <w:t>日</w:t>
            </w:r>
          </w:p>
        </w:tc>
      </w:tr>
      <w:tr w:rsidR="00000000">
        <w:trPr>
          <w:jc w:val="center"/>
        </w:trPr>
        <w:tc>
          <w:tcPr>
            <w:tcW w:w="3699" w:type="dxa"/>
            <w:gridSpan w:val="2"/>
          </w:tcPr>
          <w:p w:rsidR="00000000" w:rsidRDefault="00271540">
            <w:pPr>
              <w:spacing w:line="360" w:lineRule="auto"/>
              <w:jc w:val="left"/>
              <w:rPr>
                <w:rFonts w:eastAsia="宋体" w:cs="宋体" w:hint="eastAsia"/>
                <w:sz w:val="21"/>
                <w:szCs w:val="21"/>
              </w:rPr>
            </w:pPr>
            <w:r>
              <w:rPr>
                <w:rFonts w:eastAsia="宋体" w:cs="宋体" w:hint="eastAsia"/>
                <w:sz w:val="21"/>
                <w:szCs w:val="21"/>
              </w:rPr>
              <w:t>基金管理人名称</w:t>
            </w:r>
          </w:p>
        </w:tc>
        <w:tc>
          <w:tcPr>
            <w:tcW w:w="4586" w:type="dxa"/>
            <w:vAlign w:val="center"/>
          </w:tcPr>
          <w:p w:rsidR="00000000" w:rsidRDefault="00271540">
            <w:pPr>
              <w:jc w:val="left"/>
              <w:rPr>
                <w:rFonts w:eastAsia="宋体" w:cs="宋体" w:hint="eastAsia"/>
                <w:sz w:val="21"/>
                <w:szCs w:val="21"/>
              </w:rPr>
            </w:pPr>
            <w:r>
              <w:rPr>
                <w:rFonts w:eastAsia="宋体" w:cs="宋体" w:hint="eastAsia"/>
                <w:sz w:val="21"/>
                <w:szCs w:val="21"/>
              </w:rPr>
              <w:t>东吴基金管理有限公司</w:t>
            </w:r>
          </w:p>
        </w:tc>
      </w:tr>
      <w:tr w:rsidR="00000000">
        <w:trPr>
          <w:jc w:val="center"/>
        </w:trPr>
        <w:tc>
          <w:tcPr>
            <w:tcW w:w="3699" w:type="dxa"/>
            <w:gridSpan w:val="2"/>
          </w:tcPr>
          <w:p w:rsidR="00000000" w:rsidRDefault="00271540">
            <w:pPr>
              <w:spacing w:line="360" w:lineRule="auto"/>
              <w:jc w:val="left"/>
              <w:rPr>
                <w:rFonts w:eastAsia="宋体" w:cs="宋体" w:hint="eastAsia"/>
                <w:sz w:val="21"/>
                <w:szCs w:val="21"/>
              </w:rPr>
            </w:pPr>
            <w:r>
              <w:rPr>
                <w:rFonts w:eastAsia="宋体" w:cs="宋体" w:hint="eastAsia"/>
                <w:sz w:val="21"/>
                <w:szCs w:val="21"/>
              </w:rPr>
              <w:t>基金托管人名称</w:t>
            </w:r>
          </w:p>
        </w:tc>
        <w:tc>
          <w:tcPr>
            <w:tcW w:w="4586" w:type="dxa"/>
            <w:vAlign w:val="center"/>
          </w:tcPr>
          <w:p w:rsidR="00000000" w:rsidRDefault="00271540">
            <w:pPr>
              <w:jc w:val="left"/>
              <w:rPr>
                <w:rFonts w:eastAsia="宋体" w:cs="宋体" w:hint="eastAsia"/>
                <w:sz w:val="21"/>
                <w:szCs w:val="21"/>
              </w:rPr>
            </w:pPr>
            <w:r>
              <w:rPr>
                <w:rFonts w:eastAsia="宋体" w:cs="宋体" w:hint="eastAsia"/>
                <w:sz w:val="21"/>
                <w:szCs w:val="21"/>
              </w:rPr>
              <w:t>招商银行股份有限公司</w:t>
            </w:r>
          </w:p>
        </w:tc>
      </w:tr>
      <w:tr w:rsidR="00000000">
        <w:trPr>
          <w:jc w:val="center"/>
        </w:trPr>
        <w:tc>
          <w:tcPr>
            <w:tcW w:w="3699" w:type="dxa"/>
            <w:gridSpan w:val="2"/>
          </w:tcPr>
          <w:p w:rsidR="00000000" w:rsidRDefault="00271540">
            <w:pPr>
              <w:spacing w:line="560" w:lineRule="exact"/>
              <w:jc w:val="left"/>
              <w:rPr>
                <w:rFonts w:eastAsia="宋体" w:cs="宋体" w:hint="eastAsia"/>
                <w:sz w:val="21"/>
                <w:szCs w:val="21"/>
              </w:rPr>
            </w:pPr>
            <w:r>
              <w:rPr>
                <w:rFonts w:eastAsia="宋体" w:cs="宋体" w:hint="eastAsia"/>
                <w:sz w:val="21"/>
                <w:szCs w:val="21"/>
              </w:rPr>
              <w:t>公告依据</w:t>
            </w:r>
          </w:p>
        </w:tc>
        <w:tc>
          <w:tcPr>
            <w:tcW w:w="4586" w:type="dxa"/>
            <w:vAlign w:val="center"/>
          </w:tcPr>
          <w:p w:rsidR="00000000" w:rsidRDefault="00271540">
            <w:pPr>
              <w:spacing w:line="360" w:lineRule="auto"/>
              <w:jc w:val="left"/>
              <w:rPr>
                <w:rFonts w:eastAsia="宋体" w:cs="宋体" w:hint="eastAsia"/>
                <w:sz w:val="21"/>
                <w:szCs w:val="21"/>
              </w:rPr>
            </w:pPr>
            <w:r>
              <w:rPr>
                <w:rFonts w:eastAsia="宋体" w:cs="宋体" w:hint="eastAsia"/>
                <w:sz w:val="21"/>
                <w:szCs w:val="21"/>
              </w:rPr>
              <w:t>根据《中华人民共和国证券投资基金法》《公开募集证券投资基金运作管理办法》</w:t>
            </w:r>
            <w:r>
              <w:rPr>
                <w:rFonts w:eastAsia="宋体" w:cs="宋体" w:hint="eastAsia"/>
                <w:sz w:val="21"/>
                <w:szCs w:val="21"/>
              </w:rPr>
              <w:t>等相关法律法规以及</w:t>
            </w:r>
            <w:r>
              <w:rPr>
                <w:rFonts w:eastAsia="宋体" w:cs="宋体" w:hint="eastAsia"/>
                <w:sz w:val="21"/>
                <w:szCs w:val="21"/>
              </w:rPr>
              <w:t>《东吴瑞盈</w:t>
            </w:r>
            <w:r>
              <w:rPr>
                <w:rFonts w:eastAsia="宋体" w:cs="宋体" w:hint="eastAsia"/>
                <w:sz w:val="21"/>
                <w:szCs w:val="21"/>
              </w:rPr>
              <w:t>63</w:t>
            </w:r>
            <w:r>
              <w:rPr>
                <w:rFonts w:eastAsia="宋体" w:cs="宋体" w:hint="eastAsia"/>
                <w:sz w:val="21"/>
                <w:szCs w:val="21"/>
              </w:rPr>
              <w:t>个月定期开放债券型证券投资基金基金合</w:t>
            </w:r>
            <w:r>
              <w:rPr>
                <w:rFonts w:eastAsia="宋体" w:cs="宋体" w:hint="eastAsia"/>
                <w:sz w:val="21"/>
                <w:szCs w:val="21"/>
              </w:rPr>
              <w:t>同》《东吴瑞盈</w:t>
            </w:r>
            <w:r>
              <w:rPr>
                <w:rFonts w:eastAsia="宋体" w:cs="宋体" w:hint="eastAsia"/>
                <w:sz w:val="21"/>
                <w:szCs w:val="21"/>
              </w:rPr>
              <w:t>63</w:t>
            </w:r>
            <w:r>
              <w:rPr>
                <w:rFonts w:eastAsia="宋体" w:cs="宋体" w:hint="eastAsia"/>
                <w:sz w:val="21"/>
                <w:szCs w:val="21"/>
              </w:rPr>
              <w:t>个月定期开放债券型证券投资基金招募说明书》的有关约定</w:t>
            </w:r>
          </w:p>
        </w:tc>
      </w:tr>
      <w:tr w:rsidR="00000000">
        <w:trPr>
          <w:jc w:val="center"/>
        </w:trPr>
        <w:tc>
          <w:tcPr>
            <w:tcW w:w="3699" w:type="dxa"/>
            <w:gridSpan w:val="2"/>
          </w:tcPr>
          <w:p w:rsidR="00000000" w:rsidRDefault="00271540">
            <w:pPr>
              <w:spacing w:line="360" w:lineRule="auto"/>
              <w:jc w:val="left"/>
              <w:rPr>
                <w:rFonts w:eastAsia="宋体" w:cs="宋体" w:hint="eastAsia"/>
                <w:sz w:val="21"/>
                <w:szCs w:val="21"/>
              </w:rPr>
            </w:pPr>
            <w:r>
              <w:rPr>
                <w:rFonts w:eastAsia="宋体" w:cs="宋体" w:hint="eastAsia"/>
                <w:sz w:val="21"/>
                <w:szCs w:val="21"/>
              </w:rPr>
              <w:t>收益分配基准日</w:t>
            </w:r>
          </w:p>
        </w:tc>
        <w:tc>
          <w:tcPr>
            <w:tcW w:w="4586" w:type="dxa"/>
            <w:vAlign w:val="center"/>
          </w:tcPr>
          <w:p w:rsidR="00000000" w:rsidRDefault="00271540">
            <w:pPr>
              <w:jc w:val="left"/>
              <w:rPr>
                <w:rFonts w:eastAsia="宋体" w:cs="宋体" w:hint="eastAsia"/>
                <w:sz w:val="21"/>
                <w:szCs w:val="21"/>
              </w:rPr>
            </w:pPr>
            <w:r>
              <w:rPr>
                <w:rFonts w:eastAsia="宋体" w:cs="宋体" w:hint="eastAsia"/>
                <w:sz w:val="21"/>
                <w:szCs w:val="21"/>
              </w:rPr>
              <w:t>202</w:t>
            </w:r>
            <w:r>
              <w:rPr>
                <w:rFonts w:eastAsia="宋体" w:cs="宋体" w:hint="eastAsia"/>
                <w:sz w:val="21"/>
                <w:szCs w:val="21"/>
              </w:rPr>
              <w:t>4</w:t>
            </w:r>
            <w:r>
              <w:rPr>
                <w:rFonts w:eastAsia="宋体" w:cs="宋体" w:hint="eastAsia"/>
                <w:sz w:val="21"/>
                <w:szCs w:val="21"/>
              </w:rPr>
              <w:t>年</w:t>
            </w:r>
            <w:r>
              <w:rPr>
                <w:rFonts w:eastAsia="宋体" w:cs="宋体" w:hint="eastAsia"/>
                <w:sz w:val="21"/>
                <w:szCs w:val="21"/>
              </w:rPr>
              <w:t>12</w:t>
            </w:r>
            <w:r>
              <w:rPr>
                <w:rFonts w:eastAsia="宋体" w:cs="宋体" w:hint="eastAsia"/>
                <w:sz w:val="21"/>
                <w:szCs w:val="21"/>
              </w:rPr>
              <w:t>月</w:t>
            </w:r>
            <w:r>
              <w:rPr>
                <w:rFonts w:eastAsia="宋体" w:cs="宋体" w:hint="eastAsia"/>
                <w:sz w:val="21"/>
                <w:szCs w:val="21"/>
              </w:rPr>
              <w:t>9</w:t>
            </w:r>
            <w:r>
              <w:rPr>
                <w:rFonts w:eastAsia="宋体" w:cs="宋体" w:hint="eastAsia"/>
                <w:sz w:val="21"/>
                <w:szCs w:val="21"/>
              </w:rPr>
              <w:t>日</w:t>
            </w:r>
          </w:p>
        </w:tc>
      </w:tr>
      <w:tr w:rsidR="00000000">
        <w:trPr>
          <w:trHeight w:val="803"/>
          <w:jc w:val="center"/>
        </w:trPr>
        <w:tc>
          <w:tcPr>
            <w:tcW w:w="1308" w:type="dxa"/>
            <w:vMerge w:val="restart"/>
            <w:vAlign w:val="center"/>
          </w:tcPr>
          <w:p w:rsidR="00000000" w:rsidRDefault="00271540">
            <w:pPr>
              <w:jc w:val="left"/>
              <w:rPr>
                <w:rFonts w:eastAsia="宋体" w:cs="宋体" w:hint="eastAsia"/>
                <w:sz w:val="21"/>
                <w:szCs w:val="21"/>
              </w:rPr>
            </w:pPr>
            <w:r>
              <w:rPr>
                <w:rFonts w:eastAsia="宋体" w:cs="宋体" w:hint="eastAsia"/>
                <w:sz w:val="21"/>
                <w:szCs w:val="21"/>
              </w:rPr>
              <w:t>截止收益分配基准日的相关指标</w:t>
            </w:r>
          </w:p>
        </w:tc>
        <w:tc>
          <w:tcPr>
            <w:tcW w:w="2391" w:type="dxa"/>
            <w:vAlign w:val="center"/>
          </w:tcPr>
          <w:p w:rsidR="00000000" w:rsidRDefault="00271540">
            <w:pPr>
              <w:jc w:val="left"/>
              <w:rPr>
                <w:rFonts w:eastAsia="宋体" w:cs="宋体" w:hint="eastAsia"/>
                <w:sz w:val="21"/>
                <w:szCs w:val="21"/>
              </w:rPr>
            </w:pPr>
            <w:r>
              <w:rPr>
                <w:rFonts w:eastAsia="宋体" w:cs="宋体" w:hint="eastAsia"/>
                <w:sz w:val="21"/>
                <w:szCs w:val="21"/>
              </w:rPr>
              <w:t>基准日基金份额净值（单位：元）</w:t>
            </w:r>
          </w:p>
        </w:tc>
        <w:tc>
          <w:tcPr>
            <w:tcW w:w="4586" w:type="dxa"/>
            <w:vAlign w:val="center"/>
          </w:tcPr>
          <w:p w:rsidR="00000000" w:rsidRDefault="00271540">
            <w:pPr>
              <w:jc w:val="left"/>
              <w:rPr>
                <w:rFonts w:eastAsia="宋体" w:cs="宋体"/>
                <w:sz w:val="21"/>
                <w:szCs w:val="21"/>
              </w:rPr>
            </w:pPr>
            <w:r>
              <w:rPr>
                <w:rFonts w:eastAsia="宋体" w:cs="宋体"/>
                <w:sz w:val="21"/>
                <w:szCs w:val="21"/>
              </w:rPr>
              <w:t>1.02</w:t>
            </w:r>
            <w:r>
              <w:rPr>
                <w:rFonts w:eastAsia="宋体" w:cs="宋体" w:hint="eastAsia"/>
                <w:sz w:val="21"/>
                <w:szCs w:val="21"/>
              </w:rPr>
              <w:t>04</w:t>
            </w:r>
          </w:p>
        </w:tc>
      </w:tr>
      <w:tr w:rsidR="00000000">
        <w:trPr>
          <w:trHeight w:val="910"/>
          <w:jc w:val="center"/>
        </w:trPr>
        <w:tc>
          <w:tcPr>
            <w:tcW w:w="1308" w:type="dxa"/>
            <w:vMerge/>
          </w:tcPr>
          <w:p w:rsidR="00000000" w:rsidRDefault="00271540">
            <w:pPr>
              <w:jc w:val="left"/>
              <w:rPr>
                <w:rFonts w:eastAsia="宋体" w:cs="宋体" w:hint="eastAsia"/>
                <w:sz w:val="21"/>
                <w:szCs w:val="21"/>
              </w:rPr>
            </w:pPr>
          </w:p>
        </w:tc>
        <w:tc>
          <w:tcPr>
            <w:tcW w:w="2391" w:type="dxa"/>
            <w:vAlign w:val="center"/>
          </w:tcPr>
          <w:p w:rsidR="00000000" w:rsidRDefault="00271540">
            <w:pPr>
              <w:jc w:val="left"/>
              <w:rPr>
                <w:rFonts w:eastAsia="宋体" w:cs="宋体" w:hint="eastAsia"/>
                <w:sz w:val="21"/>
                <w:szCs w:val="21"/>
              </w:rPr>
            </w:pPr>
            <w:r>
              <w:rPr>
                <w:rFonts w:eastAsia="宋体" w:cs="宋体" w:hint="eastAsia"/>
                <w:sz w:val="21"/>
                <w:szCs w:val="21"/>
              </w:rPr>
              <w:t>基准日基金可供分配利润（单位：元）</w:t>
            </w:r>
          </w:p>
        </w:tc>
        <w:tc>
          <w:tcPr>
            <w:tcW w:w="4586" w:type="dxa"/>
            <w:tcBorders>
              <w:bottom w:val="single" w:sz="4" w:space="0" w:color="auto"/>
            </w:tcBorders>
            <w:vAlign w:val="center"/>
          </w:tcPr>
          <w:p w:rsidR="00000000" w:rsidRDefault="00271540">
            <w:pPr>
              <w:jc w:val="left"/>
              <w:rPr>
                <w:rFonts w:eastAsia="宋体" w:cs="宋体"/>
                <w:sz w:val="21"/>
                <w:szCs w:val="21"/>
              </w:rPr>
            </w:pPr>
            <w:r>
              <w:rPr>
                <w:rFonts w:eastAsia="宋体" w:cs="宋体" w:hint="eastAsia"/>
                <w:sz w:val="21"/>
                <w:szCs w:val="21"/>
              </w:rPr>
              <w:t>96,431,712.40</w:t>
            </w:r>
          </w:p>
        </w:tc>
      </w:tr>
      <w:tr w:rsidR="00000000">
        <w:trPr>
          <w:trHeight w:val="1135"/>
          <w:jc w:val="center"/>
        </w:trPr>
        <w:tc>
          <w:tcPr>
            <w:tcW w:w="1308" w:type="dxa"/>
            <w:vMerge/>
          </w:tcPr>
          <w:p w:rsidR="00000000" w:rsidRDefault="00271540">
            <w:pPr>
              <w:jc w:val="left"/>
              <w:rPr>
                <w:rFonts w:eastAsia="宋体" w:cs="宋体" w:hint="eastAsia"/>
                <w:sz w:val="21"/>
                <w:szCs w:val="21"/>
              </w:rPr>
            </w:pPr>
          </w:p>
        </w:tc>
        <w:tc>
          <w:tcPr>
            <w:tcW w:w="2391" w:type="dxa"/>
            <w:vAlign w:val="center"/>
          </w:tcPr>
          <w:p w:rsidR="00000000" w:rsidRDefault="00271540">
            <w:pPr>
              <w:jc w:val="left"/>
              <w:rPr>
                <w:rFonts w:eastAsia="宋体" w:cs="宋体" w:hint="eastAsia"/>
                <w:sz w:val="21"/>
                <w:szCs w:val="21"/>
              </w:rPr>
            </w:pPr>
            <w:r>
              <w:rPr>
                <w:rFonts w:eastAsia="宋体" w:cs="宋体" w:hint="eastAsia"/>
                <w:sz w:val="21"/>
                <w:szCs w:val="21"/>
              </w:rPr>
              <w:t>截止基准日按照基金合同约定的分红比例计算的应分配金额</w:t>
            </w:r>
            <w:r>
              <w:rPr>
                <w:rFonts w:eastAsia="宋体" w:cs="宋体" w:hint="eastAsia"/>
                <w:sz w:val="21"/>
                <w:szCs w:val="21"/>
              </w:rPr>
              <w:t>(</w:t>
            </w:r>
            <w:r>
              <w:rPr>
                <w:rFonts w:eastAsia="宋体" w:cs="宋体" w:hint="eastAsia"/>
                <w:sz w:val="21"/>
                <w:szCs w:val="21"/>
              </w:rPr>
              <w:t>单位：元</w:t>
            </w:r>
            <w:r>
              <w:rPr>
                <w:rFonts w:eastAsia="宋体" w:cs="宋体" w:hint="eastAsia"/>
                <w:sz w:val="21"/>
                <w:szCs w:val="21"/>
              </w:rPr>
              <w:t>)</w:t>
            </w:r>
          </w:p>
        </w:tc>
        <w:tc>
          <w:tcPr>
            <w:tcW w:w="4586" w:type="dxa"/>
            <w:vAlign w:val="center"/>
          </w:tcPr>
          <w:p w:rsidR="00000000" w:rsidRDefault="00271540">
            <w:pPr>
              <w:jc w:val="left"/>
              <w:rPr>
                <w:rFonts w:eastAsia="宋体" w:cs="宋体" w:hint="eastAsia"/>
                <w:sz w:val="21"/>
                <w:szCs w:val="21"/>
              </w:rPr>
            </w:pPr>
            <w:r>
              <w:rPr>
                <w:rFonts w:eastAsia="宋体" w:cs="宋体" w:hint="eastAsia"/>
                <w:sz w:val="21"/>
                <w:szCs w:val="21"/>
              </w:rPr>
              <w:t>－</w:t>
            </w:r>
          </w:p>
        </w:tc>
      </w:tr>
      <w:tr w:rsidR="00000000">
        <w:trPr>
          <w:trHeight w:val="905"/>
          <w:jc w:val="center"/>
        </w:trPr>
        <w:tc>
          <w:tcPr>
            <w:tcW w:w="3699" w:type="dxa"/>
            <w:gridSpan w:val="2"/>
          </w:tcPr>
          <w:p w:rsidR="00000000" w:rsidRDefault="00271540">
            <w:pPr>
              <w:jc w:val="center"/>
              <w:rPr>
                <w:rFonts w:eastAsia="宋体" w:cs="宋体" w:hint="eastAsia"/>
                <w:sz w:val="21"/>
                <w:szCs w:val="21"/>
              </w:rPr>
            </w:pPr>
          </w:p>
          <w:p w:rsidR="00000000" w:rsidRDefault="00271540">
            <w:pPr>
              <w:jc w:val="center"/>
              <w:rPr>
                <w:rFonts w:eastAsia="宋体" w:cs="宋体" w:hint="eastAsia"/>
                <w:sz w:val="21"/>
                <w:szCs w:val="21"/>
              </w:rPr>
            </w:pPr>
            <w:r>
              <w:rPr>
                <w:rFonts w:eastAsia="宋体" w:cs="宋体" w:hint="eastAsia"/>
                <w:sz w:val="21"/>
                <w:szCs w:val="21"/>
              </w:rPr>
              <w:t>本次分红方案（单位：元</w:t>
            </w:r>
            <w:r>
              <w:rPr>
                <w:rFonts w:eastAsia="宋体" w:cs="宋体" w:hint="eastAsia"/>
                <w:sz w:val="21"/>
                <w:szCs w:val="21"/>
              </w:rPr>
              <w:t>/10</w:t>
            </w:r>
            <w:r>
              <w:rPr>
                <w:rFonts w:eastAsia="宋体" w:cs="宋体" w:hint="eastAsia"/>
                <w:sz w:val="21"/>
                <w:szCs w:val="21"/>
              </w:rPr>
              <w:t>份基金份额）</w:t>
            </w:r>
          </w:p>
        </w:tc>
        <w:tc>
          <w:tcPr>
            <w:tcW w:w="4586" w:type="dxa"/>
            <w:vAlign w:val="center"/>
          </w:tcPr>
          <w:p w:rsidR="00000000" w:rsidRDefault="00271540">
            <w:pPr>
              <w:jc w:val="left"/>
              <w:rPr>
                <w:rFonts w:eastAsia="宋体" w:cs="宋体" w:hint="eastAsia"/>
                <w:sz w:val="21"/>
                <w:szCs w:val="21"/>
              </w:rPr>
            </w:pPr>
            <w:r>
              <w:rPr>
                <w:rFonts w:eastAsia="宋体" w:cs="宋体" w:hint="eastAsia"/>
                <w:sz w:val="21"/>
                <w:szCs w:val="21"/>
              </w:rPr>
              <w:t>0.</w:t>
            </w:r>
            <w:r>
              <w:rPr>
                <w:rFonts w:eastAsia="宋体" w:cs="宋体" w:hint="eastAsia"/>
                <w:sz w:val="21"/>
                <w:szCs w:val="21"/>
              </w:rPr>
              <w:t>2</w:t>
            </w:r>
            <w:r>
              <w:rPr>
                <w:rFonts w:eastAsia="宋体" w:cs="宋体" w:hint="eastAsia"/>
                <w:sz w:val="21"/>
                <w:szCs w:val="21"/>
              </w:rPr>
              <w:t>0</w:t>
            </w:r>
          </w:p>
        </w:tc>
      </w:tr>
      <w:tr w:rsidR="00000000">
        <w:trPr>
          <w:trHeight w:val="447"/>
          <w:jc w:val="center"/>
        </w:trPr>
        <w:tc>
          <w:tcPr>
            <w:tcW w:w="3699" w:type="dxa"/>
            <w:gridSpan w:val="2"/>
            <w:vAlign w:val="center"/>
          </w:tcPr>
          <w:p w:rsidR="00000000" w:rsidRDefault="00271540">
            <w:pPr>
              <w:jc w:val="left"/>
              <w:rPr>
                <w:rFonts w:eastAsia="宋体" w:cs="宋体" w:hint="eastAsia"/>
                <w:sz w:val="21"/>
                <w:szCs w:val="21"/>
              </w:rPr>
            </w:pPr>
            <w:r>
              <w:rPr>
                <w:rFonts w:eastAsia="宋体" w:cs="宋体" w:hint="eastAsia"/>
                <w:sz w:val="21"/>
                <w:szCs w:val="21"/>
              </w:rPr>
              <w:t>有关年度分红次数的说明</w:t>
            </w:r>
          </w:p>
        </w:tc>
        <w:tc>
          <w:tcPr>
            <w:tcW w:w="4586" w:type="dxa"/>
            <w:vAlign w:val="center"/>
          </w:tcPr>
          <w:p w:rsidR="00000000" w:rsidRDefault="00271540">
            <w:pPr>
              <w:jc w:val="left"/>
              <w:rPr>
                <w:rFonts w:eastAsia="宋体" w:cs="宋体" w:hint="eastAsia"/>
                <w:sz w:val="21"/>
                <w:szCs w:val="21"/>
              </w:rPr>
            </w:pPr>
            <w:r>
              <w:rPr>
                <w:rFonts w:eastAsia="宋体" w:cs="宋体" w:hint="eastAsia"/>
                <w:sz w:val="21"/>
                <w:szCs w:val="21"/>
              </w:rPr>
              <w:t>本次分红为</w:t>
            </w:r>
            <w:r>
              <w:rPr>
                <w:rFonts w:eastAsia="宋体" w:cs="宋体" w:hint="eastAsia"/>
                <w:sz w:val="21"/>
                <w:szCs w:val="21"/>
              </w:rPr>
              <w:t>202</w:t>
            </w:r>
            <w:r>
              <w:rPr>
                <w:rFonts w:eastAsia="宋体" w:cs="宋体" w:hint="eastAsia"/>
                <w:sz w:val="21"/>
                <w:szCs w:val="21"/>
              </w:rPr>
              <w:t>4</w:t>
            </w:r>
            <w:r>
              <w:rPr>
                <w:rFonts w:eastAsia="宋体" w:cs="宋体" w:hint="eastAsia"/>
                <w:sz w:val="21"/>
                <w:szCs w:val="21"/>
              </w:rPr>
              <w:t>年度收益的第</w:t>
            </w:r>
            <w:r>
              <w:rPr>
                <w:rFonts w:eastAsia="宋体" w:cs="宋体" w:hint="eastAsia"/>
                <w:sz w:val="21"/>
                <w:szCs w:val="21"/>
              </w:rPr>
              <w:t>2</w:t>
            </w:r>
            <w:r>
              <w:rPr>
                <w:rFonts w:eastAsia="宋体" w:cs="宋体" w:hint="eastAsia"/>
                <w:sz w:val="21"/>
                <w:szCs w:val="21"/>
              </w:rPr>
              <w:t>次分红</w:t>
            </w:r>
          </w:p>
        </w:tc>
      </w:tr>
    </w:tbl>
    <w:p w:rsidR="00000000" w:rsidRDefault="00271540">
      <w:pPr>
        <w:pStyle w:val="2"/>
        <w:spacing w:before="0" w:after="0" w:line="360" w:lineRule="auto"/>
        <w:ind w:firstLineChars="200" w:firstLine="420"/>
        <w:rPr>
          <w:rFonts w:ascii="Times New Roman" w:eastAsia="宋体" w:hAnsi="Times New Roman" w:cs="宋体" w:hint="eastAsia"/>
          <w:b w:val="0"/>
          <w:sz w:val="21"/>
          <w:szCs w:val="24"/>
        </w:rPr>
      </w:pPr>
      <w:bookmarkStart w:id="1" w:name="_Toc275961419"/>
      <w:r>
        <w:rPr>
          <w:rFonts w:ascii="Times New Roman" w:eastAsia="宋体" w:hAnsi="Times New Roman" w:cs="宋体" w:hint="eastAsia"/>
          <w:b w:val="0"/>
          <w:sz w:val="21"/>
          <w:szCs w:val="24"/>
        </w:rPr>
        <w:lastRenderedPageBreak/>
        <w:t>注</w:t>
      </w:r>
      <w:r>
        <w:rPr>
          <w:rFonts w:ascii="Times New Roman" w:eastAsia="宋体" w:hAnsi="Times New Roman" w:cs="宋体" w:hint="eastAsia"/>
          <w:b w:val="0"/>
          <w:sz w:val="21"/>
          <w:szCs w:val="24"/>
        </w:rPr>
        <w:t>1</w:t>
      </w:r>
      <w:r>
        <w:rPr>
          <w:rFonts w:ascii="Times New Roman" w:eastAsia="宋体" w:hAnsi="Times New Roman" w:cs="宋体" w:hint="eastAsia"/>
          <w:b w:val="0"/>
          <w:sz w:val="21"/>
          <w:szCs w:val="24"/>
        </w:rPr>
        <w:t>、</w:t>
      </w:r>
      <w:r>
        <w:rPr>
          <w:rFonts w:ascii="Times New Roman" w:eastAsia="宋体" w:hAnsi="Times New Roman" w:cs="宋体" w:hint="eastAsia"/>
          <w:b w:val="0"/>
          <w:sz w:val="21"/>
          <w:szCs w:val="24"/>
        </w:rPr>
        <w:t>在符合有关基金分红条件的前提下，基金管理人可以根据</w:t>
      </w:r>
      <w:r>
        <w:rPr>
          <w:rFonts w:ascii="Times New Roman" w:eastAsia="宋体" w:hAnsi="Times New Roman" w:cs="宋体" w:hint="eastAsia"/>
          <w:b w:val="0"/>
          <w:sz w:val="21"/>
          <w:szCs w:val="24"/>
        </w:rPr>
        <w:t>实际情况进行收益分配</w:t>
      </w:r>
      <w:r>
        <w:rPr>
          <w:rFonts w:ascii="Times New Roman" w:eastAsia="宋体" w:hAnsi="Times New Roman" w:cs="宋体" w:hint="eastAsia"/>
          <w:b w:val="0"/>
          <w:sz w:val="21"/>
          <w:szCs w:val="24"/>
        </w:rPr>
        <w:t>，</w:t>
      </w:r>
      <w:r>
        <w:rPr>
          <w:rFonts w:ascii="Times New Roman" w:eastAsia="宋体" w:hAnsi="Times New Roman" w:cs="宋体" w:hint="eastAsia"/>
          <w:b w:val="0"/>
          <w:sz w:val="21"/>
          <w:szCs w:val="24"/>
        </w:rPr>
        <w:t>具体分配方案以公告为准</w:t>
      </w:r>
      <w:r>
        <w:rPr>
          <w:rFonts w:ascii="Times New Roman" w:eastAsia="宋体" w:hAnsi="Times New Roman" w:cs="宋体" w:hint="eastAsia"/>
          <w:b w:val="0"/>
          <w:sz w:val="21"/>
          <w:szCs w:val="24"/>
        </w:rPr>
        <w:t>；</w:t>
      </w:r>
    </w:p>
    <w:p w:rsidR="00000000" w:rsidRDefault="00271540">
      <w:pPr>
        <w:pStyle w:val="2"/>
        <w:numPr>
          <w:ilvl w:val="0"/>
          <w:numId w:val="1"/>
        </w:numPr>
        <w:spacing w:before="0" w:after="0" w:line="360" w:lineRule="auto"/>
        <w:ind w:firstLineChars="200" w:firstLine="420"/>
        <w:rPr>
          <w:rFonts w:ascii="Times New Roman" w:eastAsia="宋体" w:hAnsi="Times New Roman" w:cs="宋体" w:hint="eastAsia"/>
          <w:b w:val="0"/>
          <w:sz w:val="21"/>
          <w:szCs w:val="24"/>
        </w:rPr>
      </w:pPr>
      <w:r>
        <w:rPr>
          <w:rFonts w:ascii="Times New Roman" w:eastAsia="宋体" w:hAnsi="Times New Roman" w:cs="宋体" w:hint="eastAsia"/>
          <w:b w:val="0"/>
          <w:sz w:val="21"/>
          <w:szCs w:val="24"/>
        </w:rPr>
        <w:t>本基金收益分配方式仅有现金分红；</w:t>
      </w:r>
      <w:r>
        <w:rPr>
          <w:rFonts w:ascii="Times New Roman" w:eastAsia="宋体" w:hAnsi="Times New Roman" w:cs="宋体" w:hint="eastAsia"/>
          <w:b w:val="0"/>
          <w:sz w:val="21"/>
          <w:szCs w:val="24"/>
        </w:rPr>
        <w:t xml:space="preserve"> </w:t>
      </w:r>
    </w:p>
    <w:p w:rsidR="00000000" w:rsidRDefault="00271540">
      <w:pPr>
        <w:pStyle w:val="2"/>
        <w:numPr>
          <w:ilvl w:val="0"/>
          <w:numId w:val="1"/>
        </w:numPr>
        <w:spacing w:before="0" w:after="0" w:line="360" w:lineRule="auto"/>
        <w:ind w:firstLineChars="200" w:firstLine="420"/>
        <w:rPr>
          <w:rFonts w:ascii="Times New Roman" w:eastAsia="宋体" w:hAnsi="Times New Roman" w:cs="宋体" w:hint="eastAsia"/>
          <w:b w:val="0"/>
          <w:sz w:val="21"/>
          <w:szCs w:val="24"/>
        </w:rPr>
      </w:pPr>
      <w:r>
        <w:rPr>
          <w:rFonts w:ascii="Times New Roman" w:eastAsia="宋体" w:hAnsi="Times New Roman" w:cs="宋体" w:hint="eastAsia"/>
          <w:b w:val="0"/>
          <w:sz w:val="21"/>
          <w:szCs w:val="24"/>
        </w:rPr>
        <w:t>基金收益分配后基金份额净值不能低于面值，即基金收益分配基准日的基金份额净值减去每单位基金份额收益分配金额后不能低于面值；</w:t>
      </w:r>
    </w:p>
    <w:p w:rsidR="00000000" w:rsidRDefault="00271540">
      <w:pPr>
        <w:pStyle w:val="2"/>
        <w:numPr>
          <w:ilvl w:val="0"/>
          <w:numId w:val="1"/>
        </w:numPr>
        <w:spacing w:before="0" w:after="0" w:line="360" w:lineRule="auto"/>
        <w:ind w:firstLineChars="200" w:firstLine="420"/>
        <w:rPr>
          <w:rFonts w:ascii="Times New Roman" w:eastAsia="宋体" w:hAnsi="Times New Roman" w:cs="宋体" w:hint="eastAsia"/>
          <w:b w:val="0"/>
          <w:sz w:val="21"/>
          <w:szCs w:val="24"/>
        </w:rPr>
      </w:pPr>
      <w:r>
        <w:rPr>
          <w:rFonts w:ascii="Times New Roman" w:eastAsia="宋体" w:hAnsi="Times New Roman" w:cs="宋体" w:hint="eastAsia"/>
          <w:b w:val="0"/>
          <w:sz w:val="21"/>
          <w:szCs w:val="24"/>
        </w:rPr>
        <w:t>每一基金份额享有同等分配权；</w:t>
      </w:r>
      <w:bookmarkEnd w:id="1"/>
    </w:p>
    <w:p w:rsidR="00000000" w:rsidRDefault="00271540">
      <w:pPr>
        <w:numPr>
          <w:ilvl w:val="0"/>
          <w:numId w:val="1"/>
        </w:numPr>
        <w:spacing w:line="360" w:lineRule="auto"/>
        <w:ind w:firstLineChars="200" w:firstLine="420"/>
        <w:rPr>
          <w:rFonts w:eastAsia="宋体" w:cs="宋体" w:hint="eastAsia"/>
          <w:bCs/>
          <w:sz w:val="21"/>
          <w:szCs w:val="24"/>
        </w:rPr>
      </w:pPr>
      <w:r>
        <w:rPr>
          <w:rFonts w:eastAsia="宋体" w:cs="宋体" w:hint="eastAsia"/>
          <w:bCs/>
          <w:sz w:val="21"/>
          <w:szCs w:val="24"/>
        </w:rPr>
        <w:t>法律法规或监管机关另有规定的，从其规定。</w:t>
      </w:r>
    </w:p>
    <w:p w:rsidR="00000000" w:rsidRDefault="00271540">
      <w:pPr>
        <w:rPr>
          <w:rFonts w:eastAsia="宋体" w:cs="宋体" w:hint="eastAsia"/>
          <w:bCs/>
          <w:sz w:val="21"/>
          <w:szCs w:val="24"/>
        </w:rPr>
      </w:pPr>
    </w:p>
    <w:p w:rsidR="00000000" w:rsidRDefault="00271540">
      <w:pPr>
        <w:rPr>
          <w:rFonts w:eastAsia="宋体" w:cs="宋体" w:hint="eastAsia"/>
          <w:b/>
          <w:bCs/>
          <w:sz w:val="24"/>
          <w:szCs w:val="24"/>
        </w:rPr>
      </w:pPr>
      <w:r>
        <w:rPr>
          <w:rFonts w:eastAsia="宋体" w:cs="宋体" w:hint="eastAsia"/>
          <w:b/>
          <w:bCs/>
          <w:sz w:val="24"/>
          <w:szCs w:val="24"/>
        </w:rPr>
        <w:t>2</w:t>
      </w:r>
      <w:r>
        <w:rPr>
          <w:rFonts w:eastAsia="宋体" w:cs="宋体" w:hint="eastAsia"/>
          <w:b/>
          <w:bCs/>
          <w:sz w:val="24"/>
          <w:szCs w:val="24"/>
        </w:rPr>
        <w:t>与分红相关的其他信息</w:t>
      </w:r>
    </w:p>
    <w:p w:rsidR="00000000" w:rsidRDefault="00271540">
      <w:pPr>
        <w:rPr>
          <w:rFonts w:eastAsia="宋体" w:cs="宋体" w:hint="eastAsia"/>
          <w:bCs/>
          <w:sz w:val="21"/>
          <w:szCs w:val="24"/>
        </w:rPr>
      </w:pPr>
    </w:p>
    <w:tbl>
      <w:tblPr>
        <w:tblW w:w="820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60"/>
        <w:gridCol w:w="5442"/>
      </w:tblGrid>
      <w:tr w:rsidR="00000000">
        <w:trPr>
          <w:trHeight w:val="535"/>
          <w:jc w:val="center"/>
        </w:trPr>
        <w:tc>
          <w:tcPr>
            <w:tcW w:w="2760" w:type="dxa"/>
            <w:vAlign w:val="center"/>
          </w:tcPr>
          <w:p w:rsidR="00000000" w:rsidRDefault="00271540">
            <w:pPr>
              <w:spacing w:line="360" w:lineRule="auto"/>
              <w:jc w:val="left"/>
              <w:rPr>
                <w:rFonts w:eastAsia="宋体" w:cs="宋体" w:hint="eastAsia"/>
                <w:sz w:val="21"/>
                <w:szCs w:val="21"/>
              </w:rPr>
            </w:pPr>
            <w:r>
              <w:rPr>
                <w:rFonts w:eastAsia="宋体" w:cs="宋体" w:hint="eastAsia"/>
                <w:sz w:val="21"/>
                <w:szCs w:val="21"/>
              </w:rPr>
              <w:t>权益登记日</w:t>
            </w:r>
          </w:p>
        </w:tc>
        <w:tc>
          <w:tcPr>
            <w:tcW w:w="5442" w:type="dxa"/>
            <w:vAlign w:val="center"/>
          </w:tcPr>
          <w:p w:rsidR="00000000" w:rsidRDefault="00271540">
            <w:pPr>
              <w:spacing w:line="360" w:lineRule="auto"/>
              <w:jc w:val="left"/>
              <w:rPr>
                <w:rFonts w:eastAsia="宋体" w:cs="宋体" w:hint="eastAsia"/>
                <w:sz w:val="21"/>
                <w:szCs w:val="21"/>
              </w:rPr>
            </w:pPr>
            <w:r>
              <w:rPr>
                <w:rFonts w:eastAsia="宋体" w:cs="宋体" w:hint="eastAsia"/>
                <w:sz w:val="21"/>
                <w:szCs w:val="21"/>
              </w:rPr>
              <w:t>2024</w:t>
            </w:r>
            <w:r>
              <w:rPr>
                <w:rFonts w:eastAsia="宋体" w:cs="宋体" w:hint="eastAsia"/>
                <w:sz w:val="21"/>
                <w:szCs w:val="21"/>
              </w:rPr>
              <w:t>年</w:t>
            </w:r>
            <w:r>
              <w:rPr>
                <w:rFonts w:eastAsia="宋体" w:cs="宋体" w:hint="eastAsia"/>
                <w:sz w:val="21"/>
                <w:szCs w:val="21"/>
              </w:rPr>
              <w:t>12</w:t>
            </w:r>
            <w:r>
              <w:rPr>
                <w:rFonts w:eastAsia="宋体" w:cs="宋体" w:hint="eastAsia"/>
                <w:sz w:val="21"/>
                <w:szCs w:val="21"/>
              </w:rPr>
              <w:t>月</w:t>
            </w:r>
            <w:r>
              <w:rPr>
                <w:rFonts w:eastAsia="宋体" w:cs="宋体" w:hint="eastAsia"/>
                <w:sz w:val="21"/>
                <w:szCs w:val="21"/>
              </w:rPr>
              <w:t>16</w:t>
            </w:r>
            <w:r>
              <w:rPr>
                <w:rFonts w:eastAsia="宋体" w:cs="宋体" w:hint="eastAsia"/>
                <w:sz w:val="21"/>
                <w:szCs w:val="21"/>
              </w:rPr>
              <w:t>日</w:t>
            </w:r>
          </w:p>
        </w:tc>
      </w:tr>
      <w:tr w:rsidR="00000000">
        <w:trPr>
          <w:jc w:val="center"/>
        </w:trPr>
        <w:tc>
          <w:tcPr>
            <w:tcW w:w="2760" w:type="dxa"/>
            <w:vAlign w:val="center"/>
          </w:tcPr>
          <w:p w:rsidR="00000000" w:rsidRDefault="00271540">
            <w:pPr>
              <w:spacing w:line="360" w:lineRule="auto"/>
              <w:jc w:val="left"/>
              <w:rPr>
                <w:rFonts w:eastAsia="宋体" w:cs="宋体" w:hint="eastAsia"/>
                <w:sz w:val="21"/>
                <w:szCs w:val="21"/>
              </w:rPr>
            </w:pPr>
            <w:r>
              <w:rPr>
                <w:rFonts w:eastAsia="宋体" w:cs="宋体" w:hint="eastAsia"/>
                <w:sz w:val="21"/>
                <w:szCs w:val="21"/>
              </w:rPr>
              <w:t>除息日</w:t>
            </w:r>
          </w:p>
        </w:tc>
        <w:tc>
          <w:tcPr>
            <w:tcW w:w="5442" w:type="dxa"/>
            <w:vAlign w:val="center"/>
          </w:tcPr>
          <w:p w:rsidR="00000000" w:rsidRDefault="00271540">
            <w:pPr>
              <w:spacing w:line="360" w:lineRule="auto"/>
              <w:jc w:val="left"/>
              <w:rPr>
                <w:rFonts w:eastAsia="宋体" w:cs="宋体" w:hint="eastAsia"/>
                <w:sz w:val="21"/>
                <w:szCs w:val="21"/>
              </w:rPr>
            </w:pPr>
            <w:r>
              <w:rPr>
                <w:rFonts w:eastAsia="宋体" w:cs="宋体" w:hint="eastAsia"/>
                <w:sz w:val="21"/>
                <w:szCs w:val="21"/>
              </w:rPr>
              <w:t>2024</w:t>
            </w:r>
            <w:r>
              <w:rPr>
                <w:rFonts w:eastAsia="宋体" w:cs="宋体" w:hint="eastAsia"/>
                <w:sz w:val="21"/>
                <w:szCs w:val="21"/>
              </w:rPr>
              <w:t>年</w:t>
            </w:r>
            <w:r>
              <w:rPr>
                <w:rFonts w:eastAsia="宋体" w:cs="宋体" w:hint="eastAsia"/>
                <w:sz w:val="21"/>
                <w:szCs w:val="21"/>
              </w:rPr>
              <w:t>12</w:t>
            </w:r>
            <w:r>
              <w:rPr>
                <w:rFonts w:eastAsia="宋体" w:cs="宋体" w:hint="eastAsia"/>
                <w:sz w:val="21"/>
                <w:szCs w:val="21"/>
              </w:rPr>
              <w:t>月</w:t>
            </w:r>
            <w:r>
              <w:rPr>
                <w:rFonts w:eastAsia="宋体" w:cs="宋体" w:hint="eastAsia"/>
                <w:sz w:val="21"/>
                <w:szCs w:val="21"/>
              </w:rPr>
              <w:t>16</w:t>
            </w:r>
            <w:r>
              <w:rPr>
                <w:rFonts w:eastAsia="宋体" w:cs="宋体" w:hint="eastAsia"/>
                <w:sz w:val="21"/>
                <w:szCs w:val="21"/>
              </w:rPr>
              <w:t>日</w:t>
            </w:r>
          </w:p>
        </w:tc>
      </w:tr>
      <w:tr w:rsidR="00000000">
        <w:trPr>
          <w:jc w:val="center"/>
        </w:trPr>
        <w:tc>
          <w:tcPr>
            <w:tcW w:w="2760" w:type="dxa"/>
            <w:vAlign w:val="center"/>
          </w:tcPr>
          <w:p w:rsidR="00000000" w:rsidRDefault="00271540">
            <w:pPr>
              <w:spacing w:line="360" w:lineRule="auto"/>
              <w:jc w:val="left"/>
              <w:rPr>
                <w:rFonts w:eastAsia="宋体" w:cs="宋体" w:hint="eastAsia"/>
                <w:sz w:val="21"/>
                <w:szCs w:val="21"/>
              </w:rPr>
            </w:pPr>
            <w:r>
              <w:rPr>
                <w:rFonts w:eastAsia="宋体" w:cs="宋体" w:hint="eastAsia"/>
                <w:sz w:val="21"/>
                <w:szCs w:val="21"/>
              </w:rPr>
              <w:t>现金红利发放日</w:t>
            </w:r>
          </w:p>
        </w:tc>
        <w:tc>
          <w:tcPr>
            <w:tcW w:w="5442" w:type="dxa"/>
            <w:vAlign w:val="center"/>
          </w:tcPr>
          <w:p w:rsidR="00000000" w:rsidRDefault="00271540">
            <w:pPr>
              <w:spacing w:line="360" w:lineRule="auto"/>
              <w:jc w:val="left"/>
              <w:rPr>
                <w:rFonts w:eastAsia="宋体" w:cs="宋体" w:hint="eastAsia"/>
                <w:sz w:val="21"/>
                <w:szCs w:val="21"/>
              </w:rPr>
            </w:pPr>
            <w:r>
              <w:rPr>
                <w:rFonts w:eastAsia="宋体" w:cs="宋体" w:hint="eastAsia"/>
                <w:sz w:val="21"/>
                <w:szCs w:val="21"/>
              </w:rPr>
              <w:t>2024</w:t>
            </w:r>
            <w:r>
              <w:rPr>
                <w:rFonts w:eastAsia="宋体" w:cs="宋体" w:hint="eastAsia"/>
                <w:sz w:val="21"/>
                <w:szCs w:val="21"/>
              </w:rPr>
              <w:t>年</w:t>
            </w:r>
            <w:r>
              <w:rPr>
                <w:rFonts w:eastAsia="宋体" w:cs="宋体" w:hint="eastAsia"/>
                <w:sz w:val="21"/>
                <w:szCs w:val="21"/>
              </w:rPr>
              <w:t>12</w:t>
            </w:r>
            <w:r>
              <w:rPr>
                <w:rFonts w:eastAsia="宋体" w:cs="宋体" w:hint="eastAsia"/>
                <w:sz w:val="21"/>
                <w:szCs w:val="21"/>
              </w:rPr>
              <w:t>月</w:t>
            </w:r>
            <w:r>
              <w:rPr>
                <w:rFonts w:eastAsia="宋体" w:cs="宋体" w:hint="eastAsia"/>
                <w:sz w:val="21"/>
                <w:szCs w:val="21"/>
              </w:rPr>
              <w:t>18</w:t>
            </w:r>
            <w:r>
              <w:rPr>
                <w:rFonts w:eastAsia="宋体" w:cs="宋体" w:hint="eastAsia"/>
                <w:sz w:val="21"/>
                <w:szCs w:val="21"/>
              </w:rPr>
              <w:t>日</w:t>
            </w:r>
          </w:p>
        </w:tc>
      </w:tr>
      <w:tr w:rsidR="00000000">
        <w:trPr>
          <w:trHeight w:val="851"/>
          <w:jc w:val="center"/>
        </w:trPr>
        <w:tc>
          <w:tcPr>
            <w:tcW w:w="2760" w:type="dxa"/>
            <w:vAlign w:val="center"/>
          </w:tcPr>
          <w:p w:rsidR="00000000" w:rsidRDefault="00271540">
            <w:pPr>
              <w:spacing w:line="560" w:lineRule="exact"/>
              <w:rPr>
                <w:rFonts w:eastAsia="宋体" w:cs="宋体" w:hint="eastAsia"/>
                <w:sz w:val="21"/>
                <w:szCs w:val="21"/>
              </w:rPr>
            </w:pPr>
            <w:r>
              <w:rPr>
                <w:rFonts w:eastAsia="宋体" w:cs="宋体" w:hint="eastAsia"/>
                <w:sz w:val="21"/>
                <w:szCs w:val="21"/>
              </w:rPr>
              <w:t>分红对象</w:t>
            </w:r>
          </w:p>
        </w:tc>
        <w:tc>
          <w:tcPr>
            <w:tcW w:w="5442" w:type="dxa"/>
            <w:vAlign w:val="center"/>
          </w:tcPr>
          <w:p w:rsidR="00000000" w:rsidRDefault="00271540">
            <w:pPr>
              <w:spacing w:line="360" w:lineRule="auto"/>
              <w:jc w:val="left"/>
              <w:rPr>
                <w:rFonts w:eastAsia="宋体" w:cs="宋体" w:hint="eastAsia"/>
                <w:sz w:val="21"/>
                <w:szCs w:val="21"/>
              </w:rPr>
            </w:pPr>
            <w:r>
              <w:rPr>
                <w:rFonts w:eastAsia="宋体" w:cs="宋体" w:hint="eastAsia"/>
                <w:sz w:val="21"/>
                <w:szCs w:val="21"/>
              </w:rPr>
              <w:t>权益登记日在东吴基金管理有限公司登记在册的本基金全体份额持有人。</w:t>
            </w:r>
          </w:p>
        </w:tc>
      </w:tr>
      <w:tr w:rsidR="00000000">
        <w:trPr>
          <w:jc w:val="center"/>
        </w:trPr>
        <w:tc>
          <w:tcPr>
            <w:tcW w:w="2760" w:type="dxa"/>
            <w:vAlign w:val="center"/>
          </w:tcPr>
          <w:p w:rsidR="00000000" w:rsidRDefault="00271540">
            <w:pPr>
              <w:spacing w:line="360" w:lineRule="auto"/>
              <w:jc w:val="left"/>
              <w:rPr>
                <w:rFonts w:eastAsia="宋体" w:cs="宋体" w:hint="eastAsia"/>
                <w:sz w:val="21"/>
                <w:szCs w:val="21"/>
              </w:rPr>
            </w:pPr>
            <w:r>
              <w:rPr>
                <w:rFonts w:eastAsia="宋体" w:cs="宋体" w:hint="eastAsia"/>
                <w:sz w:val="21"/>
                <w:szCs w:val="21"/>
              </w:rPr>
              <w:t>红利再投资相关</w:t>
            </w:r>
            <w:r>
              <w:rPr>
                <w:rFonts w:eastAsia="宋体" w:cs="宋体" w:hint="eastAsia"/>
                <w:sz w:val="21"/>
                <w:szCs w:val="21"/>
              </w:rPr>
              <w:t>事项的说明</w:t>
            </w:r>
          </w:p>
        </w:tc>
        <w:tc>
          <w:tcPr>
            <w:tcW w:w="5442" w:type="dxa"/>
            <w:vAlign w:val="center"/>
          </w:tcPr>
          <w:p w:rsidR="00000000" w:rsidRDefault="00271540">
            <w:pPr>
              <w:spacing w:line="360" w:lineRule="auto"/>
              <w:jc w:val="left"/>
              <w:rPr>
                <w:rFonts w:eastAsia="宋体" w:cs="宋体" w:hint="eastAsia"/>
                <w:sz w:val="21"/>
                <w:szCs w:val="21"/>
              </w:rPr>
            </w:pPr>
            <w:r>
              <w:rPr>
                <w:rFonts w:eastAsia="宋体" w:cs="宋体" w:hint="eastAsia"/>
                <w:sz w:val="21"/>
                <w:szCs w:val="21"/>
              </w:rPr>
              <w:t>－</w:t>
            </w:r>
          </w:p>
        </w:tc>
      </w:tr>
      <w:tr w:rsidR="00000000">
        <w:trPr>
          <w:jc w:val="center"/>
        </w:trPr>
        <w:tc>
          <w:tcPr>
            <w:tcW w:w="2760" w:type="dxa"/>
            <w:vAlign w:val="center"/>
          </w:tcPr>
          <w:p w:rsidR="00000000" w:rsidRDefault="00271540">
            <w:pPr>
              <w:spacing w:line="360" w:lineRule="auto"/>
              <w:jc w:val="left"/>
              <w:rPr>
                <w:rFonts w:eastAsia="宋体" w:cs="宋体" w:hint="eastAsia"/>
                <w:sz w:val="21"/>
                <w:szCs w:val="21"/>
              </w:rPr>
            </w:pPr>
            <w:r>
              <w:rPr>
                <w:rFonts w:eastAsia="宋体" w:cs="宋体" w:hint="eastAsia"/>
                <w:sz w:val="21"/>
                <w:szCs w:val="21"/>
              </w:rPr>
              <w:t>税收相关事项的说明</w:t>
            </w:r>
          </w:p>
        </w:tc>
        <w:tc>
          <w:tcPr>
            <w:tcW w:w="5442" w:type="dxa"/>
            <w:vAlign w:val="center"/>
          </w:tcPr>
          <w:p w:rsidR="00000000" w:rsidRDefault="00271540">
            <w:pPr>
              <w:spacing w:line="360" w:lineRule="auto"/>
              <w:jc w:val="left"/>
              <w:rPr>
                <w:rFonts w:eastAsia="宋体" w:cs="宋体" w:hint="eastAsia"/>
                <w:sz w:val="21"/>
                <w:szCs w:val="21"/>
              </w:rPr>
            </w:pPr>
            <w:r>
              <w:rPr>
                <w:rFonts w:eastAsia="宋体" w:cs="宋体" w:hint="eastAsia"/>
                <w:sz w:val="21"/>
                <w:szCs w:val="21"/>
              </w:rPr>
              <w:t>根据有关法规规定</w:t>
            </w:r>
            <w:r>
              <w:rPr>
                <w:rFonts w:eastAsia="宋体" w:cs="宋体" w:hint="eastAsia"/>
                <w:kern w:val="0"/>
                <w:sz w:val="21"/>
                <w:szCs w:val="21"/>
              </w:rPr>
              <w:t>，</w:t>
            </w:r>
            <w:r>
              <w:rPr>
                <w:rFonts w:eastAsia="宋体" w:cs="宋体" w:hint="eastAsia"/>
                <w:sz w:val="21"/>
                <w:szCs w:val="21"/>
              </w:rPr>
              <w:t>本基金向投资人分配的基金收益</w:t>
            </w:r>
            <w:r>
              <w:rPr>
                <w:rFonts w:eastAsia="宋体" w:cs="宋体" w:hint="eastAsia"/>
                <w:kern w:val="0"/>
                <w:sz w:val="21"/>
                <w:szCs w:val="21"/>
              </w:rPr>
              <w:t>，</w:t>
            </w:r>
            <w:r>
              <w:rPr>
                <w:rFonts w:eastAsia="宋体" w:cs="宋体" w:hint="eastAsia"/>
                <w:sz w:val="21"/>
                <w:szCs w:val="21"/>
              </w:rPr>
              <w:t>暂免征收所得税。</w:t>
            </w:r>
          </w:p>
        </w:tc>
      </w:tr>
      <w:tr w:rsidR="00000000">
        <w:trPr>
          <w:jc w:val="center"/>
        </w:trPr>
        <w:tc>
          <w:tcPr>
            <w:tcW w:w="2760" w:type="dxa"/>
            <w:vAlign w:val="center"/>
          </w:tcPr>
          <w:p w:rsidR="00000000" w:rsidRDefault="00271540">
            <w:pPr>
              <w:spacing w:line="360" w:lineRule="auto"/>
              <w:jc w:val="left"/>
              <w:rPr>
                <w:rFonts w:eastAsia="宋体" w:cs="宋体" w:hint="eastAsia"/>
                <w:sz w:val="21"/>
                <w:szCs w:val="21"/>
              </w:rPr>
            </w:pPr>
            <w:r>
              <w:rPr>
                <w:rFonts w:eastAsia="宋体" w:cs="宋体" w:hint="eastAsia"/>
                <w:sz w:val="21"/>
                <w:szCs w:val="21"/>
              </w:rPr>
              <w:t>费用相关事项的说明</w:t>
            </w:r>
          </w:p>
        </w:tc>
        <w:tc>
          <w:tcPr>
            <w:tcW w:w="5442" w:type="dxa"/>
            <w:vAlign w:val="center"/>
          </w:tcPr>
          <w:p w:rsidR="00000000" w:rsidRDefault="00271540">
            <w:pPr>
              <w:spacing w:line="360" w:lineRule="auto"/>
              <w:jc w:val="left"/>
              <w:rPr>
                <w:rFonts w:eastAsia="宋体" w:cs="宋体" w:hint="eastAsia"/>
                <w:sz w:val="21"/>
                <w:szCs w:val="21"/>
              </w:rPr>
            </w:pPr>
            <w:r>
              <w:rPr>
                <w:rFonts w:eastAsia="宋体" w:cs="宋体" w:hint="eastAsia"/>
                <w:sz w:val="21"/>
                <w:szCs w:val="21"/>
              </w:rPr>
              <w:t>本基金本次分红免收分红手续费</w:t>
            </w:r>
            <w:r>
              <w:rPr>
                <w:rFonts w:eastAsia="宋体" w:cs="宋体" w:hint="eastAsia"/>
                <w:sz w:val="21"/>
                <w:szCs w:val="21"/>
              </w:rPr>
              <w:t>。</w:t>
            </w:r>
          </w:p>
        </w:tc>
      </w:tr>
    </w:tbl>
    <w:p w:rsidR="00000000" w:rsidRDefault="00271540">
      <w:pPr>
        <w:pStyle w:val="2"/>
        <w:spacing w:after="0" w:line="360" w:lineRule="auto"/>
        <w:rPr>
          <w:rFonts w:ascii="Times New Roman" w:eastAsia="宋体" w:hAnsi="Times New Roman" w:cs="宋体" w:hint="eastAsia"/>
          <w:sz w:val="24"/>
          <w:szCs w:val="24"/>
        </w:rPr>
      </w:pPr>
      <w:bookmarkStart w:id="2" w:name="_Toc275961420"/>
      <w:r>
        <w:rPr>
          <w:rFonts w:ascii="Times New Roman" w:eastAsia="宋体" w:hAnsi="Times New Roman" w:cs="宋体" w:hint="eastAsia"/>
          <w:sz w:val="24"/>
          <w:szCs w:val="24"/>
        </w:rPr>
        <w:t xml:space="preserve">3 </w:t>
      </w:r>
      <w:r>
        <w:rPr>
          <w:rFonts w:ascii="Times New Roman" w:eastAsia="宋体" w:hAnsi="Times New Roman" w:cs="宋体" w:hint="eastAsia"/>
          <w:sz w:val="24"/>
          <w:szCs w:val="24"/>
        </w:rPr>
        <w:t>其他需要提示的事项</w:t>
      </w:r>
      <w:bookmarkEnd w:id="2"/>
    </w:p>
    <w:p w:rsidR="00000000" w:rsidRDefault="00271540">
      <w:pPr>
        <w:widowControl/>
        <w:spacing w:line="360" w:lineRule="auto"/>
        <w:ind w:firstLineChars="200" w:firstLine="420"/>
        <w:rPr>
          <w:rFonts w:eastAsia="宋体" w:cs="宋体" w:hint="eastAsia"/>
          <w:kern w:val="0"/>
          <w:sz w:val="21"/>
          <w:szCs w:val="21"/>
        </w:rPr>
      </w:pPr>
      <w:r>
        <w:rPr>
          <w:rFonts w:eastAsia="宋体" w:cs="宋体" w:hint="eastAsia"/>
          <w:kern w:val="0"/>
          <w:sz w:val="21"/>
          <w:szCs w:val="21"/>
        </w:rPr>
        <w:t>（</w:t>
      </w:r>
      <w:r>
        <w:rPr>
          <w:rFonts w:eastAsia="宋体" w:cs="宋体" w:hint="eastAsia"/>
          <w:kern w:val="0"/>
          <w:sz w:val="21"/>
          <w:szCs w:val="21"/>
        </w:rPr>
        <w:t>1</w:t>
      </w:r>
      <w:r>
        <w:rPr>
          <w:rFonts w:eastAsia="宋体" w:cs="宋体" w:hint="eastAsia"/>
          <w:kern w:val="0"/>
          <w:sz w:val="21"/>
          <w:szCs w:val="21"/>
        </w:rPr>
        <w:t>）</w:t>
      </w:r>
      <w:r>
        <w:rPr>
          <w:rFonts w:eastAsia="宋体" w:cs="宋体" w:hint="eastAsia"/>
          <w:kern w:val="0"/>
          <w:sz w:val="21"/>
          <w:szCs w:val="21"/>
        </w:rPr>
        <w:t>本基金收益分配方式仅有现金分红</w:t>
      </w:r>
      <w:r>
        <w:rPr>
          <w:rFonts w:eastAsia="宋体" w:cs="宋体" w:hint="eastAsia"/>
          <w:kern w:val="0"/>
          <w:sz w:val="21"/>
          <w:szCs w:val="21"/>
        </w:rPr>
        <w:t>。</w:t>
      </w:r>
    </w:p>
    <w:p w:rsidR="00000000" w:rsidRDefault="00271540">
      <w:pPr>
        <w:widowControl/>
        <w:spacing w:line="360" w:lineRule="auto"/>
        <w:ind w:firstLineChars="200" w:firstLine="420"/>
        <w:rPr>
          <w:rFonts w:eastAsia="宋体" w:cs="宋体" w:hint="eastAsia"/>
          <w:kern w:val="0"/>
          <w:sz w:val="21"/>
          <w:szCs w:val="21"/>
        </w:rPr>
      </w:pPr>
      <w:r>
        <w:rPr>
          <w:rFonts w:eastAsia="宋体" w:cs="宋体" w:hint="eastAsia"/>
          <w:kern w:val="0"/>
          <w:sz w:val="21"/>
          <w:szCs w:val="21"/>
        </w:rPr>
        <w:t>（</w:t>
      </w:r>
      <w:r>
        <w:rPr>
          <w:rFonts w:eastAsia="宋体" w:cs="宋体" w:hint="eastAsia"/>
          <w:kern w:val="0"/>
          <w:sz w:val="21"/>
          <w:szCs w:val="21"/>
        </w:rPr>
        <w:t>2</w:t>
      </w:r>
      <w:r>
        <w:rPr>
          <w:rFonts w:eastAsia="宋体" w:cs="宋体" w:hint="eastAsia"/>
          <w:kern w:val="0"/>
          <w:sz w:val="21"/>
          <w:szCs w:val="21"/>
        </w:rPr>
        <w:t>）</w:t>
      </w:r>
      <w:r>
        <w:rPr>
          <w:rFonts w:eastAsia="宋体" w:cs="宋体" w:hint="eastAsia"/>
          <w:kern w:val="0"/>
          <w:sz w:val="21"/>
          <w:szCs w:val="21"/>
        </w:rPr>
        <w:t>咨询办法：本基金份额持有人及希望了解本基金其他有关信息的投资者，可以登录本基金管理人网站</w:t>
      </w:r>
      <w:r>
        <w:rPr>
          <w:rFonts w:eastAsia="宋体" w:cs="宋体" w:hint="eastAsia"/>
          <w:kern w:val="0"/>
          <w:sz w:val="21"/>
          <w:szCs w:val="21"/>
        </w:rPr>
        <w:t>（</w:t>
      </w:r>
      <w:r>
        <w:rPr>
          <w:rFonts w:eastAsia="宋体" w:cs="宋体" w:hint="eastAsia"/>
          <w:kern w:val="0"/>
          <w:sz w:val="21"/>
          <w:szCs w:val="21"/>
        </w:rPr>
        <w:t>www.scfund.com.cn</w:t>
      </w:r>
      <w:r>
        <w:rPr>
          <w:rFonts w:eastAsia="宋体" w:cs="宋体" w:hint="eastAsia"/>
          <w:kern w:val="0"/>
          <w:sz w:val="21"/>
          <w:szCs w:val="21"/>
        </w:rPr>
        <w:t>）</w:t>
      </w:r>
      <w:r>
        <w:rPr>
          <w:rFonts w:eastAsia="宋体" w:cs="宋体" w:hint="eastAsia"/>
          <w:kern w:val="0"/>
          <w:sz w:val="21"/>
          <w:szCs w:val="21"/>
        </w:rPr>
        <w:t>或拨打客户服务电话（</w:t>
      </w:r>
      <w:r>
        <w:rPr>
          <w:rFonts w:eastAsia="宋体" w:cs="宋体" w:hint="eastAsia"/>
          <w:kern w:val="0"/>
          <w:sz w:val="21"/>
          <w:szCs w:val="21"/>
        </w:rPr>
        <w:t>400-821-0588</w:t>
      </w:r>
      <w:r>
        <w:rPr>
          <w:rFonts w:eastAsia="宋体" w:cs="宋体" w:hint="eastAsia"/>
          <w:kern w:val="0"/>
          <w:sz w:val="21"/>
          <w:szCs w:val="21"/>
        </w:rPr>
        <w:t>）</w:t>
      </w:r>
      <w:r>
        <w:rPr>
          <w:rFonts w:eastAsia="宋体" w:cs="宋体" w:hint="eastAsia"/>
          <w:kern w:val="0"/>
          <w:sz w:val="21"/>
          <w:szCs w:val="21"/>
        </w:rPr>
        <w:t>咨询相关事宜。</w:t>
      </w:r>
    </w:p>
    <w:p w:rsidR="00000000" w:rsidRDefault="00271540">
      <w:pPr>
        <w:widowControl/>
        <w:spacing w:line="360" w:lineRule="auto"/>
        <w:ind w:firstLineChars="200" w:firstLine="420"/>
        <w:rPr>
          <w:rFonts w:eastAsia="宋体" w:cs="宋体" w:hint="eastAsia"/>
          <w:kern w:val="0"/>
          <w:sz w:val="21"/>
          <w:szCs w:val="21"/>
        </w:rPr>
      </w:pPr>
      <w:r>
        <w:rPr>
          <w:rFonts w:eastAsia="宋体" w:cs="宋体" w:hint="eastAsia"/>
          <w:kern w:val="0"/>
          <w:sz w:val="21"/>
          <w:szCs w:val="21"/>
        </w:rPr>
        <w:t>（</w:t>
      </w:r>
      <w:r>
        <w:rPr>
          <w:rFonts w:eastAsia="宋体" w:cs="宋体" w:hint="eastAsia"/>
          <w:kern w:val="0"/>
          <w:sz w:val="21"/>
          <w:szCs w:val="21"/>
        </w:rPr>
        <w:t>3</w:t>
      </w:r>
      <w:r>
        <w:rPr>
          <w:rFonts w:eastAsia="宋体" w:cs="宋体" w:hint="eastAsia"/>
          <w:kern w:val="0"/>
          <w:sz w:val="21"/>
          <w:szCs w:val="21"/>
        </w:rPr>
        <w:t>）</w:t>
      </w:r>
      <w:r>
        <w:rPr>
          <w:rFonts w:eastAsia="宋体" w:cs="宋体" w:hint="eastAsia"/>
          <w:kern w:val="0"/>
          <w:sz w:val="21"/>
          <w:szCs w:val="21"/>
        </w:rPr>
        <w:t>风险提示：本基金管理人承诺以诚实信用、勤勉尽责的原则管理和运用基金资产，但不保证基金一定</w:t>
      </w:r>
      <w:r>
        <w:rPr>
          <w:rFonts w:eastAsia="宋体" w:cs="宋体" w:hint="eastAsia"/>
          <w:kern w:val="0"/>
          <w:sz w:val="21"/>
          <w:szCs w:val="21"/>
        </w:rPr>
        <w:t>盈利，也不保证最低收益。投资者投资于本基金时应认真阅读本基金的基金合同、招募说明书</w:t>
      </w:r>
      <w:r>
        <w:rPr>
          <w:rFonts w:eastAsia="宋体" w:cs="宋体" w:hint="eastAsia"/>
          <w:kern w:val="0"/>
          <w:sz w:val="21"/>
          <w:szCs w:val="21"/>
        </w:rPr>
        <w:t>、基金产品资料概要等法律文件</w:t>
      </w:r>
      <w:r>
        <w:rPr>
          <w:rFonts w:eastAsia="宋体" w:cs="宋体" w:hint="eastAsia"/>
          <w:kern w:val="0"/>
          <w:sz w:val="21"/>
          <w:szCs w:val="21"/>
        </w:rPr>
        <w:t>。敬请投资者留意投资风险。</w:t>
      </w:r>
    </w:p>
    <w:p w:rsidR="00000000" w:rsidRDefault="00271540">
      <w:pPr>
        <w:widowControl/>
        <w:spacing w:before="100" w:beforeAutospacing="1" w:after="100" w:afterAutospacing="1" w:line="360" w:lineRule="auto"/>
        <w:ind w:firstLineChars="200" w:firstLine="420"/>
        <w:rPr>
          <w:rFonts w:eastAsia="宋体" w:cs="宋体" w:hint="eastAsia"/>
          <w:kern w:val="0"/>
          <w:sz w:val="21"/>
          <w:szCs w:val="21"/>
        </w:rPr>
      </w:pPr>
      <w:r>
        <w:rPr>
          <w:rFonts w:eastAsia="宋体" w:cs="宋体" w:hint="eastAsia"/>
          <w:kern w:val="0"/>
          <w:sz w:val="21"/>
          <w:szCs w:val="21"/>
        </w:rPr>
        <w:t>特此公告。</w:t>
      </w:r>
      <w:r>
        <w:rPr>
          <w:rFonts w:eastAsia="宋体" w:cs="宋体" w:hint="eastAsia"/>
          <w:kern w:val="0"/>
          <w:sz w:val="21"/>
          <w:szCs w:val="21"/>
        </w:rPr>
        <w:tab/>
      </w:r>
      <w:r>
        <w:rPr>
          <w:rFonts w:eastAsia="宋体" w:cs="宋体" w:hint="eastAsia"/>
          <w:kern w:val="0"/>
          <w:sz w:val="21"/>
          <w:szCs w:val="21"/>
        </w:rPr>
        <w:tab/>
      </w:r>
      <w:r>
        <w:rPr>
          <w:rFonts w:eastAsia="宋体" w:cs="宋体" w:hint="eastAsia"/>
          <w:kern w:val="0"/>
          <w:sz w:val="21"/>
          <w:szCs w:val="21"/>
        </w:rPr>
        <w:tab/>
      </w:r>
      <w:r>
        <w:rPr>
          <w:rFonts w:eastAsia="宋体" w:cs="宋体" w:hint="eastAsia"/>
          <w:kern w:val="0"/>
          <w:sz w:val="21"/>
          <w:szCs w:val="21"/>
        </w:rPr>
        <w:tab/>
      </w:r>
      <w:r>
        <w:rPr>
          <w:rFonts w:eastAsia="宋体" w:cs="宋体" w:hint="eastAsia"/>
          <w:kern w:val="0"/>
          <w:sz w:val="21"/>
          <w:szCs w:val="21"/>
        </w:rPr>
        <w:tab/>
      </w:r>
      <w:r>
        <w:rPr>
          <w:rFonts w:eastAsia="宋体" w:cs="宋体" w:hint="eastAsia"/>
          <w:kern w:val="0"/>
          <w:sz w:val="21"/>
          <w:szCs w:val="21"/>
        </w:rPr>
        <w:tab/>
      </w:r>
      <w:r>
        <w:rPr>
          <w:rFonts w:eastAsia="宋体" w:cs="宋体" w:hint="eastAsia"/>
          <w:kern w:val="0"/>
          <w:sz w:val="21"/>
          <w:szCs w:val="21"/>
        </w:rPr>
        <w:tab/>
      </w:r>
      <w:r>
        <w:rPr>
          <w:rFonts w:eastAsia="宋体" w:cs="宋体" w:hint="eastAsia"/>
          <w:kern w:val="0"/>
          <w:sz w:val="21"/>
          <w:szCs w:val="21"/>
        </w:rPr>
        <w:tab/>
      </w:r>
      <w:r>
        <w:rPr>
          <w:rFonts w:eastAsia="宋体" w:cs="宋体" w:hint="eastAsia"/>
          <w:kern w:val="0"/>
          <w:sz w:val="21"/>
          <w:szCs w:val="21"/>
        </w:rPr>
        <w:tab/>
      </w:r>
      <w:r>
        <w:rPr>
          <w:rFonts w:eastAsia="宋体" w:cs="宋体" w:hint="eastAsia"/>
          <w:kern w:val="0"/>
          <w:sz w:val="21"/>
          <w:szCs w:val="21"/>
        </w:rPr>
        <w:tab/>
      </w:r>
      <w:r>
        <w:rPr>
          <w:rFonts w:eastAsia="宋体" w:cs="宋体" w:hint="eastAsia"/>
          <w:kern w:val="0"/>
          <w:sz w:val="21"/>
          <w:szCs w:val="21"/>
        </w:rPr>
        <w:tab/>
      </w:r>
      <w:r>
        <w:rPr>
          <w:rFonts w:eastAsia="宋体" w:cs="宋体" w:hint="eastAsia"/>
          <w:kern w:val="0"/>
          <w:sz w:val="21"/>
          <w:szCs w:val="21"/>
        </w:rPr>
        <w:tab/>
      </w:r>
      <w:r>
        <w:rPr>
          <w:rFonts w:eastAsia="宋体" w:cs="宋体" w:hint="eastAsia"/>
          <w:kern w:val="0"/>
          <w:sz w:val="21"/>
          <w:szCs w:val="21"/>
        </w:rPr>
        <w:t xml:space="preserve"> </w:t>
      </w:r>
    </w:p>
    <w:p w:rsidR="00000000" w:rsidRDefault="00271540">
      <w:pPr>
        <w:widowControl/>
        <w:spacing w:line="360" w:lineRule="auto"/>
        <w:ind w:firstLineChars="200" w:firstLine="420"/>
        <w:jc w:val="right"/>
        <w:rPr>
          <w:rFonts w:eastAsia="宋体" w:cs="宋体" w:hint="eastAsia"/>
          <w:kern w:val="0"/>
          <w:sz w:val="21"/>
          <w:szCs w:val="21"/>
        </w:rPr>
      </w:pPr>
    </w:p>
    <w:p w:rsidR="00000000" w:rsidRDefault="00271540">
      <w:pPr>
        <w:widowControl/>
        <w:spacing w:line="360" w:lineRule="auto"/>
        <w:ind w:firstLineChars="200" w:firstLine="420"/>
        <w:jc w:val="right"/>
        <w:rPr>
          <w:rFonts w:eastAsia="宋体" w:cs="宋体" w:hint="eastAsia"/>
          <w:kern w:val="0"/>
          <w:sz w:val="21"/>
          <w:szCs w:val="21"/>
        </w:rPr>
      </w:pPr>
      <w:r>
        <w:rPr>
          <w:rFonts w:eastAsia="宋体" w:cs="宋体" w:hint="eastAsia"/>
          <w:kern w:val="0"/>
          <w:sz w:val="21"/>
          <w:szCs w:val="21"/>
        </w:rPr>
        <w:t>东吴基金管理有限公司</w:t>
      </w:r>
    </w:p>
    <w:p w:rsidR="00000000" w:rsidRDefault="00271540">
      <w:pPr>
        <w:widowControl/>
        <w:spacing w:line="360" w:lineRule="auto"/>
        <w:ind w:firstLineChars="200" w:firstLine="420"/>
        <w:jc w:val="center"/>
        <w:rPr>
          <w:rFonts w:eastAsia="宋体" w:cs="宋体" w:hint="eastAsia"/>
          <w:kern w:val="0"/>
          <w:sz w:val="21"/>
          <w:szCs w:val="21"/>
        </w:rPr>
      </w:pPr>
      <w:r>
        <w:rPr>
          <w:rFonts w:eastAsia="宋体" w:cs="宋体" w:hint="eastAsia"/>
          <w:kern w:val="0"/>
          <w:sz w:val="21"/>
          <w:szCs w:val="21"/>
        </w:rPr>
        <w:t xml:space="preserve">                                                   2024</w:t>
      </w:r>
      <w:r>
        <w:rPr>
          <w:rFonts w:eastAsia="宋体" w:cs="宋体" w:hint="eastAsia"/>
          <w:kern w:val="0"/>
          <w:sz w:val="21"/>
          <w:szCs w:val="21"/>
        </w:rPr>
        <w:t>年</w:t>
      </w:r>
      <w:r>
        <w:rPr>
          <w:rFonts w:eastAsia="宋体" w:cs="宋体" w:hint="eastAsia"/>
          <w:kern w:val="0"/>
          <w:sz w:val="21"/>
          <w:szCs w:val="21"/>
        </w:rPr>
        <w:t>12</w:t>
      </w:r>
      <w:r>
        <w:rPr>
          <w:rFonts w:eastAsia="宋体" w:cs="宋体" w:hint="eastAsia"/>
          <w:kern w:val="0"/>
          <w:sz w:val="21"/>
          <w:szCs w:val="21"/>
        </w:rPr>
        <w:t>月</w:t>
      </w:r>
      <w:r>
        <w:rPr>
          <w:rFonts w:eastAsia="宋体" w:cs="宋体" w:hint="eastAsia"/>
          <w:kern w:val="0"/>
          <w:sz w:val="21"/>
          <w:szCs w:val="21"/>
        </w:rPr>
        <w:t>12</w:t>
      </w:r>
      <w:r>
        <w:rPr>
          <w:rFonts w:eastAsia="宋体" w:cs="宋体" w:hint="eastAsia"/>
          <w:kern w:val="0"/>
          <w:sz w:val="21"/>
          <w:szCs w:val="21"/>
        </w:rPr>
        <w:t>日</w:t>
      </w:r>
    </w:p>
    <w:sectPr w:rsidR="00000000">
      <w:pgSz w:w="11906" w:h="16838"/>
      <w:pgMar w:top="1440" w:right="2186"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仿宋简体">
    <w:altName w:val="宋体"/>
    <w:charset w:val="86"/>
    <w:family w:val="auto"/>
    <w:pitch w:val="default"/>
    <w:sig w:usb0="00000001" w:usb1="080E0000" w:usb2="0000000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AF6E52"/>
    <w:multiLevelType w:val="singleLevel"/>
    <w:tmpl w:val="8DAF6E52"/>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oNotTrackMoves/>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zU3ZjFhMTI0Y2Y5NGExM2IzYWFiY2FlN2E5MGIzNTAifQ=="/>
    <w:docVar w:name="KSO_WPS_MARK_KEY" w:val="e48dc865-5456-43aa-b902-af84b594a5b4"/>
  </w:docVars>
  <w:rsids>
    <w:rsidRoot w:val="00172A27"/>
    <w:rsid w:val="00024B96"/>
    <w:rsid w:val="000315AD"/>
    <w:rsid w:val="000662F5"/>
    <w:rsid w:val="000B2C77"/>
    <w:rsid w:val="000B3935"/>
    <w:rsid w:val="000C3A48"/>
    <w:rsid w:val="000D36DB"/>
    <w:rsid w:val="000E039E"/>
    <w:rsid w:val="00120F01"/>
    <w:rsid w:val="00123261"/>
    <w:rsid w:val="001265A4"/>
    <w:rsid w:val="00126D57"/>
    <w:rsid w:val="00134522"/>
    <w:rsid w:val="001477B8"/>
    <w:rsid w:val="00147CC2"/>
    <w:rsid w:val="00152FCF"/>
    <w:rsid w:val="00153B8A"/>
    <w:rsid w:val="00161413"/>
    <w:rsid w:val="0017212C"/>
    <w:rsid w:val="0017768D"/>
    <w:rsid w:val="00183A91"/>
    <w:rsid w:val="001A3B1B"/>
    <w:rsid w:val="001B4ED0"/>
    <w:rsid w:val="001C04CA"/>
    <w:rsid w:val="001D3F60"/>
    <w:rsid w:val="001D4B5E"/>
    <w:rsid w:val="001D4CDA"/>
    <w:rsid w:val="00207B8E"/>
    <w:rsid w:val="0023011C"/>
    <w:rsid w:val="00254D31"/>
    <w:rsid w:val="00260A27"/>
    <w:rsid w:val="00270D9E"/>
    <w:rsid w:val="00271540"/>
    <w:rsid w:val="002A3EB5"/>
    <w:rsid w:val="002B2C1A"/>
    <w:rsid w:val="002B6F30"/>
    <w:rsid w:val="002D7E68"/>
    <w:rsid w:val="002E2BD4"/>
    <w:rsid w:val="002E4E5A"/>
    <w:rsid w:val="002E536F"/>
    <w:rsid w:val="002E58E0"/>
    <w:rsid w:val="00324D1B"/>
    <w:rsid w:val="00327AB2"/>
    <w:rsid w:val="0033453E"/>
    <w:rsid w:val="003400F8"/>
    <w:rsid w:val="00352CE6"/>
    <w:rsid w:val="00362FEE"/>
    <w:rsid w:val="00371C20"/>
    <w:rsid w:val="00391194"/>
    <w:rsid w:val="003B0D72"/>
    <w:rsid w:val="003B29DE"/>
    <w:rsid w:val="003B448A"/>
    <w:rsid w:val="003E544A"/>
    <w:rsid w:val="003F09DC"/>
    <w:rsid w:val="003F533C"/>
    <w:rsid w:val="003F5604"/>
    <w:rsid w:val="00402267"/>
    <w:rsid w:val="004051A0"/>
    <w:rsid w:val="00412D83"/>
    <w:rsid w:val="004504E9"/>
    <w:rsid w:val="004509DE"/>
    <w:rsid w:val="00470688"/>
    <w:rsid w:val="00476D8E"/>
    <w:rsid w:val="0048515E"/>
    <w:rsid w:val="00492DA0"/>
    <w:rsid w:val="004956ED"/>
    <w:rsid w:val="004D6712"/>
    <w:rsid w:val="004E1EE7"/>
    <w:rsid w:val="004E3440"/>
    <w:rsid w:val="004F4204"/>
    <w:rsid w:val="005148C5"/>
    <w:rsid w:val="00515FEC"/>
    <w:rsid w:val="00525B81"/>
    <w:rsid w:val="00552C3D"/>
    <w:rsid w:val="0055306A"/>
    <w:rsid w:val="00556F9C"/>
    <w:rsid w:val="005600FD"/>
    <w:rsid w:val="005635B7"/>
    <w:rsid w:val="00567F7E"/>
    <w:rsid w:val="00571FA4"/>
    <w:rsid w:val="005837C2"/>
    <w:rsid w:val="005D27AC"/>
    <w:rsid w:val="006075B8"/>
    <w:rsid w:val="00665D44"/>
    <w:rsid w:val="0067142B"/>
    <w:rsid w:val="006A5401"/>
    <w:rsid w:val="006B4EBC"/>
    <w:rsid w:val="006C63C1"/>
    <w:rsid w:val="00717064"/>
    <w:rsid w:val="007271A1"/>
    <w:rsid w:val="00762B85"/>
    <w:rsid w:val="00786D0B"/>
    <w:rsid w:val="00793646"/>
    <w:rsid w:val="007A70A5"/>
    <w:rsid w:val="007D2419"/>
    <w:rsid w:val="007F0DAD"/>
    <w:rsid w:val="007F149C"/>
    <w:rsid w:val="007F4FAB"/>
    <w:rsid w:val="007F5C4F"/>
    <w:rsid w:val="00805692"/>
    <w:rsid w:val="00807440"/>
    <w:rsid w:val="0082451D"/>
    <w:rsid w:val="00837976"/>
    <w:rsid w:val="008613FF"/>
    <w:rsid w:val="0087511F"/>
    <w:rsid w:val="008B19C5"/>
    <w:rsid w:val="008B3728"/>
    <w:rsid w:val="008B4151"/>
    <w:rsid w:val="008B6A93"/>
    <w:rsid w:val="008C501D"/>
    <w:rsid w:val="008E3C1E"/>
    <w:rsid w:val="008F0934"/>
    <w:rsid w:val="008F0BDB"/>
    <w:rsid w:val="008F5CAC"/>
    <w:rsid w:val="00904DE6"/>
    <w:rsid w:val="00910493"/>
    <w:rsid w:val="0091559B"/>
    <w:rsid w:val="00927847"/>
    <w:rsid w:val="00933C27"/>
    <w:rsid w:val="009371DE"/>
    <w:rsid w:val="00962CFC"/>
    <w:rsid w:val="009A3C8F"/>
    <w:rsid w:val="009A6CBC"/>
    <w:rsid w:val="009B4763"/>
    <w:rsid w:val="009C23FF"/>
    <w:rsid w:val="009C5FCC"/>
    <w:rsid w:val="009C6BB7"/>
    <w:rsid w:val="009D014C"/>
    <w:rsid w:val="009E13C4"/>
    <w:rsid w:val="00A003B1"/>
    <w:rsid w:val="00A06C73"/>
    <w:rsid w:val="00A107AC"/>
    <w:rsid w:val="00A23BFB"/>
    <w:rsid w:val="00A26800"/>
    <w:rsid w:val="00A27D62"/>
    <w:rsid w:val="00A53A4A"/>
    <w:rsid w:val="00A6164F"/>
    <w:rsid w:val="00AA4E10"/>
    <w:rsid w:val="00AB0281"/>
    <w:rsid w:val="00AB71A5"/>
    <w:rsid w:val="00AB78FA"/>
    <w:rsid w:val="00AC2B4A"/>
    <w:rsid w:val="00B22894"/>
    <w:rsid w:val="00B31DC0"/>
    <w:rsid w:val="00B407C4"/>
    <w:rsid w:val="00B6270E"/>
    <w:rsid w:val="00BC36FD"/>
    <w:rsid w:val="00BC471C"/>
    <w:rsid w:val="00C04B1D"/>
    <w:rsid w:val="00C122C7"/>
    <w:rsid w:val="00C133EF"/>
    <w:rsid w:val="00C40F18"/>
    <w:rsid w:val="00C64261"/>
    <w:rsid w:val="00C66D3B"/>
    <w:rsid w:val="00C7002C"/>
    <w:rsid w:val="00CD03AE"/>
    <w:rsid w:val="00CD04F1"/>
    <w:rsid w:val="00CD0F8F"/>
    <w:rsid w:val="00CE2ABC"/>
    <w:rsid w:val="00CF0E22"/>
    <w:rsid w:val="00D000AA"/>
    <w:rsid w:val="00D02A2A"/>
    <w:rsid w:val="00D05176"/>
    <w:rsid w:val="00D1154D"/>
    <w:rsid w:val="00D233BB"/>
    <w:rsid w:val="00D24478"/>
    <w:rsid w:val="00D35467"/>
    <w:rsid w:val="00D4379B"/>
    <w:rsid w:val="00D44089"/>
    <w:rsid w:val="00D509D5"/>
    <w:rsid w:val="00D60A6B"/>
    <w:rsid w:val="00D6335D"/>
    <w:rsid w:val="00D63A76"/>
    <w:rsid w:val="00D83BEC"/>
    <w:rsid w:val="00DC011D"/>
    <w:rsid w:val="00DE2094"/>
    <w:rsid w:val="00DE6052"/>
    <w:rsid w:val="00DF0069"/>
    <w:rsid w:val="00DF6038"/>
    <w:rsid w:val="00E0730A"/>
    <w:rsid w:val="00E12C5F"/>
    <w:rsid w:val="00E31A14"/>
    <w:rsid w:val="00E70077"/>
    <w:rsid w:val="00EA0592"/>
    <w:rsid w:val="00EA1B66"/>
    <w:rsid w:val="00EA37FA"/>
    <w:rsid w:val="00EE52E3"/>
    <w:rsid w:val="00F01260"/>
    <w:rsid w:val="00F040DE"/>
    <w:rsid w:val="00F07C9B"/>
    <w:rsid w:val="00F11CAE"/>
    <w:rsid w:val="00F157E2"/>
    <w:rsid w:val="00F34FB5"/>
    <w:rsid w:val="00F63966"/>
    <w:rsid w:val="00F80A06"/>
    <w:rsid w:val="00F9433A"/>
    <w:rsid w:val="00FA0137"/>
    <w:rsid w:val="00FD5874"/>
    <w:rsid w:val="00FE21FE"/>
    <w:rsid w:val="00FF70DC"/>
    <w:rsid w:val="01253618"/>
    <w:rsid w:val="014F1409"/>
    <w:rsid w:val="02982C5B"/>
    <w:rsid w:val="02FF318E"/>
    <w:rsid w:val="033D60A4"/>
    <w:rsid w:val="036E06F6"/>
    <w:rsid w:val="0399735C"/>
    <w:rsid w:val="03AA286B"/>
    <w:rsid w:val="03D8635F"/>
    <w:rsid w:val="048821DE"/>
    <w:rsid w:val="04D74C24"/>
    <w:rsid w:val="05BD35D0"/>
    <w:rsid w:val="06EA3BF8"/>
    <w:rsid w:val="07D45290"/>
    <w:rsid w:val="081A1D81"/>
    <w:rsid w:val="09304FAA"/>
    <w:rsid w:val="0A493B50"/>
    <w:rsid w:val="0A6D6B71"/>
    <w:rsid w:val="0C495E7C"/>
    <w:rsid w:val="0CBF6B8F"/>
    <w:rsid w:val="0CF906EA"/>
    <w:rsid w:val="0D536553"/>
    <w:rsid w:val="0D705914"/>
    <w:rsid w:val="0EB96014"/>
    <w:rsid w:val="0F38795E"/>
    <w:rsid w:val="0FAD1646"/>
    <w:rsid w:val="0FE35071"/>
    <w:rsid w:val="0FEE27C0"/>
    <w:rsid w:val="0FF31A39"/>
    <w:rsid w:val="106D20B0"/>
    <w:rsid w:val="109F2CF3"/>
    <w:rsid w:val="10E34292"/>
    <w:rsid w:val="11124F40"/>
    <w:rsid w:val="13CF40C7"/>
    <w:rsid w:val="13E32782"/>
    <w:rsid w:val="140825E2"/>
    <w:rsid w:val="14F6718D"/>
    <w:rsid w:val="16892E0D"/>
    <w:rsid w:val="1699208E"/>
    <w:rsid w:val="174C5314"/>
    <w:rsid w:val="179F0A00"/>
    <w:rsid w:val="185E6889"/>
    <w:rsid w:val="18D77A7B"/>
    <w:rsid w:val="193463F1"/>
    <w:rsid w:val="19854972"/>
    <w:rsid w:val="1A0367CD"/>
    <w:rsid w:val="1A920A2B"/>
    <w:rsid w:val="1B167EB7"/>
    <w:rsid w:val="1B300B4C"/>
    <w:rsid w:val="1F027E72"/>
    <w:rsid w:val="1FCB330F"/>
    <w:rsid w:val="22036D7B"/>
    <w:rsid w:val="22224F34"/>
    <w:rsid w:val="22D205C3"/>
    <w:rsid w:val="23974174"/>
    <w:rsid w:val="244B058C"/>
    <w:rsid w:val="246A67EE"/>
    <w:rsid w:val="25C35D0C"/>
    <w:rsid w:val="270255CD"/>
    <w:rsid w:val="28C657AC"/>
    <w:rsid w:val="28D35B48"/>
    <w:rsid w:val="28DA624B"/>
    <w:rsid w:val="294129C0"/>
    <w:rsid w:val="29D30840"/>
    <w:rsid w:val="2C3D39D8"/>
    <w:rsid w:val="2D3376A5"/>
    <w:rsid w:val="2D924B9F"/>
    <w:rsid w:val="2E9266F0"/>
    <w:rsid w:val="2FAC137C"/>
    <w:rsid w:val="2FE47A20"/>
    <w:rsid w:val="303B3492"/>
    <w:rsid w:val="30550CCF"/>
    <w:rsid w:val="30BA6B88"/>
    <w:rsid w:val="32543AEF"/>
    <w:rsid w:val="327774C2"/>
    <w:rsid w:val="32A54F3A"/>
    <w:rsid w:val="33806989"/>
    <w:rsid w:val="345D517B"/>
    <w:rsid w:val="374024AE"/>
    <w:rsid w:val="37C82138"/>
    <w:rsid w:val="37D46424"/>
    <w:rsid w:val="38623ECA"/>
    <w:rsid w:val="387355A7"/>
    <w:rsid w:val="393F66F0"/>
    <w:rsid w:val="39D20986"/>
    <w:rsid w:val="3A6C78C5"/>
    <w:rsid w:val="3A9F053B"/>
    <w:rsid w:val="3D631883"/>
    <w:rsid w:val="3E18733F"/>
    <w:rsid w:val="3E6F3D0B"/>
    <w:rsid w:val="3FBF194F"/>
    <w:rsid w:val="40316936"/>
    <w:rsid w:val="404C260E"/>
    <w:rsid w:val="41BA2F5F"/>
    <w:rsid w:val="43017F33"/>
    <w:rsid w:val="435968D0"/>
    <w:rsid w:val="43E7354A"/>
    <w:rsid w:val="44B26AF2"/>
    <w:rsid w:val="45F44AF1"/>
    <w:rsid w:val="45F771D2"/>
    <w:rsid w:val="47240EDC"/>
    <w:rsid w:val="47F21D9E"/>
    <w:rsid w:val="48390610"/>
    <w:rsid w:val="48475594"/>
    <w:rsid w:val="4B177C58"/>
    <w:rsid w:val="4C4E6014"/>
    <w:rsid w:val="4C527899"/>
    <w:rsid w:val="4D52432F"/>
    <w:rsid w:val="4DC54E5F"/>
    <w:rsid w:val="4F7C7719"/>
    <w:rsid w:val="4FAA1A3C"/>
    <w:rsid w:val="500046A3"/>
    <w:rsid w:val="50152BF0"/>
    <w:rsid w:val="50685DCC"/>
    <w:rsid w:val="507B5E3F"/>
    <w:rsid w:val="511E358F"/>
    <w:rsid w:val="520E51C5"/>
    <w:rsid w:val="537A2E45"/>
    <w:rsid w:val="538F698E"/>
    <w:rsid w:val="53D10268"/>
    <w:rsid w:val="544F3629"/>
    <w:rsid w:val="54FE6351"/>
    <w:rsid w:val="550F4390"/>
    <w:rsid w:val="551940CB"/>
    <w:rsid w:val="55700B82"/>
    <w:rsid w:val="566C5470"/>
    <w:rsid w:val="57960962"/>
    <w:rsid w:val="57A37873"/>
    <w:rsid w:val="57C55117"/>
    <w:rsid w:val="57DA7304"/>
    <w:rsid w:val="5829466B"/>
    <w:rsid w:val="588940D6"/>
    <w:rsid w:val="598873C0"/>
    <w:rsid w:val="59A62F59"/>
    <w:rsid w:val="59D1158B"/>
    <w:rsid w:val="5B793A89"/>
    <w:rsid w:val="5C442121"/>
    <w:rsid w:val="5D2A2258"/>
    <w:rsid w:val="5F0F5199"/>
    <w:rsid w:val="5F3E7401"/>
    <w:rsid w:val="5F4119E6"/>
    <w:rsid w:val="5FC346A4"/>
    <w:rsid w:val="5FE714F6"/>
    <w:rsid w:val="60234096"/>
    <w:rsid w:val="603E4D1E"/>
    <w:rsid w:val="621242BB"/>
    <w:rsid w:val="62977579"/>
    <w:rsid w:val="637800F7"/>
    <w:rsid w:val="6390098C"/>
    <w:rsid w:val="639745EE"/>
    <w:rsid w:val="64045A8A"/>
    <w:rsid w:val="64092BBF"/>
    <w:rsid w:val="647312D1"/>
    <w:rsid w:val="650D4F18"/>
    <w:rsid w:val="65407B5B"/>
    <w:rsid w:val="655E5C0C"/>
    <w:rsid w:val="67686DFE"/>
    <w:rsid w:val="677C645A"/>
    <w:rsid w:val="67C76181"/>
    <w:rsid w:val="67E043D4"/>
    <w:rsid w:val="685A03DF"/>
    <w:rsid w:val="68790EFE"/>
    <w:rsid w:val="6A3231CD"/>
    <w:rsid w:val="6A5D359B"/>
    <w:rsid w:val="6C7A6008"/>
    <w:rsid w:val="6CAE2A65"/>
    <w:rsid w:val="6E7E70BE"/>
    <w:rsid w:val="6ECE5D47"/>
    <w:rsid w:val="72FA0F81"/>
    <w:rsid w:val="73E9742F"/>
    <w:rsid w:val="7588548C"/>
    <w:rsid w:val="76603476"/>
    <w:rsid w:val="770518CE"/>
    <w:rsid w:val="774277EA"/>
    <w:rsid w:val="776A17F9"/>
    <w:rsid w:val="77C465B9"/>
    <w:rsid w:val="77E42B49"/>
    <w:rsid w:val="77FF07E2"/>
    <w:rsid w:val="79166812"/>
    <w:rsid w:val="79B625B9"/>
    <w:rsid w:val="7ADD7D46"/>
    <w:rsid w:val="7AF62D5C"/>
    <w:rsid w:val="7B654A11"/>
    <w:rsid w:val="7BA24AC5"/>
    <w:rsid w:val="7C397184"/>
    <w:rsid w:val="7CDF217C"/>
    <w:rsid w:val="7CF961D4"/>
    <w:rsid w:val="7D5B4A17"/>
    <w:rsid w:val="7DA13B89"/>
    <w:rsid w:val="7DAC0899"/>
    <w:rsid w:val="7E03375F"/>
    <w:rsid w:val="7F3A7A87"/>
    <w:rsid w:val="7FC836E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简体"/>
      <w:kern w:val="2"/>
      <w:sz w:val="32"/>
    </w:rPr>
  </w:style>
  <w:style w:type="paragraph" w:styleId="1">
    <w:name w:val="heading 1"/>
    <w:basedOn w:val="a"/>
    <w:next w:val="a"/>
    <w:qFormat/>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Pr>
      <w:rFonts w:ascii="Arial" w:eastAsia="黑体" w:hAnsi="Arial"/>
      <w:b/>
      <w:bCs/>
      <w:kern w:val="2"/>
      <w:sz w:val="32"/>
      <w:szCs w:val="32"/>
      <w:lang w:val="en-US" w:eastAsia="zh-CN" w:bidi="ar-SA"/>
    </w:rPr>
  </w:style>
  <w:style w:type="paragraph" w:styleId="a3">
    <w:name w:val="Document Map"/>
    <w:basedOn w:val="a"/>
    <w:link w:val="Char"/>
    <w:rPr>
      <w:rFonts w:ascii="宋体" w:eastAsia="宋体"/>
      <w:sz w:val="18"/>
      <w:szCs w:val="18"/>
    </w:rPr>
  </w:style>
  <w:style w:type="character" w:customStyle="1" w:styleId="Char">
    <w:name w:val="文档结构图 Char"/>
    <w:basedOn w:val="a0"/>
    <w:link w:val="a3"/>
    <w:rPr>
      <w:rFonts w:ascii="宋体"/>
      <w:kern w:val="2"/>
      <w:sz w:val="18"/>
      <w:szCs w:val="18"/>
    </w:r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footnote text"/>
    <w:basedOn w:val="a"/>
    <w:pPr>
      <w:snapToGrid w:val="0"/>
      <w:jc w:val="left"/>
    </w:pPr>
    <w:rPr>
      <w:rFonts w:eastAsia="宋体"/>
      <w:sz w:val="18"/>
    </w:rPr>
  </w:style>
  <w:style w:type="paragraph" w:styleId="a8">
    <w:name w:val="Normal (Web)"/>
    <w:basedOn w:val="a"/>
    <w:pPr>
      <w:widowControl/>
      <w:jc w:val="left"/>
    </w:pPr>
    <w:rPr>
      <w:rFonts w:ascii="宋体" w:eastAsia="宋体" w:hAnsi="宋体" w:cs="宋体"/>
      <w:kern w:val="0"/>
      <w:sz w:val="18"/>
      <w:szCs w:val="18"/>
    </w:rPr>
  </w:style>
  <w:style w:type="character" w:styleId="a9">
    <w:name w:val="FollowedHyperlink"/>
    <w:rPr>
      <w:color w:val="666666"/>
      <w:u w:val="none"/>
    </w:rPr>
  </w:style>
  <w:style w:type="character" w:styleId="aa">
    <w:name w:val="Hyperlink"/>
    <w:rPr>
      <w:color w:val="666666"/>
      <w:u w:val="none"/>
    </w:rPr>
  </w:style>
  <w:style w:type="character" w:styleId="ab">
    <w:name w:val="footnote reference"/>
    <w:rPr>
      <w:vertAlign w:val="superscript"/>
    </w:rPr>
  </w:style>
  <w:style w:type="character" w:customStyle="1" w:styleId="hover58">
    <w:name w:val="hover58"/>
    <w:rPr>
      <w:color w:val="FFFFFF"/>
      <w:shd w:val="clear" w:color="auto" w:fill="C9A363"/>
    </w:rPr>
  </w:style>
  <w:style w:type="character" w:customStyle="1" w:styleId="bg3">
    <w:name w:val="bg3"/>
    <w:basedOn w:val="a0"/>
  </w:style>
  <w:style w:type="character" w:customStyle="1" w:styleId="bg1">
    <w:name w:val="bg1"/>
    <w:basedOn w:val="a0"/>
  </w:style>
  <w:style w:type="character" w:customStyle="1" w:styleId="az">
    <w:name w:val="az"/>
    <w:rPr>
      <w:bdr w:val="single" w:sz="6" w:space="0" w:color="DFDFDF"/>
    </w:rPr>
  </w:style>
  <w:style w:type="character" w:customStyle="1" w:styleId="hot46">
    <w:name w:val="hot46"/>
    <w:basedOn w:val="a0"/>
  </w:style>
  <w:style w:type="character" w:customStyle="1" w:styleId="bg11">
    <w:name w:val="bg11"/>
    <w:basedOn w:val="a0"/>
  </w:style>
  <w:style w:type="character" w:customStyle="1" w:styleId="hover47">
    <w:name w:val="hover47"/>
    <w:rPr>
      <w:color w:val="FFFFFF"/>
      <w:shd w:val="clear" w:color="auto" w:fill="EDC211"/>
    </w:rPr>
  </w:style>
  <w:style w:type="character" w:customStyle="1" w:styleId="bg41">
    <w:name w:val="bg41"/>
    <w:basedOn w:val="a0"/>
  </w:style>
  <w:style w:type="character" w:customStyle="1" w:styleId="over2">
    <w:name w:val="over2"/>
    <w:basedOn w:val="a0"/>
  </w:style>
  <w:style w:type="character" w:customStyle="1" w:styleId="lsx">
    <w:name w:val="lsx"/>
    <w:rPr>
      <w:color w:val="00FF00"/>
    </w:rPr>
  </w:style>
  <w:style w:type="character" w:customStyle="1" w:styleId="bg21">
    <w:name w:val="bg21"/>
    <w:basedOn w:val="a0"/>
  </w:style>
  <w:style w:type="character" w:customStyle="1" w:styleId="hover59">
    <w:name w:val="hover59"/>
    <w:rPr>
      <w:color w:val="666666"/>
    </w:rPr>
  </w:style>
  <w:style w:type="character" w:customStyle="1" w:styleId="ios">
    <w:name w:val="ios"/>
    <w:rPr>
      <w:bdr w:val="single" w:sz="6" w:space="0" w:color="DFDFDF"/>
    </w:rPr>
  </w:style>
  <w:style w:type="character" w:customStyle="1" w:styleId="bg2">
    <w:name w:val="bg2"/>
    <w:basedOn w:val="a0"/>
  </w:style>
  <w:style w:type="character" w:customStyle="1" w:styleId="hover56">
    <w:name w:val="hover56"/>
    <w:rPr>
      <w:color w:val="666666"/>
    </w:rPr>
  </w:style>
  <w:style w:type="character" w:customStyle="1" w:styleId="ls">
    <w:name w:val="ls"/>
    <w:rPr>
      <w:color w:val="666666"/>
    </w:rPr>
  </w:style>
  <w:style w:type="character" w:customStyle="1" w:styleId="hover60">
    <w:name w:val="hover60"/>
    <w:rPr>
      <w:color w:val="FFFFFF"/>
      <w:shd w:val="clear" w:color="auto" w:fill="ED686E"/>
    </w:rPr>
  </w:style>
  <w:style w:type="character" w:customStyle="1" w:styleId="txtcontent11">
    <w:name w:val="txtcontent11"/>
    <w:rPr>
      <w:rFonts w:ascii="ˎ̥" w:hAnsi="ˎ̥" w:hint="default"/>
      <w:b w:val="0"/>
      <w:bCs w:val="0"/>
      <w:color w:val="000000"/>
      <w:sz w:val="21"/>
      <w:szCs w:val="21"/>
    </w:rPr>
  </w:style>
  <w:style w:type="character" w:customStyle="1" w:styleId="over">
    <w:name w:val="over"/>
    <w:basedOn w:val="a0"/>
  </w:style>
  <w:style w:type="character" w:customStyle="1" w:styleId="hover54">
    <w:name w:val="hover54"/>
    <w:basedOn w:val="a0"/>
    <w:rPr>
      <w:color w:val="FFFFFF"/>
      <w:shd w:val="clear" w:color="auto" w:fill="C9A363"/>
    </w:rPr>
  </w:style>
  <w:style w:type="character" w:customStyle="1" w:styleId="bg31">
    <w:name w:val="bg31"/>
    <w:basedOn w:val="a0"/>
  </w:style>
  <w:style w:type="character" w:customStyle="1" w:styleId="hover55">
    <w:name w:val="hover55"/>
    <w:rPr>
      <w:color w:val="FFFFFF"/>
      <w:shd w:val="clear" w:color="auto" w:fill="C9A363"/>
    </w:rPr>
  </w:style>
  <w:style w:type="character" w:customStyle="1" w:styleId="bg5">
    <w:name w:val="bg5"/>
    <w:basedOn w:val="a0"/>
  </w:style>
  <w:style w:type="character" w:customStyle="1" w:styleId="da">
    <w:name w:val="da"/>
    <w:basedOn w:val="a0"/>
  </w:style>
  <w:style w:type="character" w:customStyle="1" w:styleId="hover50">
    <w:name w:val="hover50"/>
    <w:rPr>
      <w:color w:val="FFFFFF"/>
      <w:shd w:val="clear" w:color="auto" w:fill="ED686E"/>
    </w:rPr>
  </w:style>
  <w:style w:type="character" w:customStyle="1" w:styleId="hot49">
    <w:name w:val="hot49"/>
    <w:basedOn w:val="a0"/>
  </w:style>
  <w:style w:type="character" w:customStyle="1" w:styleId="hover48">
    <w:name w:val="hover48"/>
    <w:rPr>
      <w:color w:val="FFFFFF"/>
      <w:shd w:val="clear" w:color="auto" w:fill="C9A363"/>
    </w:rPr>
  </w:style>
  <w:style w:type="character" w:customStyle="1" w:styleId="hover57">
    <w:name w:val="hover57"/>
    <w:rPr>
      <w:color w:val="FFFFFF"/>
      <w:shd w:val="clear" w:color="auto" w:fill="EDC211"/>
    </w:rPr>
  </w:style>
  <w:style w:type="character" w:customStyle="1" w:styleId="bg4">
    <w:name w:val="bg4"/>
    <w:basedOn w:val="a0"/>
  </w:style>
  <w:style w:type="character" w:customStyle="1" w:styleId="hover49">
    <w:name w:val="hover49"/>
    <w:rPr>
      <w:color w:val="666666"/>
    </w:rPr>
  </w:style>
  <w:style w:type="character" w:customStyle="1" w:styleId="over1">
    <w:name w:val="over1"/>
    <w:basedOn w:val="a0"/>
  </w:style>
  <w:style w:type="paragraph" w:customStyle="1" w:styleId="CharCharCharCharCharChar1CharCharChar">
    <w:name w:val=" Char Char Char Char Char Char1 Char Char Char"/>
    <w:basedOn w:val="a"/>
    <w:pPr>
      <w:autoSpaceDE w:val="0"/>
      <w:autoSpaceDN w:val="0"/>
      <w:adjustRightInd w:val="0"/>
      <w:jc w:val="left"/>
      <w:textAlignment w:val="baseline"/>
    </w:pPr>
    <w:rPr>
      <w:rFonts w:ascii="宋体" w:eastAsia="宋体"/>
      <w:kern w:val="0"/>
      <w:sz w:val="34"/>
    </w:rPr>
  </w:style>
  <w:style w:type="paragraph" w:customStyle="1" w:styleId="Default">
    <w:name w:val="Default"/>
    <w:uiPriority w:val="99"/>
    <w:unhideWhenUsed/>
    <w:pPr>
      <w:widowControl w:val="0"/>
      <w:autoSpaceDE w:val="0"/>
      <w:autoSpaceDN w:val="0"/>
      <w:adjustRightInd w:val="0"/>
    </w:pPr>
    <w:rPr>
      <w:rFonts w:ascii="宋体" w:hAnsi="宋体" w:hint="eastAsia"/>
      <w:color w:val="000000"/>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177</Words>
  <Characters>1010</Characters>
  <Application>Microsoft Office Word</Application>
  <DocSecurity>4</DocSecurity>
  <PresentationFormat/>
  <Lines>8</Lines>
  <Paragraphs>2</Paragraphs>
  <Slides>0</Slides>
  <Notes>0</Notes>
  <HiddenSlides>0</HiddenSlides>
  <MMClips>0</MMClips>
  <ScaleCrop>false</ScaleCrop>
  <Manager/>
  <Company>dw</Company>
  <LinksUpToDate>false</LinksUpToDate>
  <CharactersWithSpaces>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2024年度东吴瑞盈63个月定期开放债券型证券投资基金分红公告</dc:title>
  <dc:subject/>
  <dc:creator>dw</dc:creator>
  <cp:keywords/>
  <dc:description/>
  <cp:lastModifiedBy>ZHONGM</cp:lastModifiedBy>
  <cp:revision>2</cp:revision>
  <cp:lastPrinted>2015-01-08T00:28:00Z</cp:lastPrinted>
  <dcterms:created xsi:type="dcterms:W3CDTF">2024-12-11T16:02:00Z</dcterms:created>
  <dcterms:modified xsi:type="dcterms:W3CDTF">2024-12-11T16:02:00Z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92764ADE04244F96AADF69571E5BBFEF_13</vt:lpwstr>
  </property>
</Properties>
</file>