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606F">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基金新增中国邮政储蓄银行股份有限公司“邮你同赢”</w:t>
      </w:r>
      <w:r>
        <w:rPr>
          <w:rStyle w:val="da"/>
          <w:rFonts w:ascii="黑体" w:eastAsia="黑体" w:hAnsi="黑体" w:cs="黑体" w:hint="eastAsia"/>
          <w:b/>
          <w:bCs/>
          <w:sz w:val="28"/>
          <w:szCs w:val="28"/>
        </w:rPr>
        <w:t>平</w:t>
      </w:r>
      <w:r>
        <w:rPr>
          <w:rStyle w:val="da"/>
          <w:rFonts w:ascii="黑体" w:eastAsia="黑体" w:hAnsi="黑体" w:cs="黑体" w:hint="eastAsia"/>
          <w:b/>
          <w:bCs/>
          <w:sz w:val="28"/>
          <w:szCs w:val="28"/>
        </w:rPr>
        <w:t>台为代销机构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转换业务</w:t>
      </w:r>
      <w:r>
        <w:rPr>
          <w:rStyle w:val="da"/>
          <w:rFonts w:ascii="黑体" w:eastAsia="黑体" w:hAnsi="黑体" w:cs="黑体" w:hint="eastAsia"/>
          <w:b/>
          <w:bCs/>
          <w:sz w:val="28"/>
          <w:szCs w:val="28"/>
        </w:rPr>
        <w:t>的公告</w:t>
      </w:r>
    </w:p>
    <w:p w:rsidR="00000000" w:rsidRDefault="003A606F">
      <w:pPr>
        <w:spacing w:line="400" w:lineRule="exact"/>
        <w:jc w:val="center"/>
        <w:rPr>
          <w:rStyle w:val="da"/>
          <w:rFonts w:ascii="宋体" w:hAnsi="宋体" w:hint="eastAsia"/>
          <w:b/>
          <w:bCs/>
        </w:rPr>
      </w:pPr>
    </w:p>
    <w:p w:rsidR="00000000" w:rsidRDefault="003A606F">
      <w:pPr>
        <w:widowControl/>
        <w:spacing w:line="360" w:lineRule="auto"/>
        <w:ind w:firstLineChars="200" w:firstLine="420"/>
        <w:jc w:val="left"/>
        <w:rPr>
          <w:rFonts w:cs="宋体" w:hint="eastAsia"/>
          <w:kern w:val="0"/>
          <w:szCs w:val="21"/>
        </w:rPr>
      </w:pPr>
      <w:r>
        <w:rPr>
          <w:rFonts w:cs="宋体" w:hint="eastAsia"/>
          <w:kern w:val="0"/>
          <w:szCs w:val="21"/>
        </w:rPr>
        <w:t>一、新增中国邮政储蓄银行股份有限公司“邮你同赢”</w:t>
      </w:r>
      <w:r>
        <w:rPr>
          <w:rFonts w:cs="宋体" w:hint="eastAsia"/>
          <w:kern w:val="0"/>
          <w:szCs w:val="21"/>
        </w:rPr>
        <w:t>平</w:t>
      </w:r>
      <w:r>
        <w:rPr>
          <w:rFonts w:cs="宋体" w:hint="eastAsia"/>
          <w:kern w:val="0"/>
          <w:szCs w:val="21"/>
        </w:rPr>
        <w:t>台为东吴基金管理有限公司旗下</w:t>
      </w:r>
      <w:r>
        <w:rPr>
          <w:rFonts w:cs="宋体" w:hint="eastAsia"/>
          <w:kern w:val="0"/>
          <w:szCs w:val="21"/>
        </w:rPr>
        <w:t>部分</w:t>
      </w:r>
      <w:r>
        <w:rPr>
          <w:rFonts w:cs="宋体" w:hint="eastAsia"/>
          <w:kern w:val="0"/>
          <w:szCs w:val="21"/>
        </w:rPr>
        <w:t>基金的代销机构</w:t>
      </w:r>
    </w:p>
    <w:p w:rsidR="00000000" w:rsidRDefault="003A606F">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根据东吴基金管理有限公司（以下简称“东吴基金”）与中国邮政储蓄银行股份有限公司（以下简称</w:t>
      </w:r>
      <w:r>
        <w:rPr>
          <w:rFonts w:cs="宋体" w:hint="eastAsia"/>
          <w:kern w:val="0"/>
          <w:szCs w:val="21"/>
        </w:rPr>
        <w:t>“</w:t>
      </w:r>
      <w:r>
        <w:rPr>
          <w:rFonts w:cs="宋体" w:hint="eastAsia"/>
          <w:kern w:val="0"/>
          <w:szCs w:val="21"/>
        </w:rPr>
        <w:t>邮储银行</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12</w:t>
      </w:r>
      <w:r>
        <w:rPr>
          <w:rFonts w:cs="宋体" w:hint="eastAsia"/>
          <w:kern w:val="0"/>
          <w:szCs w:val="21"/>
        </w:rPr>
        <w:t>月</w:t>
      </w:r>
      <w:r>
        <w:rPr>
          <w:rFonts w:cs="宋体" w:hint="eastAsia"/>
          <w:kern w:val="0"/>
          <w:szCs w:val="21"/>
        </w:rPr>
        <w:t>13</w:t>
      </w:r>
      <w:r>
        <w:rPr>
          <w:rFonts w:cs="宋体" w:hint="eastAsia"/>
          <w:kern w:val="0"/>
          <w:szCs w:val="21"/>
        </w:rPr>
        <w:t>日</w:t>
      </w:r>
      <w:r>
        <w:rPr>
          <w:rFonts w:cs="宋体" w:hint="eastAsia"/>
          <w:kern w:val="0"/>
          <w:szCs w:val="21"/>
        </w:rPr>
        <w:t>起通过</w:t>
      </w:r>
      <w:r>
        <w:rPr>
          <w:rFonts w:cs="宋体" w:hint="eastAsia"/>
          <w:kern w:val="0"/>
          <w:szCs w:val="21"/>
        </w:rPr>
        <w:t>邮储银行</w:t>
      </w:r>
      <w:r>
        <w:rPr>
          <w:rFonts w:ascii="宋体" w:hAnsi="宋体" w:cs="宋体" w:hint="eastAsia"/>
          <w:kern w:val="0"/>
          <w:szCs w:val="21"/>
        </w:rPr>
        <w:t>“邮你同赢”平台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3A606F">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3A606F">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3A606F">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东吴嘉禾优势精选混合型开放式证券投资基金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color w:val="000000"/>
                <w:szCs w:val="21"/>
              </w:rPr>
            </w:pPr>
            <w:r>
              <w:rPr>
                <w:rFonts w:ascii="宋体" w:hAnsi="宋体" w:cs="宋体" w:hint="eastAsia"/>
                <w:szCs w:val="21"/>
                <w:lang/>
              </w:rPr>
              <w:t>580001/015152</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东吴价值成长双动力混合型证券投资基金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szCs w:val="21"/>
                <w:lang/>
              </w:rPr>
            </w:pPr>
            <w:r>
              <w:rPr>
                <w:rFonts w:ascii="宋体" w:hAnsi="宋体" w:cs="宋体" w:hint="eastAsia"/>
                <w:szCs w:val="21"/>
                <w:lang/>
              </w:rPr>
              <w:t>580002/011241</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东吴行业轮动混合型证券投资基金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szCs w:val="21"/>
                <w:lang/>
              </w:rPr>
            </w:pPr>
            <w:r>
              <w:rPr>
                <w:rFonts w:ascii="宋体" w:hAnsi="宋体" w:cs="宋体" w:hint="eastAsia"/>
                <w:szCs w:val="21"/>
                <w:lang/>
              </w:rPr>
              <w:t>580003/011240</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东吴新产业精选股票型证券投资基金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580008/011470</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东吴多策略灵活配置混合型证券投资基金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580009/011949</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东吴移动互联灵活配置混合型证券投资基金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001323/002170</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jc w:val="left"/>
              <w:textAlignment w:val="center"/>
              <w:rPr>
                <w:rFonts w:ascii="宋体" w:hAnsi="宋体" w:cs="宋体" w:hint="eastAsia"/>
                <w:color w:val="000000"/>
                <w:kern w:val="0"/>
                <w:szCs w:val="21"/>
                <w:lang/>
              </w:rPr>
            </w:pPr>
            <w:r>
              <w:rPr>
                <w:rFonts w:ascii="宋体" w:hAnsi="宋体" w:cs="宋体" w:hint="eastAsia"/>
                <w:szCs w:val="21"/>
                <w:lang/>
              </w:rPr>
              <w:t>东吴新趋势价值线灵活配置混合型证</w:t>
            </w:r>
            <w:r>
              <w:rPr>
                <w:rFonts w:ascii="宋体" w:hAnsi="宋体" w:cs="宋体" w:hint="eastAsia"/>
                <w:szCs w:val="21"/>
                <w:lang/>
              </w:rPr>
              <w:t>券投资基金</w:t>
            </w:r>
          </w:p>
        </w:tc>
        <w:tc>
          <w:tcPr>
            <w:tcW w:w="1602" w:type="dxa"/>
            <w:vAlign w:val="center"/>
          </w:tcPr>
          <w:p w:rsidR="00000000" w:rsidRDefault="003A606F">
            <w:pPr>
              <w:widowControl/>
              <w:jc w:val="left"/>
              <w:textAlignment w:val="center"/>
              <w:rPr>
                <w:rFonts w:ascii="宋体" w:hAnsi="宋体" w:cs="宋体" w:hint="eastAsia"/>
                <w:color w:val="000000"/>
                <w:kern w:val="0"/>
                <w:szCs w:val="21"/>
                <w:lang/>
              </w:rPr>
            </w:pPr>
            <w:r>
              <w:rPr>
                <w:rFonts w:ascii="宋体" w:hAnsi="宋体" w:cs="宋体" w:hint="eastAsia"/>
                <w:color w:val="000000"/>
                <w:kern w:val="0"/>
                <w:sz w:val="20"/>
                <w:szCs w:val="20"/>
                <w:lang/>
              </w:rPr>
              <w:t>001322</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东吴安盈量化灵活配置混合型证券投资基金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color w:val="000000"/>
                <w:kern w:val="0"/>
                <w:szCs w:val="21"/>
                <w:lang/>
              </w:rPr>
            </w:pPr>
            <w:r>
              <w:rPr>
                <w:rFonts w:ascii="宋体" w:hAnsi="宋体" w:cs="宋体" w:hint="eastAsia"/>
                <w:szCs w:val="21"/>
                <w:lang/>
              </w:rPr>
              <w:t>002270/015154</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东吴智慧医疗量化策略灵活配置混合型证券投资基金</w:t>
            </w:r>
            <w:r>
              <w:rPr>
                <w:rFonts w:ascii="宋体" w:hAnsi="宋体" w:cs="宋体" w:hint="eastAsia"/>
                <w:szCs w:val="21"/>
                <w:lang/>
              </w:rPr>
              <w:t>A</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002919</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东吴优益债券型证券投资基金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005144/005145</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东吴悦秀纯债债券型证券投资基金</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005574</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东吴鼎泰纯债债券型证券投资基金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color w:val="000000"/>
                <w:kern w:val="0"/>
                <w:szCs w:val="21"/>
                <w:lang/>
              </w:rPr>
            </w:pPr>
            <w:r>
              <w:rPr>
                <w:rFonts w:ascii="宋体" w:hAnsi="宋体" w:cs="宋体" w:hint="eastAsia"/>
                <w:szCs w:val="21"/>
                <w:lang/>
              </w:rPr>
              <w:t>006026/014570</w:t>
            </w:r>
          </w:p>
        </w:tc>
      </w:tr>
      <w:tr w:rsidR="00000000">
        <w:trPr>
          <w:trHeight w:val="385"/>
          <w:jc w:val="center"/>
        </w:trPr>
        <w:tc>
          <w:tcPr>
            <w:tcW w:w="676" w:type="dxa"/>
          </w:tcPr>
          <w:p w:rsidR="00000000" w:rsidRDefault="003A606F">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东吴兴享成长混合型证券投资基金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010330/011462</w:t>
            </w:r>
          </w:p>
        </w:tc>
      </w:tr>
      <w:tr w:rsidR="00000000">
        <w:trPr>
          <w:trHeight w:val="385"/>
          <w:jc w:val="center"/>
        </w:trPr>
        <w:tc>
          <w:tcPr>
            <w:tcW w:w="676" w:type="dxa"/>
          </w:tcPr>
          <w:p w:rsidR="00000000" w:rsidRDefault="003A606F">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color w:val="000000"/>
                <w:kern w:val="0"/>
                <w:szCs w:val="21"/>
                <w:lang/>
              </w:rPr>
            </w:pPr>
            <w:r>
              <w:rPr>
                <w:rFonts w:ascii="宋体" w:hAnsi="宋体" w:cs="宋体" w:hint="eastAsia"/>
                <w:szCs w:val="21"/>
                <w:lang/>
              </w:rPr>
              <w:t>东吴新能源汽车股票型证券投资基金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spacing w:line="400" w:lineRule="exact"/>
              <w:jc w:val="left"/>
              <w:rPr>
                <w:rFonts w:ascii="宋体" w:hAnsi="宋体" w:cs="宋体"/>
                <w:color w:val="000000"/>
                <w:kern w:val="0"/>
                <w:szCs w:val="21"/>
                <w:lang/>
              </w:rPr>
            </w:pPr>
            <w:r>
              <w:rPr>
                <w:rFonts w:ascii="宋体" w:hAnsi="宋体" w:cs="宋体" w:hint="eastAsia"/>
                <w:szCs w:val="21"/>
                <w:lang/>
              </w:rPr>
              <w:t>014376/</w:t>
            </w:r>
            <w:r>
              <w:rPr>
                <w:rFonts w:ascii="宋体" w:hAnsi="宋体" w:cs="宋体" w:hint="eastAsia"/>
                <w:szCs w:val="21"/>
                <w:lang/>
              </w:rPr>
              <w:t>014377</w:t>
            </w:r>
          </w:p>
        </w:tc>
      </w:tr>
      <w:tr w:rsidR="00000000">
        <w:trPr>
          <w:trHeight w:val="385"/>
          <w:jc w:val="center"/>
        </w:trPr>
        <w:tc>
          <w:tcPr>
            <w:tcW w:w="676" w:type="dxa"/>
          </w:tcPr>
          <w:p w:rsidR="00000000" w:rsidRDefault="003A606F">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东吴月月享</w:t>
            </w:r>
            <w:r>
              <w:rPr>
                <w:rFonts w:ascii="宋体" w:hAnsi="宋体" w:cs="宋体" w:hint="eastAsia"/>
                <w:szCs w:val="21"/>
                <w:lang/>
              </w:rPr>
              <w:t>30</w:t>
            </w:r>
            <w:r>
              <w:rPr>
                <w:rFonts w:ascii="宋体" w:hAnsi="宋体" w:cs="宋体" w:hint="eastAsia"/>
                <w:szCs w:val="21"/>
                <w:lang/>
              </w:rPr>
              <w:t>天持有期短债债券型证券投资基金</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textAlignment w:val="center"/>
              <w:rPr>
                <w:rFonts w:ascii="宋体" w:hAnsi="宋体" w:cs="宋体"/>
                <w:szCs w:val="21"/>
                <w:lang/>
              </w:rPr>
            </w:pPr>
            <w:r>
              <w:rPr>
                <w:rFonts w:ascii="宋体" w:hAnsi="宋体" w:cs="宋体" w:hint="eastAsia"/>
                <w:szCs w:val="21"/>
                <w:lang/>
              </w:rPr>
              <w:t>015427</w:t>
            </w:r>
          </w:p>
        </w:tc>
      </w:tr>
      <w:tr w:rsidR="00000000">
        <w:trPr>
          <w:trHeight w:val="385"/>
          <w:jc w:val="center"/>
        </w:trPr>
        <w:tc>
          <w:tcPr>
            <w:tcW w:w="676" w:type="dxa"/>
          </w:tcPr>
          <w:p w:rsidR="00000000" w:rsidRDefault="003A606F">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东吴兴弘一年持有期混合型证券投资基金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textAlignment w:val="center"/>
              <w:rPr>
                <w:rFonts w:ascii="宋体" w:hAnsi="宋体" w:cs="宋体"/>
                <w:szCs w:val="21"/>
                <w:lang/>
              </w:rPr>
            </w:pPr>
            <w:r>
              <w:rPr>
                <w:rFonts w:ascii="宋体" w:hAnsi="宋体" w:cs="宋体" w:hint="eastAsia"/>
                <w:szCs w:val="21"/>
                <w:lang/>
              </w:rPr>
              <w:t>016097/016098</w:t>
            </w:r>
          </w:p>
        </w:tc>
      </w:tr>
      <w:tr w:rsidR="00000000">
        <w:trPr>
          <w:trHeight w:val="385"/>
          <w:jc w:val="center"/>
        </w:trPr>
        <w:tc>
          <w:tcPr>
            <w:tcW w:w="676" w:type="dxa"/>
          </w:tcPr>
          <w:p w:rsidR="00000000" w:rsidRDefault="003A606F">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3A606F">
            <w:pPr>
              <w:widowControl/>
              <w:textAlignment w:val="center"/>
              <w:rPr>
                <w:rFonts w:ascii="宋体" w:hAnsi="宋体" w:cs="宋体" w:hint="eastAsia"/>
                <w:szCs w:val="21"/>
                <w:lang/>
              </w:rPr>
            </w:pP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3A606F">
            <w:pPr>
              <w:widowControl/>
              <w:textAlignment w:val="center"/>
              <w:rPr>
                <w:rFonts w:ascii="宋体" w:hAnsi="宋体" w:cs="宋体"/>
                <w:szCs w:val="21"/>
                <w:lang/>
              </w:rPr>
            </w:pPr>
            <w:r>
              <w:rPr>
                <w:rFonts w:ascii="宋体" w:hAnsi="宋体" w:cs="宋体" w:hint="eastAsia"/>
                <w:szCs w:val="21"/>
                <w:lang/>
              </w:rPr>
              <w:t>018416/018417</w:t>
            </w:r>
          </w:p>
        </w:tc>
      </w:tr>
    </w:tbl>
    <w:p w:rsidR="00000000" w:rsidRDefault="003A606F">
      <w:pPr>
        <w:widowControl/>
        <w:spacing w:line="360" w:lineRule="auto"/>
        <w:ind w:firstLineChars="200" w:firstLine="420"/>
        <w:jc w:val="left"/>
        <w:rPr>
          <w:rFonts w:cs="宋体" w:hint="eastAsia"/>
          <w:szCs w:val="21"/>
        </w:rPr>
      </w:pPr>
      <w:r>
        <w:rPr>
          <w:rFonts w:ascii="宋体" w:hAnsi="宋体" w:cs="宋体" w:hint="eastAsia"/>
          <w:szCs w:val="21"/>
        </w:rPr>
        <w:t>（</w:t>
      </w:r>
      <w:r>
        <w:rPr>
          <w:rFonts w:ascii="宋体" w:hAnsi="宋体" w:cs="宋体" w:hint="eastAsia"/>
          <w:szCs w:val="21"/>
        </w:rPr>
        <w:t>备注：定期开放式产品具体开放时间以产品公告为准</w:t>
      </w:r>
      <w:r>
        <w:rPr>
          <w:rFonts w:ascii="宋体" w:hAnsi="宋体" w:cs="宋体" w:hint="eastAsia"/>
          <w:szCs w:val="21"/>
        </w:rPr>
        <w:t>）</w:t>
      </w:r>
    </w:p>
    <w:p w:rsidR="00000000" w:rsidRDefault="003A606F">
      <w:pPr>
        <w:widowControl/>
        <w:spacing w:line="360" w:lineRule="auto"/>
        <w:ind w:firstLineChars="200" w:firstLine="420"/>
        <w:jc w:val="left"/>
        <w:rPr>
          <w:rFonts w:cs="宋体" w:hint="eastAsia"/>
          <w:szCs w:val="21"/>
        </w:rPr>
      </w:pPr>
      <w:r>
        <w:rPr>
          <w:rFonts w:cs="宋体" w:hint="eastAsia"/>
          <w:szCs w:val="21"/>
        </w:rPr>
        <w:t>另</w:t>
      </w:r>
      <w:r>
        <w:rPr>
          <w:rFonts w:cs="宋体" w:hint="eastAsia"/>
          <w:szCs w:val="21"/>
        </w:rPr>
        <w:t>自</w:t>
      </w:r>
      <w:r>
        <w:rPr>
          <w:rFonts w:cs="宋体" w:hint="eastAsia"/>
          <w:szCs w:val="21"/>
        </w:rPr>
        <w:t>2024</w:t>
      </w:r>
      <w:r>
        <w:rPr>
          <w:rFonts w:cs="宋体" w:hint="eastAsia"/>
          <w:szCs w:val="21"/>
        </w:rPr>
        <w:t>年</w:t>
      </w:r>
      <w:r>
        <w:rPr>
          <w:rFonts w:cs="宋体" w:hint="eastAsia"/>
          <w:szCs w:val="21"/>
        </w:rPr>
        <w:t>12</w:t>
      </w:r>
      <w:r>
        <w:rPr>
          <w:rFonts w:cs="宋体" w:hint="eastAsia"/>
          <w:szCs w:val="21"/>
        </w:rPr>
        <w:t>月</w:t>
      </w:r>
      <w:r>
        <w:rPr>
          <w:rFonts w:cs="宋体" w:hint="eastAsia"/>
          <w:szCs w:val="21"/>
        </w:rPr>
        <w:t>16</w:t>
      </w:r>
      <w:r>
        <w:rPr>
          <w:rFonts w:cs="宋体" w:hint="eastAsia"/>
          <w:szCs w:val="21"/>
        </w:rPr>
        <w:t>日</w:t>
      </w:r>
      <w:r>
        <w:rPr>
          <w:rFonts w:cs="宋体" w:hint="eastAsia"/>
          <w:szCs w:val="21"/>
        </w:rPr>
        <w:t>起通过</w:t>
      </w:r>
      <w:r>
        <w:rPr>
          <w:rFonts w:cs="宋体" w:hint="eastAsia"/>
          <w:szCs w:val="21"/>
        </w:rPr>
        <w:t>邮储银行“邮你同赢”平台</w:t>
      </w:r>
      <w:r>
        <w:rPr>
          <w:rFonts w:cs="宋体" w:hint="eastAsia"/>
          <w:szCs w:val="21"/>
        </w:rPr>
        <w:t>接受投资者办理东吴基金旗下管理的</w:t>
      </w:r>
      <w:r>
        <w:rPr>
          <w:rFonts w:cs="宋体" w:hint="eastAsia"/>
          <w:szCs w:val="21"/>
        </w:rPr>
        <w:t>东吴智慧医疗量化策略灵活配置混合型证券投资基金</w:t>
      </w:r>
      <w:r>
        <w:rPr>
          <w:rFonts w:cs="宋体" w:hint="eastAsia"/>
          <w:szCs w:val="21"/>
        </w:rPr>
        <w:t>C</w:t>
      </w:r>
      <w:r>
        <w:rPr>
          <w:rFonts w:cs="宋体" w:hint="eastAsia"/>
          <w:szCs w:val="21"/>
        </w:rPr>
        <w:t>类（基金代码：</w:t>
      </w:r>
      <w:r>
        <w:rPr>
          <w:rFonts w:cs="宋体" w:hint="eastAsia"/>
          <w:szCs w:val="21"/>
        </w:rPr>
        <w:t>011949</w:t>
      </w:r>
      <w:r>
        <w:rPr>
          <w:rFonts w:cs="宋体" w:hint="eastAsia"/>
          <w:szCs w:val="21"/>
        </w:rPr>
        <w:t>）</w:t>
      </w:r>
      <w:r>
        <w:rPr>
          <w:rFonts w:cs="宋体" w:hint="eastAsia"/>
          <w:szCs w:val="21"/>
        </w:rPr>
        <w:t>的开户、申购和赎回等业务</w:t>
      </w:r>
      <w:r>
        <w:rPr>
          <w:rFonts w:cs="宋体" w:hint="eastAsia"/>
          <w:szCs w:val="21"/>
        </w:rPr>
        <w:t>。</w:t>
      </w:r>
    </w:p>
    <w:p w:rsidR="00000000" w:rsidRDefault="003A606F">
      <w:pPr>
        <w:widowControl/>
        <w:spacing w:line="360" w:lineRule="auto"/>
        <w:ind w:firstLineChars="200" w:firstLine="420"/>
        <w:jc w:val="left"/>
        <w:rPr>
          <w:rFonts w:cs="宋体" w:hint="eastAsia"/>
          <w:szCs w:val="21"/>
        </w:rPr>
      </w:pPr>
      <w:r>
        <w:rPr>
          <w:rFonts w:cs="宋体" w:hint="eastAsia"/>
          <w:szCs w:val="21"/>
        </w:rPr>
        <w:lastRenderedPageBreak/>
        <w:t>具体业务办理时间为：</w:t>
      </w:r>
      <w:r>
        <w:rPr>
          <w:rFonts w:cs="宋体" w:hint="eastAsia"/>
          <w:szCs w:val="21"/>
        </w:rPr>
        <w:t>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3A606F">
      <w:pPr>
        <w:widowControl/>
        <w:spacing w:line="360" w:lineRule="auto"/>
        <w:ind w:firstLineChars="200" w:firstLine="420"/>
        <w:jc w:val="left"/>
        <w:rPr>
          <w:rFonts w:cs="宋体" w:hint="eastAsia"/>
          <w:color w:val="000000"/>
          <w:szCs w:val="21"/>
        </w:rPr>
      </w:pPr>
      <w:r>
        <w:rPr>
          <w:rFonts w:cs="宋体" w:hint="eastAsia"/>
          <w:szCs w:val="21"/>
        </w:rPr>
        <w:t xml:space="preserve"> </w:t>
      </w:r>
      <w:r>
        <w:rPr>
          <w:rFonts w:cs="宋体" w:hint="eastAsia"/>
          <w:color w:val="000000"/>
          <w:szCs w:val="21"/>
        </w:rPr>
        <w:t xml:space="preserve"> </w:t>
      </w:r>
    </w:p>
    <w:p w:rsidR="00000000" w:rsidRDefault="003A606F">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二</w:t>
      </w:r>
      <w:r>
        <w:rPr>
          <w:rFonts w:cs="宋体" w:hint="eastAsia"/>
          <w:color w:val="000000"/>
          <w:szCs w:val="21"/>
        </w:rPr>
        <w:t>、</w:t>
      </w:r>
      <w:r>
        <w:rPr>
          <w:rFonts w:cs="宋体" w:hint="eastAsia"/>
          <w:szCs w:val="21"/>
        </w:rPr>
        <w:t>开通东吴基金旗下部分基金的基金转换业务</w:t>
      </w:r>
    </w:p>
    <w:p w:rsidR="00000000" w:rsidRDefault="003A606F">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12</w:t>
      </w:r>
      <w:r>
        <w:rPr>
          <w:rFonts w:cs="宋体" w:hint="eastAsia"/>
          <w:szCs w:val="21"/>
        </w:rPr>
        <w:t>月</w:t>
      </w:r>
      <w:r>
        <w:rPr>
          <w:rFonts w:cs="宋体" w:hint="eastAsia"/>
          <w:szCs w:val="21"/>
        </w:rPr>
        <w:t>13</w:t>
      </w:r>
      <w:r>
        <w:rPr>
          <w:rFonts w:cs="宋体" w:hint="eastAsia"/>
          <w:szCs w:val="21"/>
        </w:rPr>
        <w:t>日</w:t>
      </w:r>
      <w:r>
        <w:rPr>
          <w:rFonts w:cs="宋体" w:hint="eastAsia"/>
          <w:szCs w:val="21"/>
        </w:rPr>
        <w:t>起同时在</w:t>
      </w:r>
      <w:r>
        <w:rPr>
          <w:rFonts w:cs="宋体" w:hint="eastAsia"/>
          <w:szCs w:val="21"/>
        </w:rPr>
        <w:t>邮储银行“邮你同赢”平台</w:t>
      </w:r>
      <w:r>
        <w:rPr>
          <w:rFonts w:cs="宋体" w:hint="eastAsia"/>
          <w:szCs w:val="21"/>
        </w:rPr>
        <w:t>开通</w:t>
      </w:r>
      <w:r>
        <w:rPr>
          <w:rFonts w:cs="宋体" w:hint="eastAsia"/>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r>
        <w:rPr>
          <w:rFonts w:cs="宋体" w:hint="eastAsia"/>
          <w:szCs w:val="21"/>
        </w:rPr>
        <w:t>东吴智慧医疗量化策略灵活配置混合型证券投资基金</w:t>
      </w:r>
      <w:r>
        <w:rPr>
          <w:rFonts w:cs="宋体" w:hint="eastAsia"/>
          <w:szCs w:val="21"/>
        </w:rPr>
        <w:t>C</w:t>
      </w:r>
      <w:r>
        <w:rPr>
          <w:rFonts w:cs="宋体" w:hint="eastAsia"/>
          <w:szCs w:val="21"/>
        </w:rPr>
        <w:t>类于</w:t>
      </w:r>
      <w:r>
        <w:rPr>
          <w:rFonts w:cs="宋体" w:hint="eastAsia"/>
          <w:szCs w:val="21"/>
        </w:rPr>
        <w:t>2024</w:t>
      </w:r>
      <w:r>
        <w:rPr>
          <w:rFonts w:cs="宋体" w:hint="eastAsia"/>
          <w:szCs w:val="21"/>
        </w:rPr>
        <w:t>年</w:t>
      </w:r>
      <w:r>
        <w:rPr>
          <w:rFonts w:cs="宋体" w:hint="eastAsia"/>
          <w:szCs w:val="21"/>
        </w:rPr>
        <w:t>12</w:t>
      </w:r>
      <w:r>
        <w:rPr>
          <w:rFonts w:cs="宋体" w:hint="eastAsia"/>
          <w:szCs w:val="21"/>
        </w:rPr>
        <w:t>月</w:t>
      </w:r>
      <w:r>
        <w:rPr>
          <w:rFonts w:cs="宋体" w:hint="eastAsia"/>
          <w:szCs w:val="21"/>
        </w:rPr>
        <w:t>16</w:t>
      </w:r>
      <w:r>
        <w:rPr>
          <w:rFonts w:cs="宋体" w:hint="eastAsia"/>
          <w:szCs w:val="21"/>
        </w:rPr>
        <w:t>日开通</w:t>
      </w:r>
      <w:r>
        <w:rPr>
          <w:rFonts w:ascii="宋体" w:hAnsi="宋体" w:cs="宋体" w:hint="eastAsia"/>
          <w:szCs w:val="21"/>
          <w:lang/>
        </w:rPr>
        <w:t>）</w:t>
      </w:r>
      <w:r>
        <w:rPr>
          <w:rFonts w:cs="宋体" w:hint="eastAsia"/>
          <w:szCs w:val="21"/>
        </w:rPr>
        <w:t>。</w:t>
      </w:r>
    </w:p>
    <w:p w:rsidR="00000000" w:rsidRDefault="003A606F">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3A606F">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3A606F">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（二）基金转换受理时间</w:t>
      </w:r>
    </w:p>
    <w:p w:rsidR="00000000" w:rsidRDefault="003A606F">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w:t>
      </w:r>
      <w:r>
        <w:rPr>
          <w:rFonts w:cs="宋体" w:hint="eastAsia"/>
          <w:szCs w:val="21"/>
        </w:rPr>
        <w:t>交易所交易日（本公司公告暂停转换时除外）。具体业务办理时间与基金日常申购业务时间相同。</w:t>
      </w:r>
    </w:p>
    <w:p w:rsidR="00000000" w:rsidRDefault="003A606F">
      <w:pPr>
        <w:spacing w:line="360" w:lineRule="auto"/>
        <w:ind w:firstLineChars="200" w:firstLine="420"/>
        <w:rPr>
          <w:rFonts w:cs="宋体" w:hint="eastAsia"/>
          <w:szCs w:val="21"/>
        </w:rPr>
      </w:pPr>
      <w:r>
        <w:rPr>
          <w:rFonts w:cs="宋体" w:hint="eastAsia"/>
          <w:szCs w:val="21"/>
        </w:rPr>
        <w:t>（三）基金转换业务规则</w:t>
      </w:r>
    </w:p>
    <w:p w:rsidR="00000000" w:rsidRDefault="003A606F">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3A606F">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3A606F">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三、</w:t>
      </w: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3A606F">
      <w:pPr>
        <w:tabs>
          <w:tab w:val="left" w:pos="720"/>
        </w:tabs>
        <w:autoSpaceDE w:val="0"/>
        <w:autoSpaceDN w:val="0"/>
        <w:adjustRightInd w:val="0"/>
        <w:spacing w:line="360" w:lineRule="auto"/>
        <w:ind w:right="18" w:firstLineChars="200" w:firstLine="420"/>
        <w:jc w:val="left"/>
        <w:rPr>
          <w:rFonts w:cs="宋体" w:hint="eastAsia"/>
          <w:kern w:val="0"/>
          <w:szCs w:val="21"/>
        </w:rPr>
      </w:pPr>
      <w:r>
        <w:rPr>
          <w:rFonts w:cs="宋体" w:hint="eastAsia"/>
          <w:kern w:val="0"/>
          <w:szCs w:val="21"/>
        </w:rPr>
        <w:t>1</w:t>
      </w:r>
      <w:r>
        <w:rPr>
          <w:rFonts w:cs="宋体" w:hint="eastAsia"/>
          <w:kern w:val="0"/>
          <w:szCs w:val="21"/>
        </w:rPr>
        <w:t>、</w:t>
      </w:r>
      <w:r>
        <w:rPr>
          <w:rFonts w:cs="宋体" w:hint="eastAsia"/>
          <w:kern w:val="0"/>
          <w:szCs w:val="21"/>
        </w:rPr>
        <w:t xml:space="preserve"> </w:t>
      </w:r>
      <w:r>
        <w:rPr>
          <w:rFonts w:cs="宋体" w:hint="eastAsia"/>
          <w:kern w:val="0"/>
          <w:szCs w:val="21"/>
        </w:rPr>
        <w:t>中国邮政储蓄银行股份有限公司“邮你同赢”平台</w:t>
      </w:r>
    </w:p>
    <w:p w:rsidR="00000000" w:rsidRDefault="003A606F">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95580</w:t>
      </w:r>
    </w:p>
    <w:p w:rsidR="00000000" w:rsidRDefault="003A606F">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公司网址：</w:t>
      </w:r>
      <w:hyperlink r:id="rId5" w:history="1">
        <w:r>
          <w:rPr>
            <w:rFonts w:cs="宋体" w:hint="eastAsia"/>
            <w:kern w:val="0"/>
            <w:szCs w:val="21"/>
          </w:rPr>
          <w:t>https://ynty.psbc.com</w:t>
        </w:r>
      </w:hyperlink>
      <w:hyperlink r:id="rId6" w:tooltip="blocked::http://www.shzq.com/" w:history="1"/>
      <w:hyperlink r:id="rId7" w:history="1"/>
      <w:hyperlink r:id="rId8" w:history="1"/>
    </w:p>
    <w:p w:rsidR="00000000" w:rsidRDefault="003A606F">
      <w:pPr>
        <w:numPr>
          <w:ilvl w:val="0"/>
          <w:numId w:val="3"/>
        </w:numPr>
        <w:spacing w:line="360" w:lineRule="auto"/>
        <w:ind w:firstLineChars="200" w:firstLine="420"/>
        <w:rPr>
          <w:rFonts w:cs="宋体" w:hint="eastAsia"/>
          <w:kern w:val="0"/>
          <w:szCs w:val="21"/>
        </w:rPr>
      </w:pPr>
      <w:r>
        <w:rPr>
          <w:rFonts w:cs="宋体" w:hint="eastAsia"/>
          <w:kern w:val="0"/>
          <w:szCs w:val="21"/>
        </w:rPr>
        <w:t>东吴基金管理有限公司</w:t>
      </w:r>
      <w:r>
        <w:rPr>
          <w:rFonts w:cs="宋体" w:hint="eastAsia"/>
          <w:kern w:val="0"/>
          <w:szCs w:val="21"/>
        </w:rPr>
        <w:t xml:space="preserve"> </w:t>
      </w:r>
    </w:p>
    <w:p w:rsidR="00000000" w:rsidRDefault="003A606F">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3A606F">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szCs w:val="21"/>
        </w:rPr>
        <w:t xml:space="preserve">  </w:t>
      </w:r>
      <w:r>
        <w:rPr>
          <w:rFonts w:cs="宋体" w:hint="eastAsia"/>
          <w:kern w:val="0"/>
          <w:szCs w:val="21"/>
        </w:rPr>
        <w:t>公司网址：</w:t>
      </w:r>
      <w:hyperlink r:id="rId9" w:history="1">
        <w:r>
          <w:rPr>
            <w:rFonts w:cs="宋体" w:hint="eastAsia"/>
            <w:szCs w:val="21"/>
          </w:rPr>
          <w:t>www.scfund.com.cn</w:t>
        </w:r>
      </w:hyperlink>
    </w:p>
    <w:p w:rsidR="00000000" w:rsidRDefault="003A606F">
      <w:pPr>
        <w:spacing w:line="360" w:lineRule="auto"/>
        <w:ind w:firstLineChars="200" w:firstLine="420"/>
        <w:rPr>
          <w:rFonts w:cs="宋体" w:hint="eastAsia"/>
          <w:color w:val="000000"/>
          <w:kern w:val="0"/>
          <w:szCs w:val="21"/>
        </w:rPr>
      </w:pPr>
    </w:p>
    <w:p w:rsidR="00000000" w:rsidRDefault="003A606F">
      <w:pPr>
        <w:spacing w:line="360" w:lineRule="auto"/>
        <w:ind w:firstLineChars="200" w:firstLine="420"/>
        <w:rPr>
          <w:rFonts w:cs="宋体" w:hint="eastAsia"/>
          <w:color w:val="000000"/>
          <w:kern w:val="0"/>
          <w:szCs w:val="21"/>
        </w:rPr>
      </w:pPr>
      <w:r>
        <w:rPr>
          <w:rFonts w:cs="宋体" w:hint="eastAsia"/>
          <w:color w:val="000000"/>
          <w:kern w:val="0"/>
          <w:szCs w:val="21"/>
        </w:rPr>
        <w:t>四</w:t>
      </w:r>
      <w:r>
        <w:rPr>
          <w:rFonts w:cs="宋体" w:hint="eastAsia"/>
          <w:color w:val="000000"/>
          <w:kern w:val="0"/>
          <w:szCs w:val="21"/>
        </w:rPr>
        <w:t>、风险提示</w:t>
      </w:r>
    </w:p>
    <w:p w:rsidR="00000000" w:rsidRDefault="003A606F">
      <w:pPr>
        <w:spacing w:line="360" w:lineRule="auto"/>
        <w:ind w:firstLineChars="200" w:firstLine="420"/>
        <w:rPr>
          <w:rFonts w:cs="宋体" w:hint="eastAsia"/>
          <w:szCs w:val="21"/>
        </w:rPr>
      </w:pPr>
      <w:r>
        <w:rPr>
          <w:rFonts w:cs="宋体" w:hint="eastAsia"/>
          <w:color w:val="000000"/>
          <w:kern w:val="0"/>
          <w:szCs w:val="21"/>
        </w:rPr>
        <w:t>本公司承诺以诚</w:t>
      </w:r>
      <w:r>
        <w:rPr>
          <w:rFonts w:cs="宋体" w:hint="eastAsia"/>
          <w:color w:val="000000"/>
          <w:kern w:val="0"/>
          <w:szCs w:val="21"/>
        </w:rPr>
        <w:t>实信用、勤勉尽责的原则管理和运用基金资产，但不保证基金一定盈利，也不保证最低收益。敬请投资者在投资前认真阅读我司旗下基金的《基金合同》《招募说明书》和《基金产品资料概要》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3A606F">
      <w:pPr>
        <w:spacing w:line="360" w:lineRule="auto"/>
        <w:rPr>
          <w:rFonts w:cs="宋体" w:hint="eastAsia"/>
          <w:szCs w:val="21"/>
        </w:rPr>
      </w:pPr>
      <w:r>
        <w:rPr>
          <w:rFonts w:cs="宋体" w:hint="eastAsia"/>
          <w:szCs w:val="21"/>
        </w:rPr>
        <w:t xml:space="preserve">    </w:t>
      </w:r>
    </w:p>
    <w:p w:rsidR="00000000" w:rsidRDefault="003A606F">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3A606F">
      <w:pPr>
        <w:spacing w:line="400" w:lineRule="exact"/>
        <w:jc w:val="right"/>
        <w:rPr>
          <w:rFonts w:cs="宋体" w:hint="eastAsia"/>
          <w:szCs w:val="21"/>
        </w:rPr>
      </w:pPr>
      <w:r>
        <w:rPr>
          <w:rFonts w:cs="宋体" w:hint="eastAsia"/>
          <w:szCs w:val="21"/>
        </w:rPr>
        <w:lastRenderedPageBreak/>
        <w:t xml:space="preserve">                                     </w:t>
      </w:r>
    </w:p>
    <w:p w:rsidR="00000000" w:rsidRDefault="003A606F">
      <w:pPr>
        <w:spacing w:line="400" w:lineRule="exact"/>
        <w:jc w:val="right"/>
        <w:rPr>
          <w:rFonts w:cs="宋体" w:hint="eastAsia"/>
          <w:szCs w:val="21"/>
        </w:rPr>
      </w:pPr>
    </w:p>
    <w:p w:rsidR="00000000" w:rsidRDefault="003A606F">
      <w:pPr>
        <w:spacing w:line="400" w:lineRule="exact"/>
        <w:jc w:val="right"/>
        <w:rPr>
          <w:rFonts w:cs="宋体" w:hint="eastAsia"/>
          <w:szCs w:val="21"/>
        </w:rPr>
      </w:pPr>
      <w:r>
        <w:rPr>
          <w:rFonts w:cs="宋体" w:hint="eastAsia"/>
          <w:szCs w:val="21"/>
        </w:rPr>
        <w:t>东吴基金管理有限公司</w:t>
      </w:r>
    </w:p>
    <w:p w:rsidR="00000000" w:rsidRDefault="003A606F">
      <w:pPr>
        <w:spacing w:line="400" w:lineRule="exact"/>
        <w:jc w:val="center"/>
        <w:rPr>
          <w:rFonts w:cs="宋体" w:hint="eastAsia"/>
          <w:szCs w:val="21"/>
        </w:rPr>
      </w:pPr>
      <w:r>
        <w:rPr>
          <w:rFonts w:cs="宋体" w:hint="eastAsia"/>
          <w:szCs w:val="21"/>
        </w:rPr>
        <w:t xml:space="preserve">                                                            2024</w:t>
      </w:r>
      <w:r>
        <w:rPr>
          <w:rFonts w:cs="宋体" w:hint="eastAsia"/>
          <w:szCs w:val="21"/>
        </w:rPr>
        <w:t>年</w:t>
      </w:r>
      <w:r>
        <w:rPr>
          <w:rFonts w:cs="宋体" w:hint="eastAsia"/>
          <w:szCs w:val="21"/>
        </w:rPr>
        <w:t>12</w:t>
      </w:r>
      <w:r>
        <w:rPr>
          <w:rFonts w:cs="宋体" w:hint="eastAsia"/>
          <w:szCs w:val="21"/>
        </w:rPr>
        <w:t>月</w:t>
      </w:r>
      <w:r>
        <w:rPr>
          <w:rFonts w:cs="宋体" w:hint="eastAsia"/>
          <w:szCs w:val="21"/>
        </w:rPr>
        <w:t>12</w:t>
      </w:r>
      <w:r>
        <w:rPr>
          <w:rFonts w:cs="宋体" w:hint="eastAsia"/>
          <w:szCs w:val="21"/>
        </w:rPr>
        <w:t>日</w:t>
      </w:r>
    </w:p>
    <w:p w:rsidR="00000000" w:rsidRDefault="003A606F"/>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4E99D8CA"/>
    <w:multiLevelType w:val="singleLevel"/>
    <w:tmpl w:val="4E99D8CA"/>
    <w:lvl w:ilvl="0">
      <w:start w:val="2"/>
      <w:numFmt w:val="decimal"/>
      <w:suff w:val="space"/>
      <w:lvlText w:val="%1、"/>
      <w:lvlJc w:val="left"/>
    </w:lvl>
  </w:abstractNum>
  <w:abstractNum w:abstractNumId="2">
    <w:nsid w:val="5E28EE34"/>
    <w:multiLevelType w:val="singleLevel"/>
    <w:tmpl w:val="5E28EE34"/>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A606F"/>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7B608B"/>
    <w:rsid w:val="03900D70"/>
    <w:rsid w:val="03A773D8"/>
    <w:rsid w:val="03BF4636"/>
    <w:rsid w:val="043833BC"/>
    <w:rsid w:val="04BF3ADE"/>
    <w:rsid w:val="05282922"/>
    <w:rsid w:val="05743748"/>
    <w:rsid w:val="05FD0EAD"/>
    <w:rsid w:val="06171B42"/>
    <w:rsid w:val="06530F29"/>
    <w:rsid w:val="065D535C"/>
    <w:rsid w:val="066C5AF4"/>
    <w:rsid w:val="07223B44"/>
    <w:rsid w:val="0725719D"/>
    <w:rsid w:val="076808B4"/>
    <w:rsid w:val="07E27256"/>
    <w:rsid w:val="07EC11B9"/>
    <w:rsid w:val="08914121"/>
    <w:rsid w:val="089B75B6"/>
    <w:rsid w:val="089F48AC"/>
    <w:rsid w:val="08B95FAF"/>
    <w:rsid w:val="095A6915"/>
    <w:rsid w:val="097914DE"/>
    <w:rsid w:val="099A29BB"/>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F2D2C5D"/>
    <w:rsid w:val="0F304F86"/>
    <w:rsid w:val="0F420568"/>
    <w:rsid w:val="0F5A6124"/>
    <w:rsid w:val="0FCE7E58"/>
    <w:rsid w:val="103852DA"/>
    <w:rsid w:val="103D7A7A"/>
    <w:rsid w:val="10AF4A06"/>
    <w:rsid w:val="10ED011B"/>
    <w:rsid w:val="117D03B7"/>
    <w:rsid w:val="11D35ECA"/>
    <w:rsid w:val="121B17A1"/>
    <w:rsid w:val="12260115"/>
    <w:rsid w:val="126C35C1"/>
    <w:rsid w:val="12A80A9A"/>
    <w:rsid w:val="12ED0AC1"/>
    <w:rsid w:val="13A147CE"/>
    <w:rsid w:val="1412586F"/>
    <w:rsid w:val="144D74F1"/>
    <w:rsid w:val="14695692"/>
    <w:rsid w:val="149A6E87"/>
    <w:rsid w:val="149B08DC"/>
    <w:rsid w:val="14AC27FC"/>
    <w:rsid w:val="14D50D81"/>
    <w:rsid w:val="15284B7A"/>
    <w:rsid w:val="156173A0"/>
    <w:rsid w:val="15D65076"/>
    <w:rsid w:val="16274FBF"/>
    <w:rsid w:val="166A7C98"/>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F07BE9"/>
    <w:rsid w:val="1EFE461A"/>
    <w:rsid w:val="1F603866"/>
    <w:rsid w:val="1FC7683A"/>
    <w:rsid w:val="1FDF5B04"/>
    <w:rsid w:val="1FFE7667"/>
    <w:rsid w:val="20040DFF"/>
    <w:rsid w:val="20E148CC"/>
    <w:rsid w:val="21306C64"/>
    <w:rsid w:val="213212D6"/>
    <w:rsid w:val="21FC2E7E"/>
    <w:rsid w:val="22016A78"/>
    <w:rsid w:val="2217174F"/>
    <w:rsid w:val="22213E6C"/>
    <w:rsid w:val="224C5A31"/>
    <w:rsid w:val="225C7323"/>
    <w:rsid w:val="2269333F"/>
    <w:rsid w:val="22B107F8"/>
    <w:rsid w:val="235231CF"/>
    <w:rsid w:val="2370007A"/>
    <w:rsid w:val="239B35B7"/>
    <w:rsid w:val="23A83A0D"/>
    <w:rsid w:val="24140680"/>
    <w:rsid w:val="243B7B17"/>
    <w:rsid w:val="24492F66"/>
    <w:rsid w:val="246062EC"/>
    <w:rsid w:val="24E07885"/>
    <w:rsid w:val="25123A35"/>
    <w:rsid w:val="2534229A"/>
    <w:rsid w:val="257D32B1"/>
    <w:rsid w:val="25EC6BD7"/>
    <w:rsid w:val="26165B41"/>
    <w:rsid w:val="26881B2A"/>
    <w:rsid w:val="276C144B"/>
    <w:rsid w:val="27751639"/>
    <w:rsid w:val="27C45851"/>
    <w:rsid w:val="27CF750B"/>
    <w:rsid w:val="27E36121"/>
    <w:rsid w:val="280C74C5"/>
    <w:rsid w:val="28525604"/>
    <w:rsid w:val="287C47B4"/>
    <w:rsid w:val="28AF333F"/>
    <w:rsid w:val="2920062A"/>
    <w:rsid w:val="29210809"/>
    <w:rsid w:val="293B3F83"/>
    <w:rsid w:val="297E1EFC"/>
    <w:rsid w:val="29FD398C"/>
    <w:rsid w:val="2A1B7B5C"/>
    <w:rsid w:val="2A395F8D"/>
    <w:rsid w:val="2A656EEF"/>
    <w:rsid w:val="2A691501"/>
    <w:rsid w:val="2A7603D1"/>
    <w:rsid w:val="2AAE6793"/>
    <w:rsid w:val="2B382728"/>
    <w:rsid w:val="2B5C6850"/>
    <w:rsid w:val="2B8A529A"/>
    <w:rsid w:val="2BAA0794"/>
    <w:rsid w:val="2BAD2685"/>
    <w:rsid w:val="2BC43604"/>
    <w:rsid w:val="2C445CD5"/>
    <w:rsid w:val="2C957B69"/>
    <w:rsid w:val="2CB23497"/>
    <w:rsid w:val="2D2F0A6E"/>
    <w:rsid w:val="2D47547B"/>
    <w:rsid w:val="2E290C48"/>
    <w:rsid w:val="2F1D5A8B"/>
    <w:rsid w:val="2FAA2872"/>
    <w:rsid w:val="2FB1307B"/>
    <w:rsid w:val="2FCA1259"/>
    <w:rsid w:val="2FDC331F"/>
    <w:rsid w:val="2FE857C9"/>
    <w:rsid w:val="309148BA"/>
    <w:rsid w:val="30A04B7E"/>
    <w:rsid w:val="30D40089"/>
    <w:rsid w:val="320D0E17"/>
    <w:rsid w:val="322D3DD5"/>
    <w:rsid w:val="323563A5"/>
    <w:rsid w:val="326834DE"/>
    <w:rsid w:val="32B61B46"/>
    <w:rsid w:val="32C945B8"/>
    <w:rsid w:val="330C0562"/>
    <w:rsid w:val="331C31BE"/>
    <w:rsid w:val="33464B7A"/>
    <w:rsid w:val="334D0383"/>
    <w:rsid w:val="33576347"/>
    <w:rsid w:val="33915228"/>
    <w:rsid w:val="33AF4B9A"/>
    <w:rsid w:val="33B075FE"/>
    <w:rsid w:val="33CB2631"/>
    <w:rsid w:val="340332F1"/>
    <w:rsid w:val="34395C89"/>
    <w:rsid w:val="34877D0D"/>
    <w:rsid w:val="349613D0"/>
    <w:rsid w:val="34DA79F4"/>
    <w:rsid w:val="351A72AD"/>
    <w:rsid w:val="35282C5A"/>
    <w:rsid w:val="35486627"/>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893F22"/>
    <w:rsid w:val="3BCF2D0F"/>
    <w:rsid w:val="3C44454F"/>
    <w:rsid w:val="3CB42A10"/>
    <w:rsid w:val="3D6E29EB"/>
    <w:rsid w:val="3D994F8E"/>
    <w:rsid w:val="3D9B70CD"/>
    <w:rsid w:val="3DA939C5"/>
    <w:rsid w:val="3E1F1601"/>
    <w:rsid w:val="3E431917"/>
    <w:rsid w:val="3EA74EA6"/>
    <w:rsid w:val="3EAB2453"/>
    <w:rsid w:val="3F0D38BA"/>
    <w:rsid w:val="3F156B28"/>
    <w:rsid w:val="40591B82"/>
    <w:rsid w:val="406900CD"/>
    <w:rsid w:val="409B7B27"/>
    <w:rsid w:val="40ED1605"/>
    <w:rsid w:val="412133EB"/>
    <w:rsid w:val="41F017A8"/>
    <w:rsid w:val="42D52A3F"/>
    <w:rsid w:val="42F17050"/>
    <w:rsid w:val="431369E3"/>
    <w:rsid w:val="436A00A2"/>
    <w:rsid w:val="4399457F"/>
    <w:rsid w:val="443C6B00"/>
    <w:rsid w:val="445157F9"/>
    <w:rsid w:val="44676143"/>
    <w:rsid w:val="44794D63"/>
    <w:rsid w:val="44D067D1"/>
    <w:rsid w:val="44E670C8"/>
    <w:rsid w:val="453E3F7B"/>
    <w:rsid w:val="4572211D"/>
    <w:rsid w:val="46692B10"/>
    <w:rsid w:val="467C28B2"/>
    <w:rsid w:val="46924683"/>
    <w:rsid w:val="46B05CA5"/>
    <w:rsid w:val="473A5625"/>
    <w:rsid w:val="476F114B"/>
    <w:rsid w:val="47C02C46"/>
    <w:rsid w:val="47C17D67"/>
    <w:rsid w:val="48463A92"/>
    <w:rsid w:val="488515F1"/>
    <w:rsid w:val="489354A0"/>
    <w:rsid w:val="49083735"/>
    <w:rsid w:val="490F7BDD"/>
    <w:rsid w:val="49B758A3"/>
    <w:rsid w:val="4A8E51ED"/>
    <w:rsid w:val="4AAF17BC"/>
    <w:rsid w:val="4AFB1112"/>
    <w:rsid w:val="4C2F6420"/>
    <w:rsid w:val="4C8C3A8E"/>
    <w:rsid w:val="4D473B61"/>
    <w:rsid w:val="4DE7130E"/>
    <w:rsid w:val="4E053C46"/>
    <w:rsid w:val="4E13044B"/>
    <w:rsid w:val="4E1E499E"/>
    <w:rsid w:val="4E2906CE"/>
    <w:rsid w:val="4EC201C3"/>
    <w:rsid w:val="4F1C2EFD"/>
    <w:rsid w:val="4F691C56"/>
    <w:rsid w:val="4FA249DE"/>
    <w:rsid w:val="4FD81752"/>
    <w:rsid w:val="50B77329"/>
    <w:rsid w:val="51B36E3A"/>
    <w:rsid w:val="51C41695"/>
    <w:rsid w:val="51D74CEC"/>
    <w:rsid w:val="524B0146"/>
    <w:rsid w:val="52861B73"/>
    <w:rsid w:val="52CB7035"/>
    <w:rsid w:val="52CD24EF"/>
    <w:rsid w:val="52D60FD9"/>
    <w:rsid w:val="531D1557"/>
    <w:rsid w:val="5328390B"/>
    <w:rsid w:val="53506042"/>
    <w:rsid w:val="537F1847"/>
    <w:rsid w:val="53D60199"/>
    <w:rsid w:val="54A02F21"/>
    <w:rsid w:val="54C94F38"/>
    <w:rsid w:val="554167A1"/>
    <w:rsid w:val="56BD677F"/>
    <w:rsid w:val="57564D00"/>
    <w:rsid w:val="57755916"/>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6B0290"/>
    <w:rsid w:val="5DF854E1"/>
    <w:rsid w:val="5E1A796B"/>
    <w:rsid w:val="5E2A5AED"/>
    <w:rsid w:val="5E7D2556"/>
    <w:rsid w:val="5EFB210D"/>
    <w:rsid w:val="5F110351"/>
    <w:rsid w:val="5F3C0630"/>
    <w:rsid w:val="5FA97E40"/>
    <w:rsid w:val="5FAA4FFC"/>
    <w:rsid w:val="60027A31"/>
    <w:rsid w:val="6025124B"/>
    <w:rsid w:val="603D5AAD"/>
    <w:rsid w:val="6072134A"/>
    <w:rsid w:val="608A7D81"/>
    <w:rsid w:val="60C05441"/>
    <w:rsid w:val="61186496"/>
    <w:rsid w:val="61B65F15"/>
    <w:rsid w:val="61BE058B"/>
    <w:rsid w:val="61BE4076"/>
    <w:rsid w:val="61D03DA9"/>
    <w:rsid w:val="61EF2482"/>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661DEC"/>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F383D07"/>
    <w:rsid w:val="6F421085"/>
    <w:rsid w:val="6FC714F2"/>
    <w:rsid w:val="6FF414D4"/>
    <w:rsid w:val="700746B2"/>
    <w:rsid w:val="706C7FA2"/>
    <w:rsid w:val="70845812"/>
    <w:rsid w:val="70E37F8D"/>
    <w:rsid w:val="71127BA2"/>
    <w:rsid w:val="7187084F"/>
    <w:rsid w:val="718F50E7"/>
    <w:rsid w:val="71FB5066"/>
    <w:rsid w:val="72165F65"/>
    <w:rsid w:val="72181581"/>
    <w:rsid w:val="72262C1C"/>
    <w:rsid w:val="726F6D4C"/>
    <w:rsid w:val="72835E6E"/>
    <w:rsid w:val="72B30DC7"/>
    <w:rsid w:val="73975252"/>
    <w:rsid w:val="73BB1804"/>
    <w:rsid w:val="73F12CD0"/>
    <w:rsid w:val="73FD2CDB"/>
    <w:rsid w:val="74FA55F6"/>
    <w:rsid w:val="753271D8"/>
    <w:rsid w:val="757438E6"/>
    <w:rsid w:val="7578477B"/>
    <w:rsid w:val="75E861EF"/>
    <w:rsid w:val="7618435B"/>
    <w:rsid w:val="768C1119"/>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33629"/>
    <w:rsid w:val="7B9F358C"/>
    <w:rsid w:val="7C1D1B1D"/>
    <w:rsid w:val="7C271FE0"/>
    <w:rsid w:val="7C464660"/>
    <w:rsid w:val="7CE03CA6"/>
    <w:rsid w:val="7D0801C2"/>
    <w:rsid w:val="7D3B2EE5"/>
    <w:rsid w:val="7D450D50"/>
    <w:rsid w:val="7D6E64F9"/>
    <w:rsid w:val="7DA60233"/>
    <w:rsid w:val="7DE92D15"/>
    <w:rsid w:val="7E1150D6"/>
    <w:rsid w:val="7E1A4758"/>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ccpb.com" TargetMode="External"/><Relationship Id="rId3" Type="http://schemas.openxmlformats.org/officeDocument/2006/relationships/settings" Target="settings.xml"/><Relationship Id="rId7" Type="http://schemas.openxmlformats.org/officeDocument/2006/relationships/hyperlink" Target="https://www.licaimofa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zq.com" TargetMode="External"/><Relationship Id="rId11" Type="http://schemas.openxmlformats.org/officeDocument/2006/relationships/theme" Target="theme/theme1.xml"/><Relationship Id="rId5" Type="http://schemas.openxmlformats.org/officeDocument/2006/relationships/hyperlink" Target="https://ynty.psb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4</DocSecurity>
  <PresentationFormat/>
  <Lines>14</Lines>
  <Paragraphs>4</Paragraphs>
  <Slides>0</Slides>
  <Notes>0</Notes>
  <HiddenSlides>0</HiddenSlides>
  <MMClips>0</MMClips>
  <ScaleCrop>false</ScaleCrop>
  <Manager/>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东吴基金管理有限公司关于旗下部分基金新增中国邮政储蓄银行股份有限公司“邮你同赢”平台为代销机构、开通转换业务的公告</dc:title>
  <dc:subject/>
  <dc:creator>dingxue</dc:creator>
  <cp:keywords/>
  <dc:description/>
  <cp:lastModifiedBy>ZHONGM</cp:lastModifiedBy>
  <cp:revision>2</cp:revision>
  <cp:lastPrinted>2015-06-11T02:51:00Z</cp:lastPrinted>
  <dcterms:created xsi:type="dcterms:W3CDTF">2024-12-11T16:02:00Z</dcterms:created>
  <dcterms:modified xsi:type="dcterms:W3CDTF">2024-12-11T16:02:00Z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CFB2D7B2974A4578ABCD8511377AC141_13</vt:lpwstr>
  </property>
</Properties>
</file>