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12" w:rsidRDefault="00F86112"/>
    <w:p w:rsidR="00F86112" w:rsidRDefault="00E54378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博时裕乾纯债债券型证券投资基金</w:t>
      </w:r>
      <w:r>
        <w:rPr>
          <w:rFonts w:ascii="宋体" w:eastAsia="宋体" w:hAnsi="宋体" w:hint="eastAsia"/>
          <w:b/>
          <w:sz w:val="30"/>
        </w:rPr>
        <w:t>调整</w:t>
      </w:r>
      <w:r>
        <w:rPr>
          <w:rFonts w:ascii="宋体" w:eastAsia="宋体" w:hAnsi="宋体" w:hint="eastAsia"/>
          <w:b/>
          <w:sz w:val="30"/>
        </w:rPr>
        <w:t>大额申购、转换转入、定期定额投资业务的公告</w:t>
      </w:r>
    </w:p>
    <w:p w:rsidR="00F86112" w:rsidRDefault="00E54378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 w:hint="eastAsia"/>
          <w:b/>
          <w:sz w:val="24"/>
        </w:rPr>
        <w:t>2024</w:t>
      </w:r>
      <w:r>
        <w:rPr>
          <w:rFonts w:ascii="宋体" w:eastAsia="宋体" w:hAnsi="宋体" w:hint="eastAsia"/>
          <w:b/>
          <w:sz w:val="24"/>
        </w:rPr>
        <w:t>年</w:t>
      </w:r>
      <w:r>
        <w:rPr>
          <w:rFonts w:ascii="宋体" w:eastAsia="宋体" w:hAnsi="宋体" w:hint="eastAsia"/>
          <w:b/>
          <w:sz w:val="24"/>
        </w:rPr>
        <w:t>12</w:t>
      </w:r>
      <w:r>
        <w:rPr>
          <w:rFonts w:ascii="宋体" w:eastAsia="宋体" w:hAnsi="宋体" w:hint="eastAsia"/>
          <w:b/>
          <w:sz w:val="24"/>
        </w:rPr>
        <w:t>月</w:t>
      </w:r>
      <w:r>
        <w:rPr>
          <w:rFonts w:ascii="宋体" w:eastAsia="宋体" w:hAnsi="宋体" w:hint="eastAsia"/>
          <w:b/>
          <w:sz w:val="24"/>
        </w:rPr>
        <w:t>11</w:t>
      </w:r>
      <w:r>
        <w:rPr>
          <w:rFonts w:ascii="宋体" w:eastAsia="宋体" w:hAnsi="宋体" w:hint="eastAsia"/>
          <w:b/>
          <w:sz w:val="24"/>
        </w:rPr>
        <w:t>日</w:t>
      </w:r>
    </w:p>
    <w:p w:rsidR="00F86112" w:rsidRDefault="00F86112">
      <w:pPr>
        <w:jc w:val="center"/>
        <w:rPr>
          <w:rFonts w:ascii="宋体" w:eastAsia="宋体" w:hAnsi="宋体"/>
          <w:b/>
          <w:sz w:val="24"/>
        </w:rPr>
      </w:pPr>
    </w:p>
    <w:p w:rsidR="00F86112" w:rsidRDefault="00E54378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F86112">
        <w:tc>
          <w:tcPr>
            <w:tcW w:w="3408" w:type="dxa"/>
            <w:gridSpan w:val="2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博时裕乾纯债债券型证券投资基金</w:t>
            </w:r>
          </w:p>
        </w:tc>
      </w:tr>
      <w:tr w:rsidR="00F86112">
        <w:tc>
          <w:tcPr>
            <w:tcW w:w="3408" w:type="dxa"/>
            <w:gridSpan w:val="2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博时裕乾纯债债券</w:t>
            </w:r>
          </w:p>
        </w:tc>
      </w:tr>
      <w:tr w:rsidR="00F86112">
        <w:tc>
          <w:tcPr>
            <w:tcW w:w="3408" w:type="dxa"/>
            <w:gridSpan w:val="2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002175</w:t>
            </w:r>
          </w:p>
        </w:tc>
      </w:tr>
      <w:tr w:rsidR="00F86112">
        <w:tc>
          <w:tcPr>
            <w:tcW w:w="3408" w:type="dxa"/>
            <w:gridSpan w:val="2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F86112">
        <w:tc>
          <w:tcPr>
            <w:tcW w:w="3408" w:type="dxa"/>
            <w:gridSpan w:val="2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根据有关法律法规及《博时裕乾纯债债券型证券投资基金基金合同》、《博时裕乾纯债债券型证券投资基金招募说明书》等的规定</w:t>
            </w:r>
          </w:p>
        </w:tc>
      </w:tr>
      <w:tr w:rsidR="00F86112">
        <w:tc>
          <w:tcPr>
            <w:tcW w:w="1704" w:type="dxa"/>
            <w:vMerge w:val="restart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1704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2024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12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F86112">
        <w:tc>
          <w:tcPr>
            <w:tcW w:w="1704" w:type="dxa"/>
            <w:vMerge/>
            <w:vAlign w:val="center"/>
          </w:tcPr>
          <w:p w:rsidR="00F86112" w:rsidRDefault="00F86112"/>
        </w:tc>
        <w:tc>
          <w:tcPr>
            <w:tcW w:w="1704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2024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12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F86112">
        <w:tc>
          <w:tcPr>
            <w:tcW w:w="1704" w:type="dxa"/>
            <w:vMerge/>
            <w:vAlign w:val="center"/>
          </w:tcPr>
          <w:p w:rsidR="00F86112" w:rsidRDefault="00F86112"/>
        </w:tc>
        <w:tc>
          <w:tcPr>
            <w:tcW w:w="1704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2024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12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F86112">
        <w:tc>
          <w:tcPr>
            <w:tcW w:w="1704" w:type="dxa"/>
            <w:vMerge/>
            <w:vAlign w:val="center"/>
          </w:tcPr>
          <w:p w:rsidR="00F86112" w:rsidRDefault="00F86112"/>
        </w:tc>
        <w:tc>
          <w:tcPr>
            <w:tcW w:w="1704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10,000,000.00</w:t>
            </w:r>
          </w:p>
        </w:tc>
      </w:tr>
      <w:tr w:rsidR="00F86112">
        <w:tc>
          <w:tcPr>
            <w:tcW w:w="1704" w:type="dxa"/>
            <w:vMerge/>
            <w:vAlign w:val="center"/>
          </w:tcPr>
          <w:p w:rsidR="00F86112" w:rsidRDefault="00F86112"/>
        </w:tc>
        <w:tc>
          <w:tcPr>
            <w:tcW w:w="1704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10,000,000.00</w:t>
            </w:r>
          </w:p>
        </w:tc>
      </w:tr>
      <w:tr w:rsidR="00F86112">
        <w:tc>
          <w:tcPr>
            <w:tcW w:w="1704" w:type="dxa"/>
            <w:vMerge/>
            <w:vAlign w:val="center"/>
          </w:tcPr>
          <w:p w:rsidR="00F86112" w:rsidRDefault="00F86112"/>
        </w:tc>
        <w:tc>
          <w:tcPr>
            <w:tcW w:w="1704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10,000,000.00</w:t>
            </w:r>
          </w:p>
        </w:tc>
      </w:tr>
      <w:tr w:rsidR="00F86112">
        <w:tc>
          <w:tcPr>
            <w:tcW w:w="1704" w:type="dxa"/>
            <w:vMerge/>
            <w:vAlign w:val="center"/>
          </w:tcPr>
          <w:p w:rsidR="00F86112" w:rsidRDefault="00F86112"/>
        </w:tc>
        <w:tc>
          <w:tcPr>
            <w:tcW w:w="1704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5114" w:type="dxa"/>
            <w:gridSpan w:val="3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F86112">
        <w:tc>
          <w:tcPr>
            <w:tcW w:w="3408" w:type="dxa"/>
            <w:gridSpan w:val="2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1704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博时裕乾纯债债券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1705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博时裕乾纯债债券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  <w:tc>
          <w:tcPr>
            <w:tcW w:w="1705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博时裕乾纯债债券</w:t>
            </w:r>
            <w:r>
              <w:rPr>
                <w:rFonts w:ascii="宋体" w:eastAsia="宋体" w:hAnsi="宋体"/>
                <w:sz w:val="24"/>
              </w:rPr>
              <w:t>E</w:t>
            </w:r>
          </w:p>
        </w:tc>
      </w:tr>
      <w:tr w:rsidR="00F86112">
        <w:tc>
          <w:tcPr>
            <w:tcW w:w="3408" w:type="dxa"/>
            <w:gridSpan w:val="2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1704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002175</w:t>
            </w:r>
          </w:p>
        </w:tc>
        <w:tc>
          <w:tcPr>
            <w:tcW w:w="1705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002404</w:t>
            </w:r>
          </w:p>
        </w:tc>
        <w:tc>
          <w:tcPr>
            <w:tcW w:w="1705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022809</w:t>
            </w:r>
          </w:p>
        </w:tc>
      </w:tr>
      <w:tr w:rsidR="00F86112">
        <w:tc>
          <w:tcPr>
            <w:tcW w:w="3408" w:type="dxa"/>
            <w:gridSpan w:val="2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1704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  <w:tc>
          <w:tcPr>
            <w:tcW w:w="1705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1705" w:type="dxa"/>
            <w:vAlign w:val="center"/>
          </w:tcPr>
          <w:p w:rsidR="00F86112" w:rsidRDefault="00E543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F86112" w:rsidRDefault="00F86112"/>
    <w:p w:rsidR="00F86112" w:rsidRDefault="00E54378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F86112" w:rsidRDefault="00E54378">
      <w:pPr>
        <w:pStyle w:val="a3"/>
        <w:spacing w:before="0" w:beforeAutospacing="0" w:after="0" w:afterAutospacing="0" w:line="360" w:lineRule="auto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起</w:t>
      </w:r>
      <w:r>
        <w:rPr>
          <w:rFonts w:hint="eastAsia"/>
        </w:rPr>
        <w:t>，本基金</w:t>
      </w:r>
      <w:r>
        <w:rPr>
          <w:rFonts w:hint="eastAsia"/>
        </w:rPr>
        <w:t>C,E</w:t>
      </w:r>
      <w:r>
        <w:rPr>
          <w:rFonts w:hint="eastAsia"/>
        </w:rPr>
        <w:t>两</w:t>
      </w:r>
      <w:r>
        <w:rPr>
          <w:rFonts w:hint="eastAsia"/>
        </w:rPr>
        <w:t>类基金份额单日每个基金账户的申购、转换转入、定期定额投资</w:t>
      </w:r>
      <w:r>
        <w:rPr>
          <w:rFonts w:hint="eastAsia"/>
        </w:rPr>
        <w:t>分别</w:t>
      </w:r>
      <w:r>
        <w:rPr>
          <w:rFonts w:hint="eastAsia"/>
        </w:rPr>
        <w:t>累计金额应不超过</w:t>
      </w:r>
      <w:r>
        <w:rPr>
          <w:rFonts w:hint="eastAsia"/>
        </w:rPr>
        <w:t>1000</w:t>
      </w:r>
      <w:r>
        <w:rPr>
          <w:rFonts w:hint="eastAsia"/>
        </w:rPr>
        <w:t>万元（本基金</w:t>
      </w:r>
      <w:r>
        <w:rPr>
          <w:rFonts w:hint="eastAsia"/>
        </w:rPr>
        <w:t>C,E</w:t>
      </w:r>
      <w:r>
        <w:rPr>
          <w:rFonts w:hint="eastAsia"/>
        </w:rPr>
        <w:t>两</w:t>
      </w:r>
      <w:r>
        <w:rPr>
          <w:rFonts w:hint="eastAsia"/>
        </w:rPr>
        <w:t>类基金份额申请金额</w:t>
      </w:r>
      <w:r>
        <w:rPr>
          <w:rFonts w:hint="eastAsia"/>
        </w:rPr>
        <w:t>不</w:t>
      </w:r>
      <w:r>
        <w:rPr>
          <w:rFonts w:hint="eastAsia"/>
        </w:rPr>
        <w:t>予以合计）。如</w:t>
      </w:r>
      <w:r>
        <w:rPr>
          <w:rFonts w:hint="eastAsia"/>
        </w:rPr>
        <w:t>本基金</w:t>
      </w:r>
      <w:r>
        <w:rPr>
          <w:rFonts w:hint="eastAsia"/>
        </w:rPr>
        <w:t>C,E</w:t>
      </w:r>
      <w:r>
        <w:rPr>
          <w:rFonts w:hint="eastAsia"/>
        </w:rPr>
        <w:t>两</w:t>
      </w:r>
      <w:r>
        <w:rPr>
          <w:rFonts w:hint="eastAsia"/>
        </w:rPr>
        <w:t>类基金份额单日每个基金账户的申购、转</w:t>
      </w:r>
      <w:bookmarkStart w:id="0" w:name="_GoBack"/>
      <w:bookmarkEnd w:id="0"/>
      <w:r>
        <w:rPr>
          <w:rFonts w:hint="eastAsia"/>
        </w:rPr>
        <w:t>换转入、定期定额投资</w:t>
      </w:r>
      <w:r>
        <w:rPr>
          <w:rFonts w:hint="eastAsia"/>
        </w:rPr>
        <w:t>分别</w:t>
      </w:r>
      <w:r>
        <w:rPr>
          <w:rFonts w:hint="eastAsia"/>
        </w:rPr>
        <w:t>累计</w:t>
      </w:r>
      <w:r>
        <w:rPr>
          <w:rFonts w:hint="eastAsia"/>
          <w:color w:val="000000" w:themeColor="text1"/>
        </w:rPr>
        <w:t>金额超过</w:t>
      </w:r>
      <w:r>
        <w:rPr>
          <w:rFonts w:hint="eastAsia"/>
          <w:color w:val="000000" w:themeColor="text1"/>
        </w:rPr>
        <w:t>1000</w:t>
      </w:r>
      <w:r>
        <w:rPr>
          <w:rFonts w:hint="eastAsia"/>
          <w:color w:val="000000" w:themeColor="text1"/>
        </w:rPr>
        <w:t>万元，本基金管理人有权拒绝。</w:t>
      </w:r>
      <w:r>
        <w:rPr>
          <w:rStyle w:val="a5"/>
          <w:rFonts w:hint="eastAsia"/>
          <w:color w:val="000000" w:themeColor="text1"/>
        </w:rPr>
        <w:t>如投资者于</w:t>
      </w:r>
      <w:r>
        <w:rPr>
          <w:rStyle w:val="a5"/>
          <w:rFonts w:hint="eastAsia"/>
          <w:color w:val="000000" w:themeColor="text1"/>
        </w:rPr>
        <w:t>2024</w:t>
      </w:r>
      <w:r>
        <w:rPr>
          <w:rStyle w:val="a5"/>
          <w:rFonts w:hint="eastAsia"/>
          <w:color w:val="000000" w:themeColor="text1"/>
        </w:rPr>
        <w:t>年</w:t>
      </w:r>
      <w:r>
        <w:rPr>
          <w:rStyle w:val="a5"/>
          <w:rFonts w:hint="eastAsia"/>
          <w:color w:val="000000" w:themeColor="text1"/>
        </w:rPr>
        <w:t>12</w:t>
      </w:r>
      <w:r>
        <w:rPr>
          <w:rStyle w:val="a5"/>
          <w:rFonts w:hint="eastAsia"/>
          <w:color w:val="000000" w:themeColor="text1"/>
        </w:rPr>
        <w:t>月</w:t>
      </w:r>
      <w:r>
        <w:rPr>
          <w:rStyle w:val="a5"/>
          <w:rFonts w:hint="eastAsia"/>
          <w:color w:val="000000" w:themeColor="text1"/>
        </w:rPr>
        <w:t>11</w:t>
      </w:r>
      <w:r>
        <w:rPr>
          <w:rStyle w:val="a5"/>
          <w:rFonts w:hint="eastAsia"/>
          <w:color w:val="000000" w:themeColor="text1"/>
        </w:rPr>
        <w:t>日</w:t>
      </w:r>
      <w:r>
        <w:rPr>
          <w:rStyle w:val="a5"/>
          <w:rFonts w:hint="eastAsia"/>
          <w:color w:val="000000" w:themeColor="text1"/>
        </w:rPr>
        <w:t>15</w:t>
      </w:r>
      <w:r>
        <w:rPr>
          <w:rStyle w:val="a5"/>
          <w:rFonts w:hint="eastAsia"/>
          <w:color w:val="000000" w:themeColor="text1"/>
        </w:rPr>
        <w:t>点之后申购、转换转入或定期定额投资上述基金，将适用上述限制安排，敬请投资者注意。</w:t>
      </w:r>
    </w:p>
    <w:p w:rsidR="00F86112" w:rsidRDefault="00E54378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）在本基金</w:t>
      </w:r>
      <w:r>
        <w:rPr>
          <w:rFonts w:hint="eastAsia"/>
          <w:color w:val="000000" w:themeColor="text1"/>
        </w:rPr>
        <w:t>C,E</w:t>
      </w:r>
      <w:r>
        <w:rPr>
          <w:rFonts w:hint="eastAsia"/>
          <w:color w:val="000000" w:themeColor="text1"/>
        </w:rPr>
        <w:t>两</w:t>
      </w:r>
      <w:r>
        <w:rPr>
          <w:rFonts w:hint="eastAsia"/>
          <w:color w:val="000000" w:themeColor="text1"/>
        </w:rPr>
        <w:t>类基金份额暂停大额申购、转换转入、定期定额投资业务期间，其它业务正常办理。本基金</w:t>
      </w:r>
      <w:r>
        <w:rPr>
          <w:rFonts w:hint="eastAsia"/>
          <w:color w:val="000000" w:themeColor="text1"/>
        </w:rPr>
        <w:t>C,E</w:t>
      </w:r>
      <w:r>
        <w:rPr>
          <w:rFonts w:hint="eastAsia"/>
          <w:color w:val="000000" w:themeColor="text1"/>
        </w:rPr>
        <w:t>两</w:t>
      </w:r>
      <w:r>
        <w:rPr>
          <w:rFonts w:hint="eastAsia"/>
          <w:color w:val="000000" w:themeColor="text1"/>
        </w:rPr>
        <w:t>类基金份额恢复办</w:t>
      </w:r>
      <w:r>
        <w:rPr>
          <w:rFonts w:hint="eastAsia"/>
        </w:rPr>
        <w:t>理大额申购、转换转入、定期定额投资业务的时间将另行公告。</w:t>
      </w:r>
      <w:r>
        <w:rPr>
          <w:rFonts w:hint="eastAsia"/>
        </w:rPr>
        <w:t xml:space="preserve"> </w:t>
      </w:r>
    </w:p>
    <w:p w:rsidR="00F86112" w:rsidRDefault="00E54378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F86112" w:rsidRDefault="00E54378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F86112" w:rsidRDefault="00F86112">
      <w:pPr>
        <w:pStyle w:val="a3"/>
        <w:spacing w:before="0" w:beforeAutospacing="0" w:after="0" w:afterAutospacing="0" w:line="360" w:lineRule="auto"/>
        <w:ind w:firstLine="420"/>
      </w:pPr>
    </w:p>
    <w:p w:rsidR="00F86112" w:rsidRDefault="00F86112">
      <w:pPr>
        <w:pStyle w:val="a3"/>
        <w:spacing w:before="0" w:beforeAutospacing="0" w:after="0" w:afterAutospacing="0" w:line="360" w:lineRule="auto"/>
        <w:ind w:firstLine="420"/>
      </w:pPr>
    </w:p>
    <w:p w:rsidR="00F86112" w:rsidRDefault="00F86112">
      <w:pPr>
        <w:pStyle w:val="a3"/>
        <w:spacing w:before="0" w:beforeAutospacing="0" w:after="0" w:afterAutospacing="0" w:line="360" w:lineRule="auto"/>
        <w:ind w:firstLine="420"/>
      </w:pPr>
    </w:p>
    <w:p w:rsidR="00F86112" w:rsidRDefault="00E54378">
      <w:pPr>
        <w:pStyle w:val="a3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F86112" w:rsidRDefault="00E54378">
      <w:pPr>
        <w:pStyle w:val="a3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sectPr w:rsidR="00F86112" w:rsidSect="00F8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29F"/>
    <w:rsid w:val="00053233"/>
    <w:rsid w:val="0090329F"/>
    <w:rsid w:val="00E54378"/>
    <w:rsid w:val="00F86112"/>
    <w:rsid w:val="21F36454"/>
    <w:rsid w:val="38567830"/>
    <w:rsid w:val="4CFB7D4E"/>
    <w:rsid w:val="50095F5C"/>
    <w:rsid w:val="57B75385"/>
    <w:rsid w:val="61DF7C6E"/>
    <w:rsid w:val="65FC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1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61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6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F86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86112"/>
    <w:rPr>
      <w:b/>
      <w:bCs/>
    </w:rPr>
  </w:style>
  <w:style w:type="character" w:customStyle="1" w:styleId="3Char">
    <w:name w:val="标题 3 Char"/>
    <w:basedOn w:val="a0"/>
    <w:link w:val="3"/>
    <w:uiPriority w:val="9"/>
    <w:qFormat/>
    <w:rsid w:val="00F86112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4</DocSecurity>
  <Lines>6</Lines>
  <Paragraphs>1</Paragraphs>
  <ScaleCrop>false</ScaleCrop>
  <Company>mycompany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2024-12-10T16:03:00Z</dcterms:created>
  <dcterms:modified xsi:type="dcterms:W3CDTF">2024-12-10T16:03:00Z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5E9D2A9E309749A6AF2BDE02642E3CD9</vt:lpwstr>
  </property>
</Properties>
</file>