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C5" w:rsidRPr="002246FE" w:rsidRDefault="006368C5" w:rsidP="006368C5">
      <w:pPr>
        <w:jc w:val="center"/>
        <w:rPr>
          <w:rFonts w:ascii="宋体" w:eastAsia="宋体" w:hAnsi="宋体" w:cs="Times New Roman"/>
          <w:b/>
          <w:sz w:val="28"/>
          <w:szCs w:val="28"/>
        </w:rPr>
      </w:pPr>
      <w:r w:rsidRPr="002246FE">
        <w:rPr>
          <w:rFonts w:ascii="宋体" w:eastAsia="宋体" w:hAnsi="宋体" w:cs="Times New Roman" w:hint="eastAsia"/>
          <w:b/>
          <w:sz w:val="28"/>
          <w:szCs w:val="28"/>
        </w:rPr>
        <w:t>中邮创业基金管理股份有限公司</w:t>
      </w:r>
      <w:r>
        <w:rPr>
          <w:rFonts w:ascii="宋体" w:eastAsia="宋体" w:hAnsi="宋体" w:cs="Times New Roman" w:hint="eastAsia"/>
          <w:b/>
          <w:sz w:val="28"/>
          <w:szCs w:val="28"/>
        </w:rPr>
        <w:t>旗下部分基金</w:t>
      </w:r>
      <w:r w:rsidRPr="002246FE">
        <w:rPr>
          <w:rFonts w:ascii="宋体" w:eastAsia="宋体" w:hAnsi="宋体" w:cs="Times New Roman" w:hint="eastAsia"/>
          <w:b/>
          <w:sz w:val="28"/>
          <w:szCs w:val="28"/>
        </w:rPr>
        <w:t>在</w:t>
      </w:r>
      <w:r w:rsidRPr="006368C5">
        <w:rPr>
          <w:rFonts w:ascii="宋体" w:eastAsia="宋体" w:hAnsi="宋体" w:cs="Times New Roman" w:hint="eastAsia"/>
          <w:b/>
          <w:sz w:val="28"/>
          <w:szCs w:val="28"/>
        </w:rPr>
        <w:t>招商银行股份有限公司</w:t>
      </w:r>
      <w:r w:rsidRPr="002246FE">
        <w:rPr>
          <w:rFonts w:ascii="宋体" w:eastAsia="宋体" w:hAnsi="宋体" w:cs="Times New Roman" w:hint="eastAsia"/>
          <w:b/>
          <w:sz w:val="28"/>
          <w:szCs w:val="28"/>
        </w:rPr>
        <w:t>开通基金转换业务的公告</w:t>
      </w:r>
    </w:p>
    <w:p w:rsidR="006368C5" w:rsidRPr="002246FE" w:rsidRDefault="006368C5" w:rsidP="006368C5"/>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为了更好地满足广大投资者的理财需求，中邮创业基金管理股份有限公司（以下称“本公司”）与</w:t>
      </w:r>
      <w:r w:rsidRPr="006368C5">
        <w:rPr>
          <w:rFonts w:asciiTheme="minorEastAsia" w:hAnsiTheme="minorEastAsia" w:cs="Times New Roman" w:hint="eastAsia"/>
          <w:szCs w:val="21"/>
        </w:rPr>
        <w:t>招商银行股份有限公司</w:t>
      </w:r>
      <w:r w:rsidRPr="002246FE">
        <w:rPr>
          <w:rFonts w:asciiTheme="minorEastAsia" w:hAnsiTheme="minorEastAsia" w:cs="Times New Roman" w:hint="eastAsia"/>
          <w:szCs w:val="21"/>
        </w:rPr>
        <w:t>（以下称“</w:t>
      </w:r>
      <w:r>
        <w:rPr>
          <w:rFonts w:asciiTheme="minorEastAsia" w:hAnsiTheme="minorEastAsia" w:cs="Times New Roman" w:hint="eastAsia"/>
          <w:szCs w:val="21"/>
        </w:rPr>
        <w:t>招商</w:t>
      </w:r>
      <w:r w:rsidRPr="002246FE">
        <w:rPr>
          <w:rFonts w:asciiTheme="minorEastAsia" w:hAnsiTheme="minorEastAsia" w:cs="Times New Roman" w:hint="eastAsia"/>
          <w:szCs w:val="21"/>
        </w:rPr>
        <w:t>银行”）协商一致，自</w:t>
      </w:r>
      <w:r w:rsidRPr="002246FE">
        <w:rPr>
          <w:rFonts w:asciiTheme="minorEastAsia" w:hAnsiTheme="minorEastAsia" w:cs="Times New Roman"/>
          <w:szCs w:val="21"/>
        </w:rPr>
        <w:t>2024年12月</w:t>
      </w:r>
      <w:r>
        <w:rPr>
          <w:rFonts w:asciiTheme="minorEastAsia" w:hAnsiTheme="minorEastAsia" w:cs="Times New Roman"/>
          <w:szCs w:val="21"/>
        </w:rPr>
        <w:t>11</w:t>
      </w:r>
      <w:r w:rsidRPr="002246FE">
        <w:rPr>
          <w:rFonts w:asciiTheme="minorEastAsia" w:hAnsiTheme="minorEastAsia" w:cs="Times New Roman"/>
          <w:szCs w:val="21"/>
        </w:rPr>
        <w:t>日</w:t>
      </w:r>
      <w:r w:rsidRPr="002246FE">
        <w:rPr>
          <w:rFonts w:asciiTheme="minorEastAsia" w:hAnsiTheme="minorEastAsia" w:cs="Times New Roman" w:hint="eastAsia"/>
          <w:szCs w:val="21"/>
        </w:rPr>
        <w:t>起，本公司旗下部分基金在</w:t>
      </w:r>
      <w:r>
        <w:rPr>
          <w:rFonts w:asciiTheme="minorEastAsia" w:hAnsiTheme="minorEastAsia" w:cs="Times New Roman" w:hint="eastAsia"/>
          <w:szCs w:val="21"/>
        </w:rPr>
        <w:t>招商</w:t>
      </w:r>
      <w:r w:rsidRPr="002246FE">
        <w:rPr>
          <w:rFonts w:asciiTheme="minorEastAsia" w:hAnsiTheme="minorEastAsia" w:cs="Times New Roman" w:hint="eastAsia"/>
          <w:szCs w:val="21"/>
        </w:rPr>
        <w:t>银行开通转换业务。现将有关事项公告如下：</w:t>
      </w:r>
    </w:p>
    <w:p w:rsidR="006368C5" w:rsidRPr="002246FE" w:rsidRDefault="006368C5" w:rsidP="00532323">
      <w:pPr>
        <w:keepNext/>
        <w:keepLines/>
        <w:spacing w:beforeLines="50" w:afterLines="50" w:line="360" w:lineRule="auto"/>
        <w:ind w:left="420" w:hanging="420"/>
        <w:outlineLvl w:val="1"/>
        <w:rPr>
          <w:rFonts w:asciiTheme="minorEastAsia" w:hAnsiTheme="minorEastAsia" w:cs="Times New Roman"/>
          <w:b/>
          <w:bCs/>
          <w:szCs w:val="21"/>
          <w:lang w:val="zh-CN"/>
        </w:rPr>
      </w:pPr>
      <w:r>
        <w:rPr>
          <w:rFonts w:asciiTheme="minorEastAsia" w:hAnsiTheme="minorEastAsia" w:cs="Times New Roman" w:hint="eastAsia"/>
          <w:b/>
          <w:bCs/>
          <w:szCs w:val="21"/>
          <w:lang w:val="zh-CN"/>
        </w:rPr>
        <w:t>一、适用基金</w:t>
      </w:r>
    </w:p>
    <w:tbl>
      <w:tblPr>
        <w:tblW w:w="8060" w:type="dxa"/>
        <w:tblLook w:val="04A0"/>
      </w:tblPr>
      <w:tblGrid>
        <w:gridCol w:w="6460"/>
        <w:gridCol w:w="1600"/>
      </w:tblGrid>
      <w:tr w:rsidR="006368C5" w:rsidRPr="006368C5" w:rsidTr="006368C5">
        <w:trPr>
          <w:trHeight w:val="63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b/>
                <w:bCs/>
                <w:color w:val="000000"/>
                <w:kern w:val="0"/>
                <w:szCs w:val="21"/>
              </w:rPr>
            </w:pPr>
            <w:r w:rsidRPr="006368C5">
              <w:rPr>
                <w:rFonts w:ascii="宋体" w:eastAsia="宋体" w:hAnsi="宋体" w:cs="宋体" w:hint="eastAsia"/>
                <w:b/>
                <w:bCs/>
                <w:color w:val="000000"/>
                <w:kern w:val="0"/>
                <w:szCs w:val="21"/>
              </w:rPr>
              <w:t>基金名称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b/>
                <w:bCs/>
                <w:color w:val="000000"/>
                <w:kern w:val="0"/>
                <w:szCs w:val="21"/>
              </w:rPr>
            </w:pPr>
            <w:r w:rsidRPr="006368C5">
              <w:rPr>
                <w:rFonts w:ascii="宋体" w:eastAsia="宋体" w:hAnsi="宋体" w:cs="宋体" w:hint="eastAsia"/>
                <w:b/>
                <w:bCs/>
                <w:color w:val="000000"/>
                <w:kern w:val="0"/>
                <w:szCs w:val="21"/>
              </w:rPr>
              <w:t>基金代码</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中邮核心竞争力灵活配置混合型证券投资基金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000545</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中邮多策略灵活配置混合型证券投资基金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000706</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中邮核心科技创新灵活配置混合型证券投资基金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000966</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中邮新思路灵活配置混合型证券投资基金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001224</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中邮趋势精选灵活配置混合型证券投资基金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A类：001225</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C类：020132</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中邮稳健添利灵活配置混合型证券投资基金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001226</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中邮信息产业灵活配置混合型证券投资基金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001227</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中邮创新优势灵活配置混合型证券投资基金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001275</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中邮乐享收益灵活配置混合型证券投资基金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A类：001430</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C类：019519</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中邮风格轮动灵活配置混合型证券投资基金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001479</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中邮低碳经济灵活配置混合型证券投资基金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001983</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中邮纯债聚利债券型证券投资基金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A类：002274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C类：002275</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中邮纯债恒利债券型证券投资基金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A类：002276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C类：002277</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中邮睿信增强债券型证券投资基金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002474</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lastRenderedPageBreak/>
              <w:t>中邮未来新蓝筹灵活配置混合型证券投资基金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002620</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中邮医药健康灵活配置混合型证券投资基金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A类：003284</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C类：019478</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中邮消费升级灵活配置混合型发起式证券投资基金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003513</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中邮景泰灵活配置混合型证券投资基金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A类：003842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C类：003843</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中邮军民融合灵活配置混合型证券投资基金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A类：004139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C类：022243</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中邮健康文娱灵活配置混合型证券投资基金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A类：004890</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C类：022252</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中邮中债-1-3年久期央企20债券指数证券投资基金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A类：007208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C类：007209</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中邮研究精选混合型证券投资基金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007777</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中邮科技创新精选混合型证券投资基金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A类：008980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C类：008981</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中邮价值精选混合型证券投资基金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A类：009488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C类：009489</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中邮未来成长混合型证券投资基金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A类：010447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C类：010448</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中邮兴荣价值一年持有期混合型证券投资基金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011001</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中邮悦享6个月持有期混合型证券投资基金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A类：011872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C类：011873</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中邮中债1-5年政策性金融债指数证券投资基金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A类：011979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C类：011993</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中邮鑫享30天滚动持有短债债券型证券投资基金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A类：013227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C类：013228</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中邮鑫溢中短债债券型证券投资基金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A类：013573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C类：013574</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中邮能源革新混合型发起式证券投资基金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A类：015004</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C类：015005</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中邮睿泽一年持有期债券型证券投资基金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A类：015266</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C类：015267</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中邮专精特新一年持有期混合型证券投资基金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A类：015505</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C类：015506</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中邮核心优选混合型证券投资基金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590001</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lastRenderedPageBreak/>
              <w:t>中邮核心成长混合型证券投资基金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590002</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中邮核心优势灵活配置混合型证券投资基金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A类：590003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C类：021218</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中邮核心主题混合型证券投资基金</w:t>
            </w: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590005</w:t>
            </w:r>
          </w:p>
        </w:tc>
      </w:tr>
      <w:tr w:rsidR="006368C5" w:rsidRPr="006368C5" w:rsidTr="006368C5">
        <w:trPr>
          <w:trHeight w:val="6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中邮中小盘灵活配置混合型证券投资基金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590006</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中邮中证500指数增强型证券投资基金</w:t>
            </w:r>
          </w:p>
        </w:tc>
        <w:tc>
          <w:tcPr>
            <w:tcW w:w="1600" w:type="dxa"/>
            <w:tcBorders>
              <w:top w:val="single" w:sz="4" w:space="0" w:color="auto"/>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A类：590007 </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C类：008124</w:t>
            </w:r>
          </w:p>
        </w:tc>
      </w:tr>
      <w:tr w:rsidR="006368C5" w:rsidRPr="006368C5" w:rsidTr="006368C5">
        <w:trPr>
          <w:trHeight w:val="330"/>
        </w:trPr>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中邮战略新兴产业混合型证券投资基金</w:t>
            </w:r>
          </w:p>
        </w:tc>
        <w:tc>
          <w:tcPr>
            <w:tcW w:w="1600" w:type="dxa"/>
            <w:tcBorders>
              <w:top w:val="nil"/>
              <w:left w:val="nil"/>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A类：590008</w:t>
            </w:r>
          </w:p>
        </w:tc>
      </w:tr>
      <w:tr w:rsidR="006368C5" w:rsidRPr="006368C5" w:rsidTr="006368C5">
        <w:trPr>
          <w:trHeight w:val="330"/>
        </w:trPr>
        <w:tc>
          <w:tcPr>
            <w:tcW w:w="6460" w:type="dxa"/>
            <w:vMerge/>
            <w:tcBorders>
              <w:top w:val="nil"/>
              <w:left w:val="single" w:sz="4" w:space="0" w:color="auto"/>
              <w:bottom w:val="single" w:sz="4" w:space="0" w:color="000000"/>
              <w:right w:val="single" w:sz="4" w:space="0" w:color="auto"/>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nil"/>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C类：022222</w:t>
            </w:r>
          </w:p>
        </w:tc>
      </w:tr>
      <w:tr w:rsidR="006368C5" w:rsidRPr="006368C5" w:rsidTr="006368C5">
        <w:trPr>
          <w:trHeight w:val="330"/>
        </w:trPr>
        <w:tc>
          <w:tcPr>
            <w:tcW w:w="6460" w:type="dxa"/>
            <w:vMerge w:val="restart"/>
            <w:tcBorders>
              <w:top w:val="nil"/>
              <w:left w:val="single" w:sz="4" w:space="0" w:color="auto"/>
              <w:bottom w:val="single" w:sz="4" w:space="0" w:color="auto"/>
              <w:right w:val="nil"/>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中邮稳定收益债券型证券投资基金</w:t>
            </w:r>
          </w:p>
        </w:tc>
        <w:tc>
          <w:tcPr>
            <w:tcW w:w="1600" w:type="dxa"/>
            <w:tcBorders>
              <w:top w:val="nil"/>
              <w:left w:val="single" w:sz="4" w:space="0" w:color="auto"/>
              <w:bottom w:val="nil"/>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 xml:space="preserve">A类：590009 </w:t>
            </w:r>
          </w:p>
        </w:tc>
      </w:tr>
      <w:tr w:rsidR="006368C5" w:rsidRPr="006368C5" w:rsidTr="006368C5">
        <w:trPr>
          <w:trHeight w:val="330"/>
        </w:trPr>
        <w:tc>
          <w:tcPr>
            <w:tcW w:w="6460" w:type="dxa"/>
            <w:vMerge/>
            <w:tcBorders>
              <w:top w:val="nil"/>
              <w:left w:val="single" w:sz="4" w:space="0" w:color="auto"/>
              <w:bottom w:val="single" w:sz="4" w:space="0" w:color="auto"/>
              <w:right w:val="nil"/>
            </w:tcBorders>
            <w:vAlign w:val="center"/>
            <w:hideMark/>
          </w:tcPr>
          <w:p w:rsidR="006368C5" w:rsidRPr="006368C5" w:rsidRDefault="006368C5" w:rsidP="006368C5">
            <w:pPr>
              <w:widowControl/>
              <w:jc w:val="left"/>
              <w:rPr>
                <w:rFonts w:ascii="宋体" w:eastAsia="宋体" w:hAnsi="宋体" w:cs="宋体"/>
                <w:color w:val="000000"/>
                <w:kern w:val="0"/>
                <w:szCs w:val="21"/>
              </w:rPr>
            </w:pP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6368C5" w:rsidRPr="006368C5" w:rsidRDefault="006368C5" w:rsidP="006368C5">
            <w:pPr>
              <w:widowControl/>
              <w:jc w:val="center"/>
              <w:rPr>
                <w:rFonts w:ascii="宋体" w:eastAsia="宋体" w:hAnsi="宋体" w:cs="宋体"/>
                <w:color w:val="000000"/>
                <w:kern w:val="0"/>
                <w:szCs w:val="21"/>
              </w:rPr>
            </w:pPr>
            <w:r w:rsidRPr="006368C5">
              <w:rPr>
                <w:rFonts w:ascii="宋体" w:eastAsia="宋体" w:hAnsi="宋体" w:cs="宋体" w:hint="eastAsia"/>
                <w:color w:val="000000"/>
                <w:kern w:val="0"/>
                <w:szCs w:val="21"/>
              </w:rPr>
              <w:t>C类：590010</w:t>
            </w:r>
          </w:p>
        </w:tc>
      </w:tr>
    </w:tbl>
    <w:p w:rsidR="006368C5" w:rsidRDefault="006368C5" w:rsidP="006368C5">
      <w:pPr>
        <w:spacing w:line="360" w:lineRule="auto"/>
        <w:ind w:firstLineChars="200" w:firstLine="420"/>
      </w:pPr>
      <w:r w:rsidRPr="006368C5">
        <w:rPr>
          <w:rFonts w:hint="eastAsia"/>
        </w:rPr>
        <w:t>基金份额持有人可以通过招商银行办理上述基金的转换业务，具体办理时间与基金申购、赎回业务办理时间相同（本公司公告暂停基金转换时除外）。</w:t>
      </w:r>
    </w:p>
    <w:p w:rsidR="006368C5" w:rsidRDefault="006368C5" w:rsidP="006368C5">
      <w:pPr>
        <w:spacing w:line="360" w:lineRule="auto"/>
        <w:ind w:firstLineChars="200" w:firstLine="420"/>
      </w:pPr>
      <w:r w:rsidRPr="006368C5">
        <w:rPr>
          <w:rFonts w:hint="eastAsia"/>
        </w:rPr>
        <w:t>投资者通过招商银行办理上述基金转换业务时，本公司将不对招商银行转换补差费率设折扣限制，费率为固定费用的，则按原费率执行，具体转换补差费折扣以招商银行活动公告为准。上述基金的原申购费率参见各基金的相关法律文件及本公司发布的最新相关公告。</w:t>
      </w:r>
    </w:p>
    <w:p w:rsidR="006368C5" w:rsidRPr="002246FE" w:rsidRDefault="006368C5" w:rsidP="006368C5">
      <w:pPr>
        <w:spacing w:line="360" w:lineRule="auto"/>
        <w:ind w:firstLineChars="200" w:firstLine="420"/>
      </w:pPr>
    </w:p>
    <w:p w:rsidR="006368C5" w:rsidRPr="002246FE" w:rsidRDefault="006368C5" w:rsidP="006368C5">
      <w:pPr>
        <w:spacing w:line="360" w:lineRule="auto"/>
        <w:rPr>
          <w:rFonts w:ascii="宋体" w:eastAsia="宋体" w:hAnsi="宋体"/>
          <w:b/>
        </w:rPr>
      </w:pPr>
      <w:r w:rsidRPr="002246FE">
        <w:rPr>
          <w:rFonts w:ascii="宋体" w:eastAsia="宋体" w:hAnsi="宋体" w:hint="eastAsia"/>
          <w:b/>
        </w:rPr>
        <w:t>二、业务规则</w:t>
      </w:r>
    </w:p>
    <w:p w:rsidR="006368C5" w:rsidRPr="002246FE" w:rsidRDefault="006368C5" w:rsidP="006368C5">
      <w:pPr>
        <w:spacing w:line="360" w:lineRule="auto"/>
        <w:ind w:firstLineChars="200" w:firstLine="420"/>
        <w:rPr>
          <w:rFonts w:ascii="宋体" w:eastAsia="宋体" w:hAnsi="宋体"/>
        </w:rPr>
      </w:pPr>
      <w:r w:rsidRPr="002246FE">
        <w:rPr>
          <w:rFonts w:ascii="宋体" w:eastAsia="宋体" w:hAnsi="宋体" w:hint="eastAsia"/>
        </w:rPr>
        <w:t>1、基金转换业务是指基金份额持有人申请将其持有本公司管理的某一基金的全部或部分基金份额转换为本公司管理的其他基金的基金份额的行为。</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2、基金转换只能在同一销售机构办理，且转换的两只基金必须都是由该销售机构销售的同一基金管理人管理的、在同一注册登记机构处注册的基金。同一基金产品的各类份额之间不能相互转换。如欲在其他开通基金转换业务的销售机构办理，须先进行基金份额转托管。</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szCs w:val="21"/>
        </w:rPr>
        <w:t>3</w:t>
      </w:r>
      <w:r w:rsidRPr="002246FE">
        <w:rPr>
          <w:rFonts w:asciiTheme="minorEastAsia" w:hAnsiTheme="minorEastAsia" w:cs="Times New Roman" w:hint="eastAsia"/>
          <w:szCs w:val="21"/>
        </w:rPr>
        <w:t>、注册登记机构以收到有效转换申请的当天作为转换申请日(T日)，并在T+1日对投资者T日的基金转换业务申请进行有效性确认。投资者转换基金成功的，注册登记机构在T＋1日为投资者办理权益转换的注册登记手续，投资者通常自T＋2日(含该日)后有权转换或赎回该部分基金份额。经转换后的基金份额持有时间从转换确认日开始重新计算。</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szCs w:val="21"/>
        </w:rPr>
        <w:t>4</w:t>
      </w:r>
      <w:r w:rsidRPr="002246FE">
        <w:rPr>
          <w:rFonts w:asciiTheme="minorEastAsia" w:hAnsiTheme="minorEastAsia" w:cs="Times New Roman" w:hint="eastAsia"/>
          <w:szCs w:val="21"/>
        </w:rPr>
        <w:t>、基金转换以份额为单位进行申请，在转换申请当日规定的交易时间内，投资人可撤销基金转换申请。投资者办理基金转换业务时，转出方的基金和转入方的基金必须处于可申购、可赎回的状态。</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5、基金转换采取“未知价法”，即基金的转换价格以申请受理当日各转出、转入基金的基金份额净值为基准进行计算。</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6、基金转换以份额为单位进行申请，遵循“先进先出”的业务规则，即份额注册日期在前的先转出，份额注册日期在后的后转出。基金转换申请转出的基金份额必须是可用的份额。</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7、发生巨额赎回时，基金管理人可根据基金资产组合情况，决定全额转出或部分转出。</w:t>
      </w:r>
    </w:p>
    <w:p w:rsidR="006368C5" w:rsidRPr="002246FE" w:rsidRDefault="006368C5" w:rsidP="00532323">
      <w:pPr>
        <w:keepNext/>
        <w:keepLines/>
        <w:spacing w:beforeLines="50" w:afterLines="50" w:line="360" w:lineRule="auto"/>
        <w:outlineLvl w:val="1"/>
        <w:rPr>
          <w:rFonts w:asciiTheme="minorEastAsia" w:hAnsiTheme="minorEastAsia" w:cs="Times New Roman"/>
          <w:b/>
          <w:bCs/>
          <w:szCs w:val="21"/>
          <w:lang w:val="zh-CN"/>
        </w:rPr>
      </w:pPr>
      <w:r w:rsidRPr="002246FE">
        <w:rPr>
          <w:rFonts w:asciiTheme="minorEastAsia" w:hAnsiTheme="minorEastAsia" w:cs="Times New Roman" w:hint="eastAsia"/>
          <w:b/>
          <w:bCs/>
          <w:szCs w:val="21"/>
          <w:lang w:val="zh-CN"/>
        </w:rPr>
        <w:t>三、基金转换的计算方式</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szCs w:val="21"/>
        </w:rPr>
        <w:t>1、基金转换费用</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（1）</w:t>
      </w:r>
      <w:r w:rsidRPr="002246FE">
        <w:rPr>
          <w:rFonts w:asciiTheme="minorEastAsia" w:hAnsiTheme="minorEastAsia" w:cs="Times New Roman"/>
          <w:szCs w:val="21"/>
        </w:rPr>
        <w:t>基金转换费用由转出基金赎回费用及基金申购补差费用构成；</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（2）</w:t>
      </w:r>
      <w:r w:rsidRPr="002246FE">
        <w:rPr>
          <w:rFonts w:asciiTheme="minorEastAsia" w:hAnsiTheme="minorEastAsia" w:cs="Times New Roman"/>
          <w:szCs w:val="21"/>
        </w:rPr>
        <w:t>转出基金时,如涉及的转出基金有赎回费用,收取该基金的赎回费用。收取的赎回费归入基金财产的比例不得低于法律法规、中国证监会规定的比例下限以及该基金《基金合同》、《招募说明书（更新）》的相关约定；</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szCs w:val="21"/>
        </w:rPr>
      </w:pPr>
      <w:r w:rsidRPr="002246FE">
        <w:rPr>
          <w:rFonts w:asciiTheme="minorEastAsia" w:hAnsiTheme="minorEastAsia" w:cs="Times New Roman" w:hint="eastAsia"/>
          <w:szCs w:val="21"/>
        </w:rPr>
        <w:t>（3）</w:t>
      </w:r>
      <w:r w:rsidRPr="002246FE">
        <w:rPr>
          <w:rFonts w:asciiTheme="minorEastAsia" w:hAnsiTheme="minorEastAsia" w:cs="Times New Roman"/>
          <w:szCs w:val="21"/>
        </w:rPr>
        <w:t>转入基金时,从申购费用低的基金向申购费用高的基金转换时,每次收取申购补差费用；从申购费用高的基金向申购费用低的基金转换时,不收取申购补差费用。</w:t>
      </w:r>
      <w:r w:rsidRPr="002246FE">
        <w:rPr>
          <w:rFonts w:asciiTheme="minorEastAsia" w:hAnsiTheme="minorEastAsia"/>
          <w:szCs w:val="21"/>
        </w:rPr>
        <w:t>申购补差费用按照转</w:t>
      </w:r>
      <w:r w:rsidRPr="002246FE">
        <w:rPr>
          <w:rFonts w:asciiTheme="minorEastAsia" w:hAnsiTheme="minorEastAsia" w:hint="eastAsia"/>
          <w:szCs w:val="21"/>
        </w:rPr>
        <w:t>入</w:t>
      </w:r>
      <w:r w:rsidRPr="002246FE">
        <w:rPr>
          <w:rFonts w:asciiTheme="minorEastAsia" w:hAnsiTheme="minorEastAsia"/>
          <w:szCs w:val="21"/>
        </w:rPr>
        <w:t>金额对应的转出基金与转入基金的申购费用差额进行补差，具体收取情况视每次转换时两只基金的申购费率差异情况而定。</w:t>
      </w:r>
    </w:p>
    <w:p w:rsidR="006368C5" w:rsidRPr="002246FE" w:rsidRDefault="006368C5" w:rsidP="006368C5">
      <w:pPr>
        <w:spacing w:line="360" w:lineRule="auto"/>
        <w:rPr>
          <w:rFonts w:asciiTheme="minorEastAsia" w:hAnsiTheme="minorEastAsia"/>
          <w:szCs w:val="21"/>
        </w:rPr>
      </w:pPr>
      <w:r w:rsidRPr="002246FE">
        <w:rPr>
          <w:rFonts w:asciiTheme="minorEastAsia" w:hAnsiTheme="minorEastAsia" w:hint="eastAsia"/>
          <w:szCs w:val="21"/>
        </w:rPr>
        <w:t xml:space="preserve">　　</w:t>
      </w:r>
      <w:r w:rsidRPr="002246FE">
        <w:rPr>
          <w:rFonts w:asciiTheme="minorEastAsia" w:hAnsiTheme="minorEastAsia"/>
          <w:szCs w:val="21"/>
        </w:rPr>
        <w:t>2、基金转换的计算公式</w:t>
      </w:r>
    </w:p>
    <w:p w:rsidR="006368C5" w:rsidRPr="002246FE" w:rsidRDefault="006368C5" w:rsidP="006368C5">
      <w:pPr>
        <w:spacing w:line="360" w:lineRule="auto"/>
        <w:rPr>
          <w:rFonts w:asciiTheme="minorEastAsia" w:hAnsiTheme="minorEastAsia"/>
          <w:szCs w:val="21"/>
        </w:rPr>
      </w:pPr>
      <w:r w:rsidRPr="002246FE">
        <w:rPr>
          <w:rFonts w:asciiTheme="minorEastAsia" w:hAnsiTheme="minorEastAsia" w:hint="eastAsia"/>
          <w:szCs w:val="21"/>
        </w:rPr>
        <w:t xml:space="preserve">　　</w:t>
      </w:r>
      <w:r w:rsidRPr="002246FE">
        <w:rPr>
          <w:rFonts w:asciiTheme="minorEastAsia" w:hAnsiTheme="minorEastAsia"/>
          <w:szCs w:val="21"/>
        </w:rPr>
        <w:t>基金转换采取未知价法，以申请当日基金份额净值为基础计算。计算公式如下：</w:t>
      </w:r>
    </w:p>
    <w:p w:rsidR="006368C5" w:rsidRPr="002246FE" w:rsidRDefault="006368C5" w:rsidP="006368C5">
      <w:pPr>
        <w:spacing w:line="360" w:lineRule="auto"/>
        <w:rPr>
          <w:rFonts w:asciiTheme="minorEastAsia" w:hAnsiTheme="minorEastAsia"/>
          <w:szCs w:val="21"/>
        </w:rPr>
      </w:pPr>
      <w:r w:rsidRPr="002246FE">
        <w:rPr>
          <w:rFonts w:asciiTheme="minorEastAsia" w:hAnsiTheme="minorEastAsia" w:hint="eastAsia"/>
          <w:szCs w:val="21"/>
        </w:rPr>
        <w:t xml:space="preserve">　　</w:t>
      </w:r>
      <w:r w:rsidRPr="002246FE">
        <w:rPr>
          <w:rFonts w:asciiTheme="minorEastAsia" w:hAnsiTheme="minorEastAsia"/>
          <w:szCs w:val="21"/>
        </w:rPr>
        <w:t>转出金额</w:t>
      </w:r>
      <w:r w:rsidRPr="002246FE">
        <w:rPr>
          <w:rFonts w:asciiTheme="minorEastAsia" w:hAnsiTheme="minorEastAsia" w:hint="eastAsia"/>
          <w:szCs w:val="21"/>
        </w:rPr>
        <w:t xml:space="preserve"> </w:t>
      </w:r>
      <w:r w:rsidRPr="002246FE">
        <w:rPr>
          <w:rFonts w:asciiTheme="minorEastAsia" w:hAnsiTheme="minorEastAsia"/>
          <w:szCs w:val="21"/>
        </w:rPr>
        <w:t>= 转出份额×转出基金当日基金份额净值</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szCs w:val="21"/>
        </w:rPr>
        <w:t>转出基金赎回费用</w:t>
      </w:r>
      <w:r w:rsidRPr="002246FE">
        <w:rPr>
          <w:rFonts w:asciiTheme="minorEastAsia" w:hAnsiTheme="minorEastAsia" w:hint="eastAsia"/>
          <w:szCs w:val="21"/>
        </w:rPr>
        <w:t xml:space="preserve"> </w:t>
      </w:r>
      <w:r w:rsidRPr="002246FE">
        <w:rPr>
          <w:rFonts w:asciiTheme="minorEastAsia" w:hAnsiTheme="minorEastAsia"/>
          <w:szCs w:val="21"/>
        </w:rPr>
        <w:t>= 转出金额×转出基金赎回费率</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hint="eastAsia"/>
          <w:szCs w:val="21"/>
        </w:rPr>
        <w:t>转入金额 =</w:t>
      </w:r>
      <w:r w:rsidRPr="002246FE">
        <w:rPr>
          <w:rFonts w:asciiTheme="minorEastAsia" w:hAnsiTheme="minorEastAsia"/>
          <w:szCs w:val="21"/>
        </w:rPr>
        <w:t xml:space="preserve"> 转出金额</w:t>
      </w:r>
      <w:r w:rsidRPr="002246FE">
        <w:rPr>
          <w:rFonts w:asciiTheme="minorEastAsia" w:hAnsiTheme="minorEastAsia" w:hint="eastAsia"/>
          <w:szCs w:val="21"/>
        </w:rPr>
        <w:t xml:space="preserve"> </w:t>
      </w:r>
      <w:r w:rsidRPr="002246FE">
        <w:rPr>
          <w:rFonts w:asciiTheme="minorEastAsia" w:hAnsiTheme="minorEastAsia"/>
          <w:szCs w:val="21"/>
        </w:rPr>
        <w:t>- 转出基金赎回费用</w:t>
      </w:r>
    </w:p>
    <w:p w:rsidR="006368C5" w:rsidRPr="002246FE" w:rsidRDefault="006368C5" w:rsidP="006368C5">
      <w:pPr>
        <w:spacing w:line="360" w:lineRule="auto"/>
        <w:ind w:firstLine="420"/>
        <w:rPr>
          <w:rFonts w:asciiTheme="minorEastAsia" w:hAnsiTheme="minorEastAsia"/>
          <w:szCs w:val="21"/>
        </w:rPr>
      </w:pPr>
      <w:bookmarkStart w:id="0" w:name="_Hlk130806645"/>
      <w:r w:rsidRPr="002246FE">
        <w:rPr>
          <w:rFonts w:asciiTheme="minorEastAsia" w:hAnsiTheme="minorEastAsia" w:hint="eastAsia"/>
          <w:szCs w:val="21"/>
        </w:rPr>
        <w:t>申购补差费用的计算，分以下四种情况：</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hint="eastAsia"/>
          <w:szCs w:val="21"/>
        </w:rPr>
        <w:t>（1）从前端收费（比例费率）基金转出，转入其他前端收费（比例费率）基金时：</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szCs w:val="21"/>
        </w:rPr>
        <w:t>申购补差费用</w:t>
      </w:r>
      <w:r w:rsidRPr="002246FE">
        <w:rPr>
          <w:rFonts w:asciiTheme="minorEastAsia" w:hAnsiTheme="minorEastAsia" w:hint="eastAsia"/>
          <w:szCs w:val="21"/>
        </w:rPr>
        <w:t xml:space="preserve"> </w:t>
      </w:r>
      <w:r w:rsidRPr="002246FE">
        <w:rPr>
          <w:rFonts w:asciiTheme="minorEastAsia" w:hAnsiTheme="minorEastAsia"/>
          <w:szCs w:val="21"/>
        </w:rPr>
        <w:t xml:space="preserve">= </w:t>
      </w:r>
      <w:r w:rsidRPr="002246FE">
        <w:rPr>
          <w:rFonts w:asciiTheme="minorEastAsia" w:hAnsiTheme="minorEastAsia" w:hint="eastAsia"/>
          <w:szCs w:val="21"/>
        </w:rPr>
        <w:t>转入金额</w:t>
      </w:r>
      <w:r w:rsidRPr="002246FE">
        <w:rPr>
          <w:rFonts w:asciiTheme="minorEastAsia" w:hAnsiTheme="minorEastAsia"/>
          <w:szCs w:val="21"/>
        </w:rPr>
        <w:t xml:space="preserve">×转入基金申购费率/（1+转入基金申购费率）- </w:t>
      </w:r>
      <w:r w:rsidRPr="002246FE">
        <w:rPr>
          <w:rFonts w:asciiTheme="minorEastAsia" w:hAnsiTheme="minorEastAsia" w:hint="eastAsia"/>
          <w:szCs w:val="21"/>
        </w:rPr>
        <w:t>转入金额</w:t>
      </w:r>
      <w:r w:rsidRPr="002246FE">
        <w:rPr>
          <w:rFonts w:asciiTheme="minorEastAsia" w:hAnsiTheme="minorEastAsia"/>
          <w:szCs w:val="21"/>
        </w:rPr>
        <w:t>×转出基金申购费率/（1+转出基金申购费率）</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hint="eastAsia"/>
          <w:szCs w:val="21"/>
        </w:rPr>
        <w:t>（2）从前端收费（固定费用）基金转出，转入其他前端收费（比例费率）基金时：</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szCs w:val="21"/>
        </w:rPr>
        <w:t>申购补差费用</w:t>
      </w:r>
      <w:r w:rsidRPr="002246FE">
        <w:rPr>
          <w:rFonts w:asciiTheme="minorEastAsia" w:hAnsiTheme="minorEastAsia" w:hint="eastAsia"/>
          <w:szCs w:val="21"/>
        </w:rPr>
        <w:t xml:space="preserve"> </w:t>
      </w:r>
      <w:r w:rsidRPr="002246FE">
        <w:rPr>
          <w:rFonts w:asciiTheme="minorEastAsia" w:hAnsiTheme="minorEastAsia"/>
          <w:szCs w:val="21"/>
        </w:rPr>
        <w:t xml:space="preserve">= </w:t>
      </w:r>
      <w:r w:rsidRPr="002246FE">
        <w:rPr>
          <w:rFonts w:asciiTheme="minorEastAsia" w:hAnsiTheme="minorEastAsia" w:hint="eastAsia"/>
          <w:szCs w:val="21"/>
        </w:rPr>
        <w:t>转入金额</w:t>
      </w:r>
      <w:r w:rsidRPr="002246FE">
        <w:rPr>
          <w:rFonts w:asciiTheme="minorEastAsia" w:hAnsiTheme="minorEastAsia"/>
          <w:szCs w:val="21"/>
        </w:rPr>
        <w:t xml:space="preserve">×转入基金申购费率/（1+转入基金申购费率）- </w:t>
      </w:r>
      <w:r w:rsidRPr="002246FE">
        <w:rPr>
          <w:rFonts w:asciiTheme="minorEastAsia" w:hAnsiTheme="minorEastAsia" w:hint="eastAsia"/>
          <w:szCs w:val="21"/>
        </w:rPr>
        <w:t>固定费用</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hint="eastAsia"/>
          <w:szCs w:val="21"/>
        </w:rPr>
        <w:t>（3）从前端收费（比例费率）基金转出，转入其他前端收费（固定费用）基金时：</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szCs w:val="21"/>
        </w:rPr>
        <w:t>申购补差费用</w:t>
      </w:r>
      <w:r w:rsidRPr="002246FE">
        <w:rPr>
          <w:rFonts w:asciiTheme="minorEastAsia" w:hAnsiTheme="minorEastAsia" w:hint="eastAsia"/>
          <w:szCs w:val="21"/>
        </w:rPr>
        <w:t xml:space="preserve"> </w:t>
      </w:r>
      <w:r w:rsidRPr="002246FE">
        <w:rPr>
          <w:rFonts w:asciiTheme="minorEastAsia" w:hAnsiTheme="minorEastAsia"/>
          <w:szCs w:val="21"/>
        </w:rPr>
        <w:t xml:space="preserve">= </w:t>
      </w:r>
      <w:r w:rsidRPr="002246FE">
        <w:rPr>
          <w:rFonts w:asciiTheme="minorEastAsia" w:hAnsiTheme="minorEastAsia" w:hint="eastAsia"/>
          <w:szCs w:val="21"/>
        </w:rPr>
        <w:t>固定费用 -</w:t>
      </w:r>
      <w:r w:rsidRPr="002246FE">
        <w:rPr>
          <w:rFonts w:asciiTheme="minorEastAsia" w:hAnsiTheme="minorEastAsia"/>
          <w:szCs w:val="21"/>
        </w:rPr>
        <w:t xml:space="preserve"> </w:t>
      </w:r>
      <w:r w:rsidRPr="002246FE">
        <w:rPr>
          <w:rFonts w:asciiTheme="minorEastAsia" w:hAnsiTheme="minorEastAsia" w:hint="eastAsia"/>
          <w:szCs w:val="21"/>
        </w:rPr>
        <w:t>转入金额</w:t>
      </w:r>
      <w:r w:rsidRPr="002246FE">
        <w:rPr>
          <w:rFonts w:asciiTheme="minorEastAsia" w:hAnsiTheme="minorEastAsia"/>
          <w:szCs w:val="21"/>
        </w:rPr>
        <w:t>×转</w:t>
      </w:r>
      <w:r w:rsidRPr="002246FE">
        <w:rPr>
          <w:rFonts w:asciiTheme="minorEastAsia" w:hAnsiTheme="minorEastAsia" w:hint="eastAsia"/>
          <w:szCs w:val="21"/>
        </w:rPr>
        <w:t>出</w:t>
      </w:r>
      <w:r w:rsidRPr="002246FE">
        <w:rPr>
          <w:rFonts w:asciiTheme="minorEastAsia" w:hAnsiTheme="minorEastAsia"/>
          <w:szCs w:val="21"/>
        </w:rPr>
        <w:t>基金申购费率/（1+转</w:t>
      </w:r>
      <w:r w:rsidRPr="002246FE">
        <w:rPr>
          <w:rFonts w:asciiTheme="minorEastAsia" w:hAnsiTheme="minorEastAsia" w:hint="eastAsia"/>
          <w:szCs w:val="21"/>
        </w:rPr>
        <w:t>出</w:t>
      </w:r>
      <w:r w:rsidRPr="002246FE">
        <w:rPr>
          <w:rFonts w:asciiTheme="minorEastAsia" w:hAnsiTheme="minorEastAsia"/>
          <w:szCs w:val="21"/>
        </w:rPr>
        <w:t>基金申购费率）</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hint="eastAsia"/>
          <w:szCs w:val="21"/>
        </w:rPr>
        <w:t>（4）从前端收费（固定费用）基金转出，转入其他前端收费（固定费用）基金时：</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szCs w:val="21"/>
        </w:rPr>
        <w:t>申购补差费用</w:t>
      </w:r>
      <w:r w:rsidRPr="002246FE">
        <w:rPr>
          <w:rFonts w:asciiTheme="minorEastAsia" w:hAnsiTheme="minorEastAsia" w:hint="eastAsia"/>
          <w:szCs w:val="21"/>
        </w:rPr>
        <w:t xml:space="preserve"> =</w:t>
      </w:r>
      <w:r w:rsidRPr="002246FE">
        <w:rPr>
          <w:rFonts w:asciiTheme="minorEastAsia" w:hAnsiTheme="minorEastAsia"/>
          <w:szCs w:val="21"/>
        </w:rPr>
        <w:t xml:space="preserve"> </w:t>
      </w:r>
      <w:r w:rsidRPr="002246FE">
        <w:rPr>
          <w:rFonts w:asciiTheme="minorEastAsia" w:hAnsiTheme="minorEastAsia" w:hint="eastAsia"/>
          <w:szCs w:val="21"/>
        </w:rPr>
        <w:t>转入基金的固定费用－转出基金的固定费用</w:t>
      </w:r>
    </w:p>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hint="eastAsia"/>
          <w:szCs w:val="21"/>
        </w:rPr>
        <w:t xml:space="preserve">净转入金额 </w:t>
      </w:r>
      <w:r w:rsidRPr="002246FE">
        <w:rPr>
          <w:rFonts w:asciiTheme="minorEastAsia" w:hAnsiTheme="minorEastAsia"/>
          <w:szCs w:val="21"/>
        </w:rPr>
        <w:t>= 转入金额</w:t>
      </w:r>
      <w:r w:rsidRPr="002246FE">
        <w:rPr>
          <w:rFonts w:asciiTheme="minorEastAsia" w:hAnsiTheme="minorEastAsia" w:hint="eastAsia"/>
          <w:szCs w:val="21"/>
        </w:rPr>
        <w:t xml:space="preserve"> </w:t>
      </w:r>
      <w:r w:rsidRPr="002246FE">
        <w:rPr>
          <w:rFonts w:asciiTheme="minorEastAsia" w:hAnsiTheme="minorEastAsia"/>
          <w:szCs w:val="21"/>
        </w:rPr>
        <w:t xml:space="preserve">- </w:t>
      </w:r>
      <w:r w:rsidRPr="002246FE">
        <w:rPr>
          <w:rFonts w:asciiTheme="minorEastAsia" w:hAnsiTheme="minorEastAsia" w:hint="eastAsia"/>
          <w:szCs w:val="21"/>
        </w:rPr>
        <w:t>申购</w:t>
      </w:r>
      <w:r w:rsidRPr="002246FE">
        <w:rPr>
          <w:rFonts w:asciiTheme="minorEastAsia" w:hAnsiTheme="minorEastAsia"/>
          <w:szCs w:val="21"/>
        </w:rPr>
        <w:t>补差费用</w:t>
      </w:r>
    </w:p>
    <w:bookmarkEnd w:id="0"/>
    <w:p w:rsidR="006368C5" w:rsidRPr="002246FE" w:rsidRDefault="006368C5" w:rsidP="006368C5">
      <w:pPr>
        <w:spacing w:line="360" w:lineRule="auto"/>
        <w:ind w:firstLine="420"/>
        <w:rPr>
          <w:rFonts w:asciiTheme="minorEastAsia" w:hAnsiTheme="minorEastAsia"/>
          <w:szCs w:val="21"/>
        </w:rPr>
      </w:pPr>
      <w:r w:rsidRPr="002246FE">
        <w:rPr>
          <w:rFonts w:asciiTheme="minorEastAsia" w:hAnsiTheme="minorEastAsia"/>
          <w:szCs w:val="21"/>
        </w:rPr>
        <w:t>转入份额</w:t>
      </w:r>
      <w:r w:rsidRPr="002246FE">
        <w:rPr>
          <w:rFonts w:asciiTheme="minorEastAsia" w:hAnsiTheme="minorEastAsia" w:hint="eastAsia"/>
          <w:szCs w:val="21"/>
        </w:rPr>
        <w:t xml:space="preserve"> </w:t>
      </w:r>
      <w:r w:rsidRPr="002246FE">
        <w:rPr>
          <w:rFonts w:asciiTheme="minorEastAsia" w:hAnsiTheme="minorEastAsia"/>
          <w:szCs w:val="21"/>
        </w:rPr>
        <w:t xml:space="preserve">= </w:t>
      </w:r>
      <w:r w:rsidRPr="002246FE">
        <w:rPr>
          <w:rFonts w:asciiTheme="minorEastAsia" w:hAnsiTheme="minorEastAsia" w:hint="eastAsia"/>
          <w:szCs w:val="21"/>
        </w:rPr>
        <w:t>净</w:t>
      </w:r>
      <w:r w:rsidRPr="002246FE">
        <w:rPr>
          <w:rFonts w:asciiTheme="minorEastAsia" w:hAnsiTheme="minorEastAsia"/>
          <w:szCs w:val="21"/>
        </w:rPr>
        <w:t>转入金额</w:t>
      </w:r>
      <w:r w:rsidRPr="002246FE">
        <w:rPr>
          <w:rFonts w:asciiTheme="minorEastAsia" w:hAnsiTheme="minorEastAsia" w:hint="eastAsia"/>
          <w:szCs w:val="21"/>
        </w:rPr>
        <w:t xml:space="preserve"> </w:t>
      </w:r>
      <w:r w:rsidRPr="002246FE">
        <w:rPr>
          <w:rFonts w:asciiTheme="minorEastAsia" w:hAnsiTheme="minorEastAsia"/>
          <w:szCs w:val="21"/>
        </w:rPr>
        <w:t>/ 转入基金当日基金份额净值</w:t>
      </w:r>
    </w:p>
    <w:p w:rsidR="006368C5" w:rsidRPr="002246FE" w:rsidRDefault="006368C5" w:rsidP="00532323">
      <w:pPr>
        <w:keepNext/>
        <w:keepLines/>
        <w:spacing w:beforeLines="50" w:afterLines="50" w:line="360" w:lineRule="auto"/>
        <w:ind w:left="420" w:hanging="420"/>
        <w:outlineLvl w:val="1"/>
        <w:rPr>
          <w:rFonts w:asciiTheme="minorEastAsia" w:hAnsiTheme="minorEastAsia" w:cs="Times New Roman"/>
          <w:b/>
          <w:bCs/>
          <w:szCs w:val="21"/>
          <w:lang w:val="zh-CN"/>
        </w:rPr>
      </w:pPr>
      <w:r w:rsidRPr="002246FE">
        <w:rPr>
          <w:rFonts w:asciiTheme="minorEastAsia" w:hAnsiTheme="minorEastAsia" w:cs="Times New Roman" w:hint="eastAsia"/>
          <w:b/>
          <w:bCs/>
          <w:szCs w:val="21"/>
          <w:lang w:val="zh-CN"/>
        </w:rPr>
        <w:t>四、暂停基金转换的情形及处理</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出现下列情况之一时，基金管理人可以暂停基金转换业务：</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1、不可抗力的原因导致基金无法正常运作。</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2、证券交易场所在交易时间非正常停市，导致基金管理人无法计算当日基金份额净值。</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3、因市场剧烈波动或其他原因而出现连续巨额赎回，基金管理人认为有必要暂停接受该基金份额转出申请。</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4、法律、法规或《基金合同》、《基金招募说明书》规定的其他情形。</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基金暂停转换或暂停后重新开放转换时，基金管理人应在中国证监会规定的信息披露媒介上公告。</w:t>
      </w:r>
    </w:p>
    <w:p w:rsidR="006368C5" w:rsidRPr="002246FE" w:rsidRDefault="006368C5" w:rsidP="00532323">
      <w:pPr>
        <w:keepNext/>
        <w:keepLines/>
        <w:spacing w:beforeLines="50" w:afterLines="50" w:line="360" w:lineRule="auto"/>
        <w:ind w:left="420" w:hanging="420"/>
        <w:outlineLvl w:val="1"/>
        <w:rPr>
          <w:rFonts w:asciiTheme="minorEastAsia" w:hAnsiTheme="minorEastAsia" w:cs="Times New Roman"/>
          <w:b/>
          <w:bCs/>
          <w:szCs w:val="21"/>
          <w:lang w:val="zh-CN"/>
        </w:rPr>
      </w:pPr>
      <w:r w:rsidRPr="002246FE">
        <w:rPr>
          <w:rFonts w:asciiTheme="minorEastAsia" w:hAnsiTheme="minorEastAsia" w:cs="Times New Roman" w:hint="eastAsia"/>
          <w:b/>
          <w:bCs/>
          <w:szCs w:val="21"/>
          <w:lang w:val="zh-CN"/>
        </w:rPr>
        <w:t>五、重要提示</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1、优惠活动的费率折扣由</w:t>
      </w:r>
      <w:r w:rsidR="00E001E4">
        <w:rPr>
          <w:rFonts w:asciiTheme="minorEastAsia" w:hAnsiTheme="minorEastAsia" w:cs="Times New Roman" w:hint="eastAsia"/>
          <w:szCs w:val="21"/>
        </w:rPr>
        <w:t>招商</w:t>
      </w:r>
      <w:r w:rsidRPr="002246FE">
        <w:rPr>
          <w:rFonts w:asciiTheme="minorEastAsia" w:hAnsiTheme="minorEastAsia" w:cs="Times New Roman" w:hint="eastAsia"/>
          <w:szCs w:val="21"/>
        </w:rPr>
        <w:t>银行决定和执行，本公司根据</w:t>
      </w:r>
      <w:r>
        <w:rPr>
          <w:rFonts w:asciiTheme="minorEastAsia" w:hAnsiTheme="minorEastAsia" w:cs="Times New Roman" w:hint="eastAsia"/>
          <w:szCs w:val="21"/>
        </w:rPr>
        <w:t>招商银行提供的费率折扣办理。有关优惠活动具体事宜，请咨询招商</w:t>
      </w:r>
      <w:r w:rsidRPr="002246FE">
        <w:rPr>
          <w:rFonts w:asciiTheme="minorEastAsia" w:hAnsiTheme="minorEastAsia" w:cs="Times New Roman" w:hint="eastAsia"/>
          <w:szCs w:val="21"/>
        </w:rPr>
        <w:t>银行。</w:t>
      </w:r>
      <w:bookmarkStart w:id="1" w:name="_GoBack"/>
      <w:bookmarkEnd w:id="1"/>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2、投资者欲了解基金的详细情况，请仔细阅读刊登于本公司旗下基金的《基金合同》、《招募说明书》等法律文件以及相关业务公告。</w:t>
      </w:r>
    </w:p>
    <w:p w:rsidR="006368C5" w:rsidRPr="002246FE" w:rsidRDefault="006368C5" w:rsidP="00532323">
      <w:pPr>
        <w:keepNext/>
        <w:keepLines/>
        <w:spacing w:beforeLines="50" w:afterLines="50" w:line="360" w:lineRule="auto"/>
        <w:outlineLvl w:val="1"/>
        <w:rPr>
          <w:rFonts w:asciiTheme="minorEastAsia" w:hAnsiTheme="minorEastAsia" w:cs="Times New Roman"/>
          <w:bCs/>
          <w:szCs w:val="21"/>
          <w:lang w:val="zh-CN"/>
        </w:rPr>
      </w:pPr>
      <w:r w:rsidRPr="002246FE">
        <w:rPr>
          <w:rFonts w:asciiTheme="minorEastAsia" w:hAnsiTheme="minorEastAsia" w:cs="Times New Roman" w:hint="eastAsia"/>
          <w:b/>
          <w:bCs/>
          <w:szCs w:val="21"/>
        </w:rPr>
        <w:t>六、</w:t>
      </w:r>
      <w:r w:rsidRPr="002246FE">
        <w:rPr>
          <w:rFonts w:asciiTheme="minorEastAsia" w:hAnsiTheme="minorEastAsia" w:cs="Times New Roman" w:hint="eastAsia"/>
          <w:b/>
          <w:bCs/>
          <w:szCs w:val="21"/>
          <w:lang w:val="zh-CN"/>
        </w:rPr>
        <w:t>可通过以下途径了解或咨询相关情况</w:t>
      </w:r>
    </w:p>
    <w:tbl>
      <w:tblPr>
        <w:tblW w:w="4999" w:type="pct"/>
        <w:tblLayout w:type="fixed"/>
        <w:tblLook w:val="04A0"/>
      </w:tblPr>
      <w:tblGrid>
        <w:gridCol w:w="3636"/>
        <w:gridCol w:w="2890"/>
        <w:gridCol w:w="1994"/>
      </w:tblGrid>
      <w:tr w:rsidR="006368C5" w:rsidRPr="002246FE" w:rsidTr="00785AF0">
        <w:trPr>
          <w:trHeight w:val="567"/>
        </w:trPr>
        <w:tc>
          <w:tcPr>
            <w:tcW w:w="2133" w:type="pct"/>
            <w:tcBorders>
              <w:top w:val="single" w:sz="4" w:space="0" w:color="auto"/>
              <w:left w:val="single" w:sz="4" w:space="0" w:color="auto"/>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hint="eastAsia"/>
                <w:szCs w:val="21"/>
              </w:rPr>
              <w:t>机构名称</w:t>
            </w:r>
          </w:p>
        </w:tc>
        <w:tc>
          <w:tcPr>
            <w:tcW w:w="1696" w:type="pct"/>
            <w:tcBorders>
              <w:top w:val="single" w:sz="4" w:space="0" w:color="auto"/>
              <w:left w:val="nil"/>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hint="eastAsia"/>
                <w:szCs w:val="21"/>
              </w:rPr>
              <w:t>网址</w:t>
            </w:r>
          </w:p>
        </w:tc>
        <w:tc>
          <w:tcPr>
            <w:tcW w:w="1170" w:type="pct"/>
            <w:tcBorders>
              <w:top w:val="single" w:sz="4" w:space="0" w:color="auto"/>
              <w:left w:val="nil"/>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hint="eastAsia"/>
                <w:szCs w:val="21"/>
              </w:rPr>
              <w:t>客服热线</w:t>
            </w:r>
          </w:p>
        </w:tc>
      </w:tr>
      <w:tr w:rsidR="006368C5" w:rsidRPr="002246FE" w:rsidTr="00785AF0">
        <w:trPr>
          <w:trHeight w:val="567"/>
        </w:trPr>
        <w:tc>
          <w:tcPr>
            <w:tcW w:w="2133" w:type="pct"/>
            <w:tcBorders>
              <w:top w:val="nil"/>
              <w:left w:val="single" w:sz="4" w:space="0" w:color="auto"/>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6368C5">
              <w:rPr>
                <w:rFonts w:asciiTheme="minorEastAsia" w:hAnsiTheme="minorEastAsia" w:cs="Times New Roman" w:hint="eastAsia"/>
                <w:szCs w:val="21"/>
              </w:rPr>
              <w:t>招商银行股份有限公司</w:t>
            </w:r>
          </w:p>
        </w:tc>
        <w:tc>
          <w:tcPr>
            <w:tcW w:w="1696" w:type="pct"/>
            <w:tcBorders>
              <w:top w:val="nil"/>
              <w:left w:val="nil"/>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6368C5">
              <w:rPr>
                <w:rFonts w:asciiTheme="minorEastAsia" w:hAnsiTheme="minorEastAsia" w:cs="Times New Roman"/>
                <w:szCs w:val="21"/>
              </w:rPr>
              <w:t>www.cmbchina.com</w:t>
            </w:r>
          </w:p>
        </w:tc>
        <w:tc>
          <w:tcPr>
            <w:tcW w:w="1170" w:type="pct"/>
            <w:tcBorders>
              <w:top w:val="nil"/>
              <w:left w:val="nil"/>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6368C5">
              <w:rPr>
                <w:rFonts w:asciiTheme="minorEastAsia" w:hAnsiTheme="minorEastAsia" w:cs="Times New Roman"/>
                <w:szCs w:val="21"/>
              </w:rPr>
              <w:t>95555</w:t>
            </w:r>
          </w:p>
        </w:tc>
      </w:tr>
      <w:tr w:rsidR="006368C5" w:rsidRPr="002246FE" w:rsidTr="00785AF0">
        <w:trPr>
          <w:trHeight w:val="567"/>
        </w:trPr>
        <w:tc>
          <w:tcPr>
            <w:tcW w:w="2133" w:type="pct"/>
            <w:tcBorders>
              <w:top w:val="nil"/>
              <w:left w:val="single" w:sz="4" w:space="0" w:color="auto"/>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hint="eastAsia"/>
                <w:szCs w:val="21"/>
              </w:rPr>
              <w:t>中邮创业基金管理股份有限公司</w:t>
            </w:r>
          </w:p>
        </w:tc>
        <w:tc>
          <w:tcPr>
            <w:tcW w:w="1696" w:type="pct"/>
            <w:tcBorders>
              <w:top w:val="nil"/>
              <w:left w:val="nil"/>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szCs w:val="21"/>
              </w:rPr>
              <w:t>www.postfund.com.cn</w:t>
            </w:r>
          </w:p>
        </w:tc>
        <w:tc>
          <w:tcPr>
            <w:tcW w:w="1170" w:type="pct"/>
            <w:tcBorders>
              <w:top w:val="nil"/>
              <w:left w:val="nil"/>
              <w:bottom w:val="single" w:sz="4" w:space="0" w:color="auto"/>
              <w:right w:val="single" w:sz="4" w:space="0" w:color="auto"/>
            </w:tcBorders>
            <w:vAlign w:val="center"/>
          </w:tcPr>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szCs w:val="21"/>
              </w:rPr>
              <w:t>400-880-1618</w:t>
            </w:r>
          </w:p>
          <w:p w:rsidR="006368C5" w:rsidRPr="002246FE" w:rsidRDefault="006368C5" w:rsidP="00785AF0">
            <w:pPr>
              <w:widowControl/>
              <w:shd w:val="clear" w:color="auto" w:fill="FFFFFF"/>
              <w:spacing w:line="360" w:lineRule="auto"/>
              <w:jc w:val="center"/>
              <w:rPr>
                <w:rFonts w:asciiTheme="minorEastAsia" w:hAnsiTheme="minorEastAsia" w:cs="Times New Roman"/>
                <w:szCs w:val="21"/>
              </w:rPr>
            </w:pPr>
            <w:r w:rsidRPr="002246FE">
              <w:rPr>
                <w:rFonts w:asciiTheme="minorEastAsia" w:hAnsiTheme="minorEastAsia" w:cs="Times New Roman"/>
                <w:szCs w:val="21"/>
              </w:rPr>
              <w:t>010-58511618</w:t>
            </w:r>
          </w:p>
        </w:tc>
      </w:tr>
    </w:tbl>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p>
    <w:p w:rsidR="006368C5" w:rsidRPr="002246FE" w:rsidRDefault="006368C5" w:rsidP="00532323">
      <w:pPr>
        <w:keepNext/>
        <w:keepLines/>
        <w:spacing w:beforeLines="50" w:afterLines="50" w:line="360" w:lineRule="auto"/>
        <w:ind w:left="420" w:hanging="420"/>
        <w:outlineLvl w:val="1"/>
        <w:rPr>
          <w:rFonts w:asciiTheme="minorEastAsia" w:hAnsiTheme="minorEastAsia" w:cs="Times New Roman"/>
          <w:b/>
          <w:bCs/>
          <w:szCs w:val="21"/>
          <w:lang w:val="zh-CN"/>
        </w:rPr>
      </w:pPr>
      <w:r w:rsidRPr="002246FE">
        <w:rPr>
          <w:rFonts w:asciiTheme="minorEastAsia" w:hAnsiTheme="minorEastAsia" w:cs="Times New Roman" w:hint="eastAsia"/>
          <w:b/>
          <w:bCs/>
          <w:szCs w:val="21"/>
        </w:rPr>
        <w:t>七、</w:t>
      </w:r>
      <w:r w:rsidRPr="002246FE">
        <w:rPr>
          <w:rFonts w:asciiTheme="minorEastAsia" w:hAnsiTheme="minorEastAsia" w:cs="Times New Roman" w:hint="eastAsia"/>
          <w:b/>
          <w:bCs/>
          <w:szCs w:val="21"/>
          <w:lang w:val="zh-CN"/>
        </w:rPr>
        <w:t>风险提示</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更新的招募说明书、更新的基金产品资料概要以及相关业务公告。敬请投资者关注适当性管理相关规定，提前做好风险测评，并根据自身的风险承受能力购买风险等级相匹配的产品。</w:t>
      </w:r>
    </w:p>
    <w:p w:rsidR="006368C5" w:rsidRPr="002246FE" w:rsidRDefault="006368C5" w:rsidP="006368C5">
      <w:pPr>
        <w:widowControl/>
        <w:shd w:val="clear" w:color="auto" w:fill="FFFFFF"/>
        <w:spacing w:line="360" w:lineRule="auto"/>
        <w:ind w:firstLineChars="200" w:firstLine="420"/>
        <w:jc w:val="left"/>
        <w:rPr>
          <w:rFonts w:asciiTheme="minorEastAsia" w:hAnsiTheme="minorEastAsia" w:cs="Times New Roman"/>
          <w:szCs w:val="21"/>
        </w:rPr>
      </w:pPr>
      <w:r w:rsidRPr="002246FE">
        <w:rPr>
          <w:rFonts w:asciiTheme="minorEastAsia" w:hAnsiTheme="minorEastAsia" w:cs="Times New Roman" w:hint="eastAsia"/>
          <w:szCs w:val="21"/>
        </w:rPr>
        <w:t>特此公告。</w:t>
      </w:r>
    </w:p>
    <w:p w:rsidR="006368C5" w:rsidRPr="002246FE" w:rsidRDefault="006368C5" w:rsidP="006368C5">
      <w:pPr>
        <w:widowControl/>
        <w:shd w:val="clear" w:color="auto" w:fill="FFFFFF"/>
        <w:spacing w:line="360" w:lineRule="auto"/>
        <w:jc w:val="left"/>
        <w:rPr>
          <w:rFonts w:asciiTheme="minorEastAsia" w:hAnsiTheme="minorEastAsia" w:cs="Times New Roman"/>
          <w:szCs w:val="21"/>
        </w:rPr>
      </w:pPr>
      <w:r w:rsidRPr="002246FE">
        <w:rPr>
          <w:rFonts w:asciiTheme="minorEastAsia" w:hAnsiTheme="minorEastAsia" w:cs="Times New Roman" w:hint="eastAsia"/>
          <w:szCs w:val="21"/>
        </w:rPr>
        <w:t>   </w:t>
      </w:r>
    </w:p>
    <w:p w:rsidR="006368C5" w:rsidRPr="002246FE" w:rsidRDefault="006368C5" w:rsidP="006368C5">
      <w:pPr>
        <w:widowControl/>
        <w:shd w:val="clear" w:color="auto" w:fill="FFFFFF"/>
        <w:spacing w:line="360" w:lineRule="auto"/>
        <w:jc w:val="right"/>
        <w:rPr>
          <w:rFonts w:asciiTheme="minorEastAsia" w:hAnsiTheme="minorEastAsia" w:cs="Times New Roman"/>
          <w:szCs w:val="21"/>
        </w:rPr>
      </w:pPr>
      <w:r w:rsidRPr="002246FE">
        <w:rPr>
          <w:rFonts w:asciiTheme="minorEastAsia" w:hAnsiTheme="minorEastAsia" w:cs="Times New Roman" w:hint="eastAsia"/>
          <w:szCs w:val="21"/>
        </w:rPr>
        <w:t>中邮创业基金管理股份有限公司</w:t>
      </w:r>
    </w:p>
    <w:p w:rsidR="006368C5" w:rsidRPr="002246FE" w:rsidRDefault="006368C5" w:rsidP="006368C5">
      <w:pPr>
        <w:widowControl/>
        <w:shd w:val="clear" w:color="auto" w:fill="FFFFFF"/>
        <w:spacing w:line="360" w:lineRule="auto"/>
        <w:ind w:right="630"/>
        <w:jc w:val="right"/>
        <w:rPr>
          <w:rFonts w:asciiTheme="minorEastAsia" w:hAnsiTheme="minorEastAsia" w:cs="Times New Roman"/>
          <w:szCs w:val="21"/>
        </w:rPr>
      </w:pPr>
      <w:r w:rsidRPr="002246FE">
        <w:rPr>
          <w:rFonts w:asciiTheme="minorEastAsia" w:hAnsiTheme="minorEastAsia" w:cs="Times New Roman"/>
          <w:szCs w:val="21"/>
        </w:rPr>
        <w:t>2024年12月</w:t>
      </w:r>
      <w:r>
        <w:rPr>
          <w:rFonts w:asciiTheme="minorEastAsia" w:hAnsiTheme="minorEastAsia" w:cs="Times New Roman"/>
          <w:szCs w:val="21"/>
        </w:rPr>
        <w:t>11</w:t>
      </w:r>
      <w:r w:rsidRPr="002246FE">
        <w:rPr>
          <w:rFonts w:asciiTheme="minorEastAsia" w:hAnsiTheme="minorEastAsia" w:cs="Times New Roman"/>
          <w:szCs w:val="21"/>
        </w:rPr>
        <w:t>日</w:t>
      </w:r>
    </w:p>
    <w:p w:rsidR="006E2F3B" w:rsidRDefault="006E2F3B"/>
    <w:sectPr w:rsidR="006E2F3B" w:rsidSect="007C1D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21A0"/>
    <w:rsid w:val="000021A0"/>
    <w:rsid w:val="00532323"/>
    <w:rsid w:val="006368C5"/>
    <w:rsid w:val="006E2F3B"/>
    <w:rsid w:val="007C1D07"/>
    <w:rsid w:val="00E00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3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3392</Characters>
  <Application>Microsoft Office Word</Application>
  <DocSecurity>4</DocSecurity>
  <Lines>28</Lines>
  <Paragraphs>7</Paragraphs>
  <ScaleCrop>false</ScaleCrop>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2024-12-10T16:01:00Z</dcterms:created>
  <dcterms:modified xsi:type="dcterms:W3CDTF">2024-12-10T16:01:00Z</dcterms:modified>
</cp:coreProperties>
</file>