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关于</w:t>
      </w:r>
      <w:r w:rsidR="00007BD5" w:rsidRPr="00007BD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万家中证</w:t>
      </w:r>
      <w:r w:rsidR="00007BD5" w:rsidRPr="00007BD5">
        <w:rPr>
          <w:rFonts w:ascii="宋体" w:eastAsia="宋体" w:hAnsi="宋体" w:cs="宋体"/>
          <w:b/>
          <w:color w:val="000000" w:themeColor="text1"/>
          <w:kern w:val="0"/>
          <w:szCs w:val="21"/>
        </w:rPr>
        <w:t>A500交易型开放式指数证券投资基金</w:t>
      </w:r>
      <w:r w:rsidR="00A626B6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新增</w:t>
      </w:r>
      <w:r w:rsidR="00887103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东北</w:t>
      </w:r>
      <w:bookmarkStart w:id="0" w:name="_GoBack"/>
      <w:bookmarkEnd w:id="0"/>
      <w:r w:rsidR="00F4444E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证券</w:t>
      </w:r>
      <w:r w:rsidR="00007BD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等机构</w:t>
      </w:r>
      <w:r w:rsidR="005675B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为</w:t>
      </w:r>
      <w:r w:rsidRPr="00CF647A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申购赎回代办券商的公告</w:t>
      </w:r>
    </w:p>
    <w:p w:rsidR="00CF647A" w:rsidRDefault="00CF647A" w:rsidP="00CF647A">
      <w:pPr>
        <w:autoSpaceDE w:val="0"/>
        <w:autoSpaceDN w:val="0"/>
        <w:adjustRightInd w:val="0"/>
        <w:jc w:val="center"/>
        <w:rPr>
          <w:rFonts w:ascii="SimSun,Bold" w:eastAsia="SimSun,Bold" w:cs="SimSun,Bold"/>
          <w:b/>
          <w:bCs/>
          <w:color w:val="000000"/>
          <w:kern w:val="0"/>
          <w:sz w:val="24"/>
          <w:szCs w:val="24"/>
        </w:rPr>
      </w:pPr>
    </w:p>
    <w:p w:rsidR="00CF647A" w:rsidRDefault="00CF647A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根据万家基金管理有限公司（以下简称“本公司”）</w:t>
      </w:r>
      <w:r w:rsidR="00C41F9E">
        <w:rPr>
          <w:rFonts w:ascii="宋体" w:eastAsia="宋体" w:hAnsi="宋体" w:cs="宋体" w:hint="eastAsia"/>
          <w:color w:val="000000" w:themeColor="text1"/>
          <w:kern w:val="0"/>
          <w:szCs w:val="21"/>
        </w:rPr>
        <w:t>分别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与</w:t>
      </w:r>
      <w:r w:rsidR="00B77E46" w:rsidRPr="00B77E46">
        <w:rPr>
          <w:rFonts w:ascii="宋体" w:eastAsia="宋体" w:hAnsi="宋体" w:cs="宋体" w:hint="eastAsia"/>
          <w:color w:val="000000" w:themeColor="text1"/>
          <w:kern w:val="0"/>
          <w:szCs w:val="21"/>
        </w:rPr>
        <w:t>东北证券股份有限公司</w:t>
      </w:r>
      <w:r w:rsidR="00EB529A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B77E46" w:rsidRPr="00B77E46">
        <w:rPr>
          <w:rFonts w:ascii="宋体" w:eastAsia="宋体" w:hAnsi="宋体" w:cs="宋体" w:hint="eastAsia"/>
          <w:color w:val="000000" w:themeColor="text1"/>
          <w:kern w:val="0"/>
          <w:szCs w:val="21"/>
        </w:rPr>
        <w:t>山西证券股份有限公司</w:t>
      </w:r>
      <w:r w:rsidR="00B77E46">
        <w:rPr>
          <w:rFonts w:ascii="宋体" w:eastAsia="宋体" w:hAnsi="宋体" w:cs="宋体" w:hint="eastAsia"/>
          <w:color w:val="000000" w:themeColor="text1"/>
          <w:kern w:val="0"/>
          <w:szCs w:val="21"/>
        </w:rPr>
        <w:t>以及</w:t>
      </w:r>
      <w:r w:rsidR="00B77E46" w:rsidRPr="00B77E46">
        <w:rPr>
          <w:rFonts w:ascii="宋体" w:eastAsia="宋体" w:hAnsi="宋体" w:cs="宋体" w:hint="eastAsia"/>
          <w:color w:val="000000" w:themeColor="text1"/>
          <w:kern w:val="0"/>
          <w:szCs w:val="21"/>
        </w:rPr>
        <w:t>金元证券股份有限公司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（以下合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称“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”）签署的协议，并经深圳证券交易所确认，本公司决定自</w:t>
      </w:r>
      <w:r w:rsidR="00E03B31">
        <w:rPr>
          <w:rFonts w:ascii="宋体" w:eastAsia="宋体" w:hAnsi="宋体" w:cs="宋体"/>
          <w:color w:val="000000" w:themeColor="text1"/>
          <w:kern w:val="0"/>
          <w:szCs w:val="21"/>
        </w:rPr>
        <w:t>2024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年</w:t>
      </w:r>
      <w:r w:rsidR="00007BD5">
        <w:rPr>
          <w:rFonts w:ascii="宋体" w:eastAsia="宋体" w:hAnsi="宋体" w:cs="宋体" w:hint="eastAsia"/>
          <w:color w:val="000000" w:themeColor="text1"/>
          <w:kern w:val="0"/>
          <w:szCs w:val="21"/>
        </w:rPr>
        <w:t>1</w:t>
      </w:r>
      <w:r w:rsidR="00007BD5">
        <w:rPr>
          <w:rFonts w:ascii="宋体" w:eastAsia="宋体" w:hAnsi="宋体" w:cs="宋体"/>
          <w:color w:val="000000" w:themeColor="text1"/>
          <w:kern w:val="0"/>
          <w:szCs w:val="21"/>
        </w:rPr>
        <w:t>2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月</w:t>
      </w:r>
      <w:r w:rsidR="00B77E46">
        <w:rPr>
          <w:rFonts w:ascii="宋体" w:eastAsia="宋体" w:hAnsi="宋体" w:cs="宋体"/>
          <w:color w:val="000000" w:themeColor="text1"/>
          <w:kern w:val="0"/>
          <w:szCs w:val="21"/>
        </w:rPr>
        <w:t>11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日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起增加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为</w:t>
      </w:r>
      <w:r w:rsidR="00563048" w:rsidRPr="00563048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563048" w:rsidRPr="00563048">
        <w:rPr>
          <w:rFonts w:ascii="宋体" w:eastAsia="宋体" w:hAnsi="宋体" w:cs="宋体"/>
          <w:color w:val="000000" w:themeColor="text1"/>
          <w:kern w:val="0"/>
          <w:szCs w:val="21"/>
        </w:rPr>
        <w:t>A500交易型开放式指数证券投资基金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（以下简称“</w:t>
      </w:r>
      <w:r w:rsidR="00860CB4" w:rsidRPr="00860CB4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A500ETF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”，基金代码：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159356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）的申购赎回代办券商。自</w:t>
      </w:r>
      <w:r w:rsidR="00E03B31">
        <w:rPr>
          <w:rFonts w:ascii="宋体" w:eastAsia="宋体" w:hAnsi="宋体" w:cs="宋体"/>
          <w:color w:val="000000" w:themeColor="text1"/>
          <w:kern w:val="0"/>
          <w:szCs w:val="21"/>
        </w:rPr>
        <w:t>2024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年</w:t>
      </w:r>
      <w:r w:rsidR="00860CB4">
        <w:rPr>
          <w:rFonts w:ascii="宋体" w:eastAsia="宋体" w:hAnsi="宋体" w:cs="宋体"/>
          <w:color w:val="000000" w:themeColor="text1"/>
          <w:kern w:val="0"/>
          <w:szCs w:val="21"/>
        </w:rPr>
        <w:t>12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月</w:t>
      </w:r>
      <w:r w:rsidR="00B77E46">
        <w:rPr>
          <w:rFonts w:ascii="宋体" w:eastAsia="宋体" w:hAnsi="宋体" w:cs="宋体"/>
          <w:color w:val="000000" w:themeColor="text1"/>
          <w:kern w:val="0"/>
          <w:szCs w:val="21"/>
        </w:rPr>
        <w:t>11</w:t>
      </w:r>
      <w:r w:rsidR="00ED3DB0">
        <w:rPr>
          <w:rFonts w:ascii="宋体" w:eastAsia="宋体" w:hAnsi="宋体" w:cs="宋体"/>
          <w:color w:val="000000" w:themeColor="text1"/>
          <w:kern w:val="0"/>
          <w:szCs w:val="21"/>
        </w:rPr>
        <w:t>日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起，投资者可通过</w:t>
      </w:r>
      <w:r w:rsidR="009329B9" w:rsidRP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办理</w:t>
      </w:r>
      <w:r w:rsidR="00860CB4" w:rsidRPr="00860CB4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A500ETF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的申购赎回业务。</w:t>
      </w:r>
    </w:p>
    <w:p w:rsidR="00BF3CDD" w:rsidRPr="00CF647A" w:rsidRDefault="00BF3CDD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投资者可通过以下渠道咨询详情</w:t>
      </w:r>
      <w:r w:rsidRPr="00CF647A">
        <w:rPr>
          <w:rFonts w:ascii="宋体" w:eastAsia="宋体" w:hAnsi="宋体" w:cs="宋体"/>
          <w:color w:val="000000" w:themeColor="text1"/>
          <w:kern w:val="0"/>
          <w:szCs w:val="21"/>
        </w:rPr>
        <w:t>:</w:t>
      </w:r>
    </w:p>
    <w:p w:rsidR="00C37255" w:rsidRPr="00C37255" w:rsidRDefault="00CF647A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1、</w:t>
      </w:r>
      <w:r w:rsidR="00C37255"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东北证券股份有限公司</w:t>
      </w:r>
    </w:p>
    <w:p w:rsidR="00C37255" w:rsidRPr="00C37255" w:rsidRDefault="00C37255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C37255">
        <w:rPr>
          <w:rFonts w:ascii="宋体" w:eastAsia="宋体" w:hAnsi="宋体" w:cs="宋体"/>
          <w:color w:val="000000" w:themeColor="text1"/>
          <w:kern w:val="0"/>
          <w:szCs w:val="21"/>
        </w:rPr>
        <w:t>95360</w:t>
      </w:r>
    </w:p>
    <w:p w:rsidR="00CF647A" w:rsidRDefault="00C37255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C37255">
        <w:rPr>
          <w:rFonts w:ascii="宋体" w:eastAsia="宋体" w:hAnsi="宋体" w:cs="宋体"/>
          <w:color w:val="000000" w:themeColor="text1"/>
          <w:kern w:val="0"/>
          <w:szCs w:val="21"/>
        </w:rPr>
        <w:t>www.nesc.cn</w:t>
      </w:r>
    </w:p>
    <w:p w:rsidR="008C266D" w:rsidRDefault="008C266D" w:rsidP="008C266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37255" w:rsidRPr="00C37255" w:rsidRDefault="009329B9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2、</w:t>
      </w:r>
      <w:r w:rsidR="00C37255"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山西证券股份有限公司</w:t>
      </w:r>
    </w:p>
    <w:p w:rsidR="00C37255" w:rsidRPr="00C37255" w:rsidRDefault="00C37255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C37255">
        <w:rPr>
          <w:rFonts w:ascii="宋体" w:eastAsia="宋体" w:hAnsi="宋体" w:cs="宋体"/>
          <w:color w:val="000000" w:themeColor="text1"/>
          <w:kern w:val="0"/>
          <w:szCs w:val="21"/>
        </w:rPr>
        <w:t>95573</w:t>
      </w:r>
    </w:p>
    <w:p w:rsidR="009329B9" w:rsidRDefault="00C37255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C37255">
        <w:rPr>
          <w:rFonts w:ascii="宋体" w:eastAsia="宋体" w:hAnsi="宋体" w:cs="宋体"/>
          <w:color w:val="000000" w:themeColor="text1"/>
          <w:kern w:val="0"/>
          <w:szCs w:val="21"/>
        </w:rPr>
        <w:t>www.i618.com.cn</w:t>
      </w:r>
    </w:p>
    <w:p w:rsidR="009329B9" w:rsidRDefault="009329B9" w:rsidP="009329B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37255" w:rsidRPr="00C37255" w:rsidRDefault="008A1264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3、</w:t>
      </w:r>
      <w:r w:rsidR="00C37255"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金元证券股份有限公司</w:t>
      </w:r>
    </w:p>
    <w:p w:rsidR="00C37255" w:rsidRPr="00C37255" w:rsidRDefault="00C37255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C37255">
        <w:rPr>
          <w:rFonts w:ascii="宋体" w:eastAsia="宋体" w:hAnsi="宋体" w:cs="宋体"/>
          <w:color w:val="000000" w:themeColor="text1"/>
          <w:kern w:val="0"/>
          <w:szCs w:val="21"/>
        </w:rPr>
        <w:t>95372</w:t>
      </w:r>
    </w:p>
    <w:p w:rsidR="008A1264" w:rsidRDefault="00C37255" w:rsidP="00C3725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37255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C37255">
        <w:rPr>
          <w:rFonts w:ascii="宋体" w:eastAsia="宋体" w:hAnsi="宋体" w:cs="宋体"/>
          <w:color w:val="000000" w:themeColor="text1"/>
          <w:kern w:val="0"/>
          <w:szCs w:val="21"/>
        </w:rPr>
        <w:t>http://www.jyzq.cn</w:t>
      </w:r>
    </w:p>
    <w:p w:rsid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B37097" w:rsidRPr="00B37097" w:rsidRDefault="00C37255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4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B37097"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万家基金管理有限公司</w:t>
      </w:r>
    </w:p>
    <w:p w:rsidR="00B37097" w:rsidRPr="00B37097" w:rsidRDefault="00B37097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客服电话：400-888-0800</w:t>
      </w:r>
    </w:p>
    <w:p w:rsidR="00CF647A" w:rsidRDefault="00B37097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hyperlink r:id="rId6" w:history="1">
        <w:r w:rsidR="00BF3CDD" w:rsidRPr="00C311B7">
          <w:rPr>
            <w:rStyle w:val="a3"/>
            <w:rFonts w:ascii="宋体" w:eastAsia="宋体" w:hAnsi="宋体" w:cs="宋体" w:hint="eastAsia"/>
            <w:kern w:val="0"/>
            <w:szCs w:val="21"/>
          </w:rPr>
          <w:t>www.wjasset.com</w:t>
        </w:r>
      </w:hyperlink>
    </w:p>
    <w:p w:rsidR="00BF3CDD" w:rsidRPr="00CF647A" w:rsidRDefault="00BF3CDD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F647A" w:rsidRPr="00CF647A" w:rsidRDefault="0058396C" w:rsidP="0058396C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8396C">
        <w:rPr>
          <w:rFonts w:ascii="宋体" w:eastAsia="宋体" w:hAnsi="宋体" w:cs="宋体" w:hint="eastAsia"/>
          <w:color w:val="000000" w:themeColor="text1"/>
          <w:kern w:val="0"/>
          <w:szCs w:val="21"/>
        </w:rPr>
        <w:t>风险提示：敬请投资者于投资前认真阅读各基金的《基金合同》和《招募说明书》等法律文件，基金管理人承诺以诚实信用、勤勉尽责的原则管理和运用基金资产，但不承诺基金</w:t>
      </w:r>
      <w:r w:rsidRPr="0058396C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投资最低收益、也不保证基金投资一定赢利，请投资者在充分考虑风险的情况下谨慎做出投资决策，在做出投资决策后，基金运营状况与基金净值变化引致的投资风险，由投资者自行负担。</w:t>
      </w: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特此公告。</w:t>
      </w: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万家基金管理有限公司</w:t>
      </w:r>
    </w:p>
    <w:p w:rsidR="00771827" w:rsidRPr="00CF647A" w:rsidRDefault="00163079" w:rsidP="00CF647A">
      <w:pPr>
        <w:wordWrap w:val="0"/>
        <w:spacing w:line="360" w:lineRule="auto"/>
        <w:jc w:val="righ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二〇二四年十二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月</w:t>
      </w:r>
      <w:r w:rsidR="00B77E46">
        <w:rPr>
          <w:rFonts w:ascii="宋体" w:eastAsia="宋体" w:hAnsi="宋体" w:cs="宋体" w:hint="eastAsia"/>
          <w:color w:val="000000" w:themeColor="text1"/>
          <w:kern w:val="0"/>
          <w:szCs w:val="21"/>
        </w:rPr>
        <w:t>十一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日</w:t>
      </w:r>
    </w:p>
    <w:sectPr w:rsidR="00771827" w:rsidRPr="00CF647A" w:rsidSect="00F9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8D" w:rsidRDefault="0023328D" w:rsidP="005675B9">
      <w:r>
        <w:separator/>
      </w:r>
    </w:p>
  </w:endnote>
  <w:endnote w:type="continuationSeparator" w:id="0">
    <w:p w:rsidR="0023328D" w:rsidRDefault="0023328D" w:rsidP="0056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8D" w:rsidRDefault="0023328D" w:rsidP="005675B9">
      <w:r>
        <w:separator/>
      </w:r>
    </w:p>
  </w:footnote>
  <w:footnote w:type="continuationSeparator" w:id="0">
    <w:p w:rsidR="0023328D" w:rsidRDefault="0023328D" w:rsidP="00567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F1"/>
    <w:rsid w:val="00007AE9"/>
    <w:rsid w:val="00007BD5"/>
    <w:rsid w:val="000174F9"/>
    <w:rsid w:val="000556A1"/>
    <w:rsid w:val="00072E12"/>
    <w:rsid w:val="00085CCF"/>
    <w:rsid w:val="0009375E"/>
    <w:rsid w:val="00163079"/>
    <w:rsid w:val="001A3B09"/>
    <w:rsid w:val="001A4BFA"/>
    <w:rsid w:val="0023328D"/>
    <w:rsid w:val="00236882"/>
    <w:rsid w:val="002B36DC"/>
    <w:rsid w:val="002F01F1"/>
    <w:rsid w:val="00340168"/>
    <w:rsid w:val="00374F21"/>
    <w:rsid w:val="0039202E"/>
    <w:rsid w:val="003E68A3"/>
    <w:rsid w:val="00400CF0"/>
    <w:rsid w:val="00450301"/>
    <w:rsid w:val="004C7530"/>
    <w:rsid w:val="00563048"/>
    <w:rsid w:val="005675B9"/>
    <w:rsid w:val="0058396C"/>
    <w:rsid w:val="005877CF"/>
    <w:rsid w:val="005A3DB3"/>
    <w:rsid w:val="005F4D00"/>
    <w:rsid w:val="006205DC"/>
    <w:rsid w:val="006356D9"/>
    <w:rsid w:val="006F6448"/>
    <w:rsid w:val="00741BCE"/>
    <w:rsid w:val="007625F8"/>
    <w:rsid w:val="00771827"/>
    <w:rsid w:val="00787512"/>
    <w:rsid w:val="007D160A"/>
    <w:rsid w:val="0084270C"/>
    <w:rsid w:val="00860CB4"/>
    <w:rsid w:val="00887103"/>
    <w:rsid w:val="008A1264"/>
    <w:rsid w:val="008C266D"/>
    <w:rsid w:val="008D7134"/>
    <w:rsid w:val="008E50E6"/>
    <w:rsid w:val="00921237"/>
    <w:rsid w:val="009320AF"/>
    <w:rsid w:val="009329B9"/>
    <w:rsid w:val="0097509A"/>
    <w:rsid w:val="0097766F"/>
    <w:rsid w:val="009C4F9F"/>
    <w:rsid w:val="009D672B"/>
    <w:rsid w:val="00A626B6"/>
    <w:rsid w:val="00A87D36"/>
    <w:rsid w:val="00AE3AEF"/>
    <w:rsid w:val="00B37097"/>
    <w:rsid w:val="00B77E46"/>
    <w:rsid w:val="00B96C56"/>
    <w:rsid w:val="00BA5544"/>
    <w:rsid w:val="00BF3CDD"/>
    <w:rsid w:val="00C21E74"/>
    <w:rsid w:val="00C331EF"/>
    <w:rsid w:val="00C37255"/>
    <w:rsid w:val="00C41F9E"/>
    <w:rsid w:val="00C71A3C"/>
    <w:rsid w:val="00CF1949"/>
    <w:rsid w:val="00CF647A"/>
    <w:rsid w:val="00D0124A"/>
    <w:rsid w:val="00D22B83"/>
    <w:rsid w:val="00D4286E"/>
    <w:rsid w:val="00DB1528"/>
    <w:rsid w:val="00DF22CC"/>
    <w:rsid w:val="00E03B31"/>
    <w:rsid w:val="00E133A8"/>
    <w:rsid w:val="00EB529A"/>
    <w:rsid w:val="00ED3DB0"/>
    <w:rsid w:val="00ED60DC"/>
    <w:rsid w:val="00F4444E"/>
    <w:rsid w:val="00F46EE0"/>
    <w:rsid w:val="00F65EEA"/>
    <w:rsid w:val="00F76A7D"/>
    <w:rsid w:val="00F9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47A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70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709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5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7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5B9"/>
    <w:rPr>
      <w:sz w:val="18"/>
      <w:szCs w:val="18"/>
    </w:rPr>
  </w:style>
  <w:style w:type="paragraph" w:customStyle="1" w:styleId="CharChar">
    <w:name w:val="Char Char"/>
    <w:basedOn w:val="a"/>
    <w:rsid w:val="00F65EE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jass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4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曹琦</dc:creator>
  <cp:keywords/>
  <dc:description/>
  <cp:lastModifiedBy>ZHONGM</cp:lastModifiedBy>
  <cp:revision>2</cp:revision>
  <dcterms:created xsi:type="dcterms:W3CDTF">2024-12-10T16:01:00Z</dcterms:created>
  <dcterms:modified xsi:type="dcterms:W3CDTF">2024-12-10T16:01:00Z</dcterms:modified>
</cp:coreProperties>
</file>