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11" w:rsidRDefault="00801FF9">
      <w:pPr>
        <w:spacing w:line="360" w:lineRule="auto"/>
        <w:jc w:val="center"/>
        <w:rPr>
          <w:rFonts w:asciiTheme="minorEastAsia" w:hAnsiTheme="minorEastAsia"/>
          <w:b/>
          <w:sz w:val="28"/>
          <w:szCs w:val="28"/>
        </w:rPr>
      </w:pPr>
      <w:r>
        <w:rPr>
          <w:rFonts w:asciiTheme="minorEastAsia" w:hAnsiTheme="minorEastAsia" w:hint="eastAsia"/>
          <w:b/>
          <w:sz w:val="28"/>
          <w:szCs w:val="28"/>
        </w:rPr>
        <w:t>太平基金管理有限公司</w:t>
      </w:r>
    </w:p>
    <w:p w:rsidR="00B05111" w:rsidRDefault="00801FF9">
      <w:pPr>
        <w:spacing w:line="360" w:lineRule="auto"/>
        <w:jc w:val="center"/>
        <w:rPr>
          <w:rFonts w:asciiTheme="minorEastAsia" w:hAnsiTheme="minorEastAsia"/>
          <w:b/>
          <w:sz w:val="28"/>
          <w:szCs w:val="28"/>
        </w:rPr>
      </w:pPr>
      <w:r>
        <w:rPr>
          <w:rFonts w:asciiTheme="minorEastAsia" w:hAnsiTheme="minorEastAsia" w:hint="eastAsia"/>
          <w:b/>
          <w:sz w:val="28"/>
          <w:szCs w:val="28"/>
        </w:rPr>
        <w:t>关于旗下基金增加杭州银行股份有限公司为销售机构并参</w:t>
      </w:r>
      <w:r>
        <w:rPr>
          <w:rFonts w:asciiTheme="minorEastAsia" w:hAnsiTheme="minorEastAsia" w:hint="eastAsia"/>
          <w:b/>
          <w:sz w:val="28"/>
          <w:szCs w:val="28"/>
        </w:rPr>
        <w:t>加</w:t>
      </w:r>
      <w:r>
        <w:rPr>
          <w:rFonts w:asciiTheme="minorEastAsia" w:hAnsiTheme="minorEastAsia" w:hint="eastAsia"/>
          <w:b/>
          <w:sz w:val="28"/>
          <w:szCs w:val="28"/>
        </w:rPr>
        <w:t>其</w:t>
      </w:r>
      <w:r>
        <w:rPr>
          <w:rFonts w:asciiTheme="minorEastAsia" w:hAnsiTheme="minorEastAsia" w:hint="eastAsia"/>
          <w:b/>
          <w:sz w:val="28"/>
          <w:szCs w:val="28"/>
        </w:rPr>
        <w:t>费率</w:t>
      </w:r>
      <w:r>
        <w:rPr>
          <w:rFonts w:asciiTheme="minorEastAsia" w:hAnsiTheme="minorEastAsia" w:hint="eastAsia"/>
          <w:b/>
          <w:sz w:val="28"/>
          <w:szCs w:val="28"/>
        </w:rPr>
        <w:t>优惠活动的公告</w:t>
      </w:r>
    </w:p>
    <w:p w:rsidR="00B05111" w:rsidRDefault="00B05111">
      <w:pPr>
        <w:spacing w:line="360" w:lineRule="auto"/>
        <w:jc w:val="center"/>
        <w:rPr>
          <w:rFonts w:asciiTheme="minorEastAsia" w:hAnsiTheme="minorEastAsia"/>
          <w:b/>
          <w:sz w:val="24"/>
          <w:szCs w:val="24"/>
        </w:rPr>
      </w:pPr>
    </w:p>
    <w:p w:rsidR="00B05111" w:rsidRDefault="00801FF9">
      <w:pPr>
        <w:spacing w:line="360" w:lineRule="auto"/>
        <w:ind w:firstLineChars="200" w:firstLine="480"/>
        <w:jc w:val="left"/>
        <w:rPr>
          <w:b/>
          <w:sz w:val="32"/>
        </w:rPr>
      </w:pPr>
      <w:r>
        <w:rPr>
          <w:rFonts w:asciiTheme="minorEastAsia" w:hAnsiTheme="minorEastAsia" w:hint="eastAsia"/>
          <w:sz w:val="24"/>
          <w:szCs w:val="24"/>
        </w:rPr>
        <w:t>为了更好地满足广大投资者的理财需求，根据太平基金管理有限公司（以下简称“本公司”）与杭州银行股份有限公司签署的相关销售协议，自</w:t>
      </w:r>
      <w:r>
        <w:rPr>
          <w:rFonts w:asciiTheme="minorEastAsia" w:hAnsiTheme="minorEastAsia"/>
          <w:sz w:val="24"/>
          <w:szCs w:val="24"/>
        </w:rPr>
        <w:t>2</w:t>
      </w:r>
      <w:r>
        <w:rPr>
          <w:rFonts w:asciiTheme="minorEastAsia" w:hAnsiTheme="minorEastAsia" w:hint="eastAsia"/>
          <w:sz w:val="24"/>
          <w:szCs w:val="24"/>
        </w:rPr>
        <w:t>02</w:t>
      </w:r>
      <w:r>
        <w:rPr>
          <w:rFonts w:asciiTheme="minorEastAsia" w:hAnsiTheme="minorEastAsia" w:hint="eastAsia"/>
          <w:sz w:val="24"/>
          <w:szCs w:val="24"/>
        </w:rPr>
        <w:t>4</w:t>
      </w:r>
      <w:r>
        <w:rPr>
          <w:rFonts w:asciiTheme="minorEastAsia" w:hAnsiTheme="minorEastAsia"/>
          <w:sz w:val="24"/>
          <w:szCs w:val="24"/>
        </w:rPr>
        <w:t>年</w:t>
      </w:r>
      <w:r>
        <w:rPr>
          <w:rFonts w:asciiTheme="minorEastAsia" w:hAnsiTheme="minorEastAsia" w:hint="eastAsia"/>
          <w:sz w:val="24"/>
          <w:szCs w:val="24"/>
        </w:rPr>
        <w:t>1</w:t>
      </w:r>
      <w:r>
        <w:rPr>
          <w:rFonts w:asciiTheme="minorEastAsia" w:hAnsiTheme="minorEastAsia" w:hint="eastAsia"/>
          <w:sz w:val="24"/>
          <w:szCs w:val="24"/>
        </w:rPr>
        <w:t>2</w:t>
      </w:r>
      <w:r>
        <w:rPr>
          <w:rFonts w:asciiTheme="minorEastAsia" w:hAnsiTheme="minorEastAsia" w:hint="eastAsia"/>
          <w:sz w:val="24"/>
          <w:szCs w:val="24"/>
        </w:rPr>
        <w:t>月</w:t>
      </w:r>
      <w:r>
        <w:rPr>
          <w:rFonts w:asciiTheme="minorEastAsia" w:hAnsiTheme="minorEastAsia" w:hint="eastAsia"/>
          <w:sz w:val="24"/>
          <w:szCs w:val="24"/>
        </w:rPr>
        <w:t>10</w:t>
      </w:r>
      <w:r>
        <w:rPr>
          <w:rFonts w:asciiTheme="minorEastAsia" w:hAnsiTheme="minorEastAsia" w:hint="eastAsia"/>
          <w:sz w:val="24"/>
          <w:szCs w:val="24"/>
        </w:rPr>
        <w:t>日起，本公司增加杭州银行股份有限公司为销售机构，具体基金为：</w:t>
      </w:r>
    </w:p>
    <w:p w:rsidR="00B05111" w:rsidRDefault="00801FF9">
      <w:pPr>
        <w:spacing w:line="360" w:lineRule="auto"/>
        <w:ind w:firstLine="601"/>
        <w:outlineLvl w:val="0"/>
        <w:rPr>
          <w:rFonts w:asciiTheme="minorEastAsia" w:hAnsiTheme="minorEastAsia"/>
          <w:sz w:val="24"/>
          <w:szCs w:val="24"/>
        </w:rPr>
      </w:pPr>
      <w:r>
        <w:rPr>
          <w:rFonts w:asciiTheme="minorEastAsia" w:hAnsiTheme="minorEastAsia" w:hint="eastAsia"/>
          <w:sz w:val="24"/>
          <w:szCs w:val="24"/>
        </w:rPr>
        <w:t>太平日日鑫货币市场基金（基金简称：太平日日鑫；</w:t>
      </w:r>
      <w:r>
        <w:rPr>
          <w:rFonts w:asciiTheme="minorEastAsia" w:hAnsiTheme="minorEastAsia" w:hint="eastAsia"/>
          <w:sz w:val="24"/>
          <w:szCs w:val="24"/>
        </w:rPr>
        <w:t>A</w:t>
      </w:r>
      <w:r>
        <w:rPr>
          <w:rFonts w:asciiTheme="minorEastAsia" w:hAnsiTheme="minorEastAsia" w:hint="eastAsia"/>
          <w:sz w:val="24"/>
          <w:szCs w:val="24"/>
        </w:rPr>
        <w:t>类份额基金代码：</w:t>
      </w:r>
      <w:r>
        <w:rPr>
          <w:rFonts w:asciiTheme="minorEastAsia" w:hAnsiTheme="minorEastAsia" w:hint="eastAsia"/>
          <w:sz w:val="24"/>
          <w:szCs w:val="24"/>
        </w:rPr>
        <w:t>004330</w:t>
      </w:r>
      <w:r>
        <w:rPr>
          <w:rFonts w:asciiTheme="minorEastAsia" w:hAnsiTheme="minorEastAsia" w:hint="eastAsia"/>
          <w:sz w:val="24"/>
          <w:szCs w:val="24"/>
        </w:rPr>
        <w:t>，</w:t>
      </w:r>
      <w:r>
        <w:rPr>
          <w:rFonts w:asciiTheme="minorEastAsia" w:hAnsiTheme="minorEastAsia" w:hint="eastAsia"/>
          <w:sz w:val="24"/>
          <w:szCs w:val="24"/>
        </w:rPr>
        <w:t>B</w:t>
      </w:r>
      <w:r>
        <w:rPr>
          <w:rFonts w:asciiTheme="minorEastAsia" w:hAnsiTheme="minorEastAsia" w:hint="eastAsia"/>
          <w:sz w:val="24"/>
          <w:szCs w:val="24"/>
        </w:rPr>
        <w:t>类份额基金代码：</w:t>
      </w:r>
      <w:r>
        <w:rPr>
          <w:rFonts w:asciiTheme="minorEastAsia" w:hAnsiTheme="minorEastAsia" w:hint="eastAsia"/>
          <w:sz w:val="24"/>
          <w:szCs w:val="24"/>
        </w:rPr>
        <w:t>004331</w:t>
      </w:r>
      <w:r>
        <w:rPr>
          <w:rFonts w:asciiTheme="minorEastAsia" w:hAnsiTheme="minorEastAsia" w:hint="eastAsia"/>
          <w:sz w:val="24"/>
          <w:szCs w:val="24"/>
        </w:rPr>
        <w:t>）；</w:t>
      </w:r>
      <w:bookmarkStart w:id="0" w:name="_GoBack"/>
      <w:bookmarkEnd w:id="0"/>
    </w:p>
    <w:p w:rsidR="00B05111" w:rsidRDefault="00801FF9">
      <w:pPr>
        <w:spacing w:line="360" w:lineRule="auto"/>
        <w:ind w:firstLine="601"/>
        <w:outlineLvl w:val="0"/>
        <w:rPr>
          <w:rFonts w:asciiTheme="minorEastAsia" w:hAnsiTheme="minorEastAsia"/>
          <w:sz w:val="24"/>
          <w:szCs w:val="24"/>
        </w:rPr>
      </w:pPr>
      <w:r>
        <w:rPr>
          <w:rFonts w:asciiTheme="minorEastAsia" w:hAnsiTheme="minorEastAsia" w:hint="eastAsia"/>
          <w:sz w:val="24"/>
          <w:szCs w:val="24"/>
        </w:rPr>
        <w:t>太平恒兴纯债债券型证券投资基金（基金简称：太平恒兴纯债；基金代码：</w:t>
      </w:r>
      <w:r>
        <w:rPr>
          <w:rFonts w:asciiTheme="minorEastAsia" w:hAnsiTheme="minorEastAsia"/>
          <w:sz w:val="24"/>
          <w:szCs w:val="24"/>
        </w:rPr>
        <w:t>014055</w:t>
      </w:r>
      <w:r>
        <w:rPr>
          <w:rFonts w:asciiTheme="minorEastAsia" w:hAnsiTheme="minorEastAsia" w:hint="eastAsia"/>
          <w:sz w:val="24"/>
          <w:szCs w:val="24"/>
        </w:rPr>
        <w:t>）</w:t>
      </w:r>
    </w:p>
    <w:p w:rsidR="00B05111" w:rsidRDefault="00801FF9">
      <w:pPr>
        <w:spacing w:line="360" w:lineRule="auto"/>
        <w:ind w:firstLine="601"/>
        <w:outlineLvl w:val="0"/>
        <w:rPr>
          <w:rFonts w:asciiTheme="minorEastAsia" w:hAnsiTheme="minorEastAsia"/>
          <w:sz w:val="24"/>
          <w:szCs w:val="24"/>
        </w:rPr>
      </w:pPr>
      <w:r>
        <w:rPr>
          <w:rFonts w:asciiTheme="minorEastAsia" w:hAnsiTheme="minorEastAsia" w:hint="eastAsia"/>
          <w:sz w:val="24"/>
          <w:szCs w:val="24"/>
        </w:rPr>
        <w:t>太平恒久纯债债基型证劵投资基金（基金简称：太平恒久纯债；基金代码：</w:t>
      </w:r>
      <w:r>
        <w:rPr>
          <w:rFonts w:asciiTheme="minorEastAsia" w:hAnsiTheme="minorEastAsia" w:hint="eastAsia"/>
          <w:sz w:val="24"/>
          <w:szCs w:val="24"/>
        </w:rPr>
        <w:t>010476</w:t>
      </w:r>
      <w:r>
        <w:rPr>
          <w:rFonts w:asciiTheme="minorEastAsia" w:hAnsiTheme="minorEastAsia" w:hint="eastAsia"/>
          <w:sz w:val="24"/>
          <w:szCs w:val="24"/>
        </w:rPr>
        <w:t>）</w:t>
      </w:r>
    </w:p>
    <w:p w:rsidR="00B05111" w:rsidRDefault="00801FF9">
      <w:pPr>
        <w:spacing w:line="360" w:lineRule="auto"/>
        <w:ind w:firstLine="601"/>
        <w:outlineLvl w:val="0"/>
        <w:rPr>
          <w:rFonts w:asciiTheme="minorEastAsia" w:hAnsiTheme="minorEastAsia"/>
          <w:sz w:val="24"/>
          <w:szCs w:val="24"/>
        </w:rPr>
      </w:pPr>
      <w:r>
        <w:rPr>
          <w:rFonts w:asciiTheme="minorEastAsia" w:hAnsiTheme="minorEastAsia" w:hint="eastAsia"/>
          <w:sz w:val="24"/>
          <w:szCs w:val="24"/>
        </w:rPr>
        <w:t>现就有关事项公告如下：</w:t>
      </w:r>
      <w:r>
        <w:rPr>
          <w:rFonts w:asciiTheme="minorEastAsia" w:hAnsiTheme="minorEastAsia" w:hint="eastAsia"/>
          <w:sz w:val="24"/>
          <w:szCs w:val="24"/>
        </w:rPr>
        <w:t xml:space="preserve"> </w:t>
      </w:r>
    </w:p>
    <w:p w:rsidR="00B05111" w:rsidRDefault="00B05111">
      <w:pPr>
        <w:spacing w:line="360" w:lineRule="auto"/>
        <w:ind w:firstLine="601"/>
        <w:outlineLvl w:val="0"/>
        <w:rPr>
          <w:rFonts w:asciiTheme="minorEastAsia" w:hAnsiTheme="minorEastAsia"/>
          <w:sz w:val="24"/>
          <w:szCs w:val="24"/>
        </w:rPr>
      </w:pPr>
    </w:p>
    <w:p w:rsidR="00B05111" w:rsidRDefault="00801FF9">
      <w:pPr>
        <w:spacing w:line="360" w:lineRule="auto"/>
        <w:rPr>
          <w:rFonts w:asciiTheme="minorEastAsia" w:hAnsiTheme="minorEastAsia"/>
          <w:b/>
          <w:sz w:val="24"/>
          <w:szCs w:val="24"/>
        </w:rPr>
      </w:pPr>
      <w:r>
        <w:rPr>
          <w:rFonts w:asciiTheme="minorEastAsia" w:hAnsiTheme="minorEastAsia" w:hint="eastAsia"/>
          <w:b/>
          <w:sz w:val="24"/>
          <w:szCs w:val="24"/>
        </w:rPr>
        <w:t>一、适用业务范围</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业务适用于已开通杭州银行股份有限公司平台业务，依据国家有关的法律法规、相关的基金合同、募集说明书及相关业务规则的规定可以投资证券投资基金的机构投资者。投资者可通过杭州银行股份有限公司办理太太平日日鑫、太平恒兴纯债、太平恒久纯债的申购、赎回、转换、定期定额投资等相关销售业务。</w:t>
      </w:r>
    </w:p>
    <w:p w:rsidR="00B05111" w:rsidRDefault="00B05111">
      <w:pPr>
        <w:spacing w:line="360" w:lineRule="auto"/>
        <w:rPr>
          <w:rFonts w:asciiTheme="minorEastAsia" w:hAnsiTheme="minorEastAsia"/>
          <w:sz w:val="24"/>
          <w:szCs w:val="24"/>
        </w:rPr>
      </w:pPr>
    </w:p>
    <w:p w:rsidR="00B05111" w:rsidRDefault="00801FF9">
      <w:pPr>
        <w:spacing w:line="360" w:lineRule="auto"/>
        <w:rPr>
          <w:rFonts w:asciiTheme="minorEastAsia" w:hAnsiTheme="minorEastAsia"/>
          <w:b/>
          <w:sz w:val="24"/>
          <w:szCs w:val="24"/>
        </w:rPr>
      </w:pPr>
      <w:r>
        <w:rPr>
          <w:rFonts w:asciiTheme="minorEastAsia" w:hAnsiTheme="minorEastAsia" w:hint="eastAsia"/>
          <w:b/>
          <w:sz w:val="24"/>
          <w:szCs w:val="24"/>
        </w:rPr>
        <w:t>二、定期定额投资业务及其规则</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“定期定额投资业务”是指投资者可通过基金管理人指定的销售机构提交申请，约定</w:t>
      </w:r>
      <w:r>
        <w:rPr>
          <w:rFonts w:asciiTheme="minorEastAsia" w:hAnsiTheme="minorEastAsia" w:hint="eastAsia"/>
          <w:sz w:val="24"/>
          <w:szCs w:val="24"/>
        </w:rPr>
        <w:t>每期扣款时间、扣款金额及扣款方式，由销售机构于每期约定扣款日在投资者指定资金账户内自动完成扣款，并提交基金申购申请的一种长期投资方式。</w:t>
      </w:r>
    </w:p>
    <w:p w:rsidR="00B05111" w:rsidRDefault="00801FF9">
      <w:pPr>
        <w:spacing w:line="360" w:lineRule="auto"/>
        <w:ind w:firstLineChars="200" w:firstLine="482"/>
        <w:rPr>
          <w:rFonts w:asciiTheme="minorEastAsia" w:hAnsiTheme="minorEastAsia"/>
          <w:b/>
          <w:sz w:val="24"/>
          <w:szCs w:val="24"/>
        </w:rPr>
      </w:pPr>
      <w:r>
        <w:rPr>
          <w:rFonts w:asciiTheme="minorEastAsia" w:hAnsiTheme="minorEastAsia"/>
          <w:b/>
          <w:sz w:val="24"/>
          <w:szCs w:val="24"/>
        </w:rPr>
        <w:t>1</w:t>
      </w:r>
      <w:r>
        <w:rPr>
          <w:rFonts w:asciiTheme="minorEastAsia" w:hAnsiTheme="minorEastAsia"/>
          <w:b/>
          <w:sz w:val="24"/>
          <w:szCs w:val="24"/>
        </w:rPr>
        <w:t>、扣款日期和扣款金额</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投资者办理定期定额投资业务前，须指定一个有效资金账户作为每期固定扣款账户，并经办理本业务的销售机构认可。投资者须遵循杭州银行股份有限公司</w:t>
      </w:r>
      <w:r>
        <w:rPr>
          <w:rFonts w:asciiTheme="minorEastAsia" w:hAnsiTheme="minorEastAsia" w:hint="eastAsia"/>
          <w:sz w:val="24"/>
          <w:szCs w:val="24"/>
        </w:rPr>
        <w:lastRenderedPageBreak/>
        <w:t>平台有关规定，并与杭州银行股份有限公司约定每期扣款日期及固定扣款金额。</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太平日日鑫、太平恒兴纯债、太平恒久纯债等基金产品的定期定额投资业务每期最低扣款金额以各基金最低申购金额为准（含申购费），杭州银行股份有限公司可在此最低金额基础之上，根据需要设置等于或高于各基金的最低扣款金额，具体以杭州银行股份有限公司的相关业务规则为准。投资者须指定一个有效资金账户作为每期固定扣款账户。若遇非基金交易日时，扣款是否顺延以杭州银行股份有限公司的具体规定为准。具体扣款方式按杭州银行股份有限公司的相关业务规则办理。</w:t>
      </w:r>
    </w:p>
    <w:p w:rsidR="00B05111" w:rsidRDefault="00801FF9">
      <w:pPr>
        <w:spacing w:line="360" w:lineRule="auto"/>
        <w:ind w:firstLineChars="200" w:firstLine="482"/>
        <w:rPr>
          <w:rFonts w:asciiTheme="minorEastAsia" w:hAnsiTheme="minorEastAsia"/>
          <w:b/>
          <w:sz w:val="24"/>
          <w:szCs w:val="24"/>
        </w:rPr>
      </w:pPr>
      <w:r>
        <w:rPr>
          <w:rFonts w:asciiTheme="minorEastAsia" w:hAnsiTheme="minorEastAsia"/>
          <w:b/>
          <w:sz w:val="24"/>
          <w:szCs w:val="24"/>
        </w:rPr>
        <w:t>2</w:t>
      </w:r>
      <w:r>
        <w:rPr>
          <w:rFonts w:asciiTheme="minorEastAsia" w:hAnsiTheme="minorEastAsia"/>
          <w:b/>
          <w:sz w:val="24"/>
          <w:szCs w:val="24"/>
        </w:rPr>
        <w:t>、交易确认</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定期定额投资业务遵循“未知价”和“金额申购”的原则，申购价格以基金申</w:t>
      </w:r>
      <w:r>
        <w:rPr>
          <w:rFonts w:asciiTheme="minorEastAsia" w:hAnsiTheme="minorEastAsia" w:hint="eastAsia"/>
          <w:sz w:val="24"/>
          <w:szCs w:val="24"/>
        </w:rPr>
        <w:t>购申请日（</w:t>
      </w:r>
      <w:r>
        <w:rPr>
          <w:rFonts w:asciiTheme="minorEastAsia" w:hAnsiTheme="minorEastAsia" w:hint="eastAsia"/>
          <w:sz w:val="24"/>
          <w:szCs w:val="24"/>
        </w:rPr>
        <w:t>T</w:t>
      </w:r>
      <w:r>
        <w:rPr>
          <w:rFonts w:asciiTheme="minorEastAsia" w:hAnsiTheme="minorEastAsia" w:hint="eastAsia"/>
          <w:sz w:val="24"/>
          <w:szCs w:val="24"/>
        </w:rPr>
        <w:t>日）的基金份额净值为基准进行计算。基金申购申请日（</w:t>
      </w:r>
      <w:r>
        <w:rPr>
          <w:rFonts w:asciiTheme="minorEastAsia" w:hAnsiTheme="minorEastAsia" w:hint="eastAsia"/>
          <w:sz w:val="24"/>
          <w:szCs w:val="24"/>
        </w:rPr>
        <w:t>T</w:t>
      </w:r>
      <w:r>
        <w:rPr>
          <w:rFonts w:asciiTheme="minorEastAsia" w:hAnsiTheme="minorEastAsia" w:hint="eastAsia"/>
          <w:sz w:val="24"/>
          <w:szCs w:val="24"/>
        </w:rPr>
        <w:t>日）为定期定额投资业务每月实际扣款日（如遇非基金开放日则顺延至基金下一开放日），基金份额将在</w:t>
      </w:r>
      <w:r>
        <w:rPr>
          <w:rFonts w:asciiTheme="minorEastAsia" w:hAnsiTheme="minorEastAsia" w:hint="eastAsia"/>
          <w:sz w:val="24"/>
          <w:szCs w:val="24"/>
        </w:rPr>
        <w:t>T+1</w:t>
      </w:r>
      <w:r>
        <w:rPr>
          <w:rFonts w:asciiTheme="minorEastAsia" w:hAnsiTheme="minorEastAsia" w:hint="eastAsia"/>
          <w:sz w:val="24"/>
          <w:szCs w:val="24"/>
        </w:rPr>
        <w:t>工作日确认成功后直接计入投资者的基金账户内。基金份额确认查询起始日为</w:t>
      </w:r>
      <w:r>
        <w:rPr>
          <w:rFonts w:asciiTheme="minorEastAsia" w:hAnsiTheme="minorEastAsia" w:hint="eastAsia"/>
          <w:sz w:val="24"/>
          <w:szCs w:val="24"/>
        </w:rPr>
        <w:t>T+2</w:t>
      </w:r>
      <w:r>
        <w:rPr>
          <w:rFonts w:asciiTheme="minorEastAsia" w:hAnsiTheme="minorEastAsia" w:hint="eastAsia"/>
          <w:sz w:val="24"/>
          <w:szCs w:val="24"/>
        </w:rPr>
        <w:t>工作日，投资者可从</w:t>
      </w:r>
      <w:r>
        <w:rPr>
          <w:rFonts w:asciiTheme="minorEastAsia" w:hAnsiTheme="minorEastAsia" w:hint="eastAsia"/>
          <w:sz w:val="24"/>
          <w:szCs w:val="24"/>
        </w:rPr>
        <w:t>T+2</w:t>
      </w:r>
      <w:r>
        <w:rPr>
          <w:rFonts w:asciiTheme="minorEastAsia" w:hAnsiTheme="minorEastAsia" w:hint="eastAsia"/>
          <w:sz w:val="24"/>
          <w:szCs w:val="24"/>
        </w:rPr>
        <w:t>工作日起办理相关基金（在该基金已开放赎回业务的情况下）的赎回业务。</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投资者办理定期定额投资业务的变更和终止，须携带本人有效身份证件及相关凭证到原办理该业务网点申请办理，具体办理程序和事宜应遵循杭州银行股份有限公司平台的有关规定。</w:t>
      </w:r>
    </w:p>
    <w:p w:rsidR="00B05111" w:rsidRDefault="00B05111">
      <w:pPr>
        <w:spacing w:line="360" w:lineRule="auto"/>
        <w:ind w:firstLineChars="200" w:firstLine="480"/>
        <w:rPr>
          <w:rFonts w:asciiTheme="minorEastAsia" w:hAnsiTheme="minorEastAsia"/>
          <w:sz w:val="24"/>
          <w:szCs w:val="24"/>
        </w:rPr>
      </w:pPr>
    </w:p>
    <w:p w:rsidR="00B05111" w:rsidRDefault="00801FF9">
      <w:pPr>
        <w:spacing w:line="360" w:lineRule="auto"/>
        <w:rPr>
          <w:rFonts w:asciiTheme="minorEastAsia" w:hAnsiTheme="minorEastAsia"/>
          <w:b/>
          <w:sz w:val="24"/>
          <w:szCs w:val="24"/>
        </w:rPr>
      </w:pPr>
      <w:r>
        <w:rPr>
          <w:rFonts w:asciiTheme="minorEastAsia" w:hAnsiTheme="minorEastAsia" w:hint="eastAsia"/>
          <w:b/>
          <w:sz w:val="24"/>
          <w:szCs w:val="24"/>
        </w:rPr>
        <w:t>三、基金转换业务及其</w:t>
      </w:r>
      <w:r>
        <w:rPr>
          <w:rFonts w:asciiTheme="minorEastAsia" w:hAnsiTheme="minorEastAsia" w:hint="eastAsia"/>
          <w:b/>
          <w:sz w:val="24"/>
          <w:szCs w:val="24"/>
        </w:rPr>
        <w:t>规则</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B05111" w:rsidRDefault="00801FF9">
      <w:pPr>
        <w:spacing w:line="360" w:lineRule="auto"/>
        <w:ind w:firstLineChars="196" w:firstLine="472"/>
        <w:rPr>
          <w:b/>
          <w:sz w:val="24"/>
        </w:rPr>
      </w:pPr>
      <w:r>
        <w:rPr>
          <w:rFonts w:ascii="宋体" w:hAnsi="宋体"/>
          <w:b/>
          <w:bCs/>
          <w:sz w:val="24"/>
        </w:rPr>
        <w:t>1</w:t>
      </w:r>
      <w:r>
        <w:rPr>
          <w:rFonts w:ascii="宋体" w:hAnsi="宋体" w:hint="eastAsia"/>
          <w:b/>
          <w:bCs/>
          <w:sz w:val="24"/>
        </w:rPr>
        <w:t>、</w:t>
      </w:r>
      <w:r>
        <w:rPr>
          <w:rFonts w:ascii="宋体" w:hAnsi="宋体"/>
          <w:b/>
          <w:bCs/>
          <w:sz w:val="24"/>
        </w:rPr>
        <w:t>转换费率</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基金转换费用由补差费和转出费两部分构成，具体收取情况视每次转换时两只基金的申购费率差异情况和转出基金的赎回费率而定。</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基金转换费用的具体计算公式如下：</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）转换费用</w:t>
      </w:r>
      <w:r>
        <w:rPr>
          <w:rFonts w:asciiTheme="minorEastAsia" w:hAnsiTheme="minorEastAsia" w:hint="eastAsia"/>
          <w:sz w:val="24"/>
          <w:szCs w:val="24"/>
        </w:rPr>
        <w:t>=</w:t>
      </w:r>
      <w:r>
        <w:rPr>
          <w:rFonts w:asciiTheme="minorEastAsia" w:hAnsiTheme="minorEastAsia" w:hint="eastAsia"/>
          <w:sz w:val="24"/>
          <w:szCs w:val="24"/>
        </w:rPr>
        <w:t>转出费</w:t>
      </w:r>
      <w:r>
        <w:rPr>
          <w:rFonts w:asciiTheme="minorEastAsia" w:hAnsiTheme="minorEastAsia"/>
          <w:sz w:val="24"/>
          <w:szCs w:val="24"/>
        </w:rPr>
        <w:t>+</w:t>
      </w:r>
      <w:r>
        <w:rPr>
          <w:rFonts w:asciiTheme="minorEastAsia" w:hAnsiTheme="minorEastAsia" w:hint="eastAsia"/>
          <w:sz w:val="24"/>
          <w:szCs w:val="24"/>
        </w:rPr>
        <w:t>补差费</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sz w:val="24"/>
          <w:szCs w:val="24"/>
        </w:rPr>
        <w:t>2</w:t>
      </w:r>
      <w:r>
        <w:rPr>
          <w:rFonts w:asciiTheme="minorEastAsia" w:hAnsiTheme="minorEastAsia" w:hint="eastAsia"/>
          <w:sz w:val="24"/>
          <w:szCs w:val="24"/>
        </w:rPr>
        <w:t>）转出费</w:t>
      </w:r>
      <w:r>
        <w:rPr>
          <w:rFonts w:asciiTheme="minorEastAsia" w:hAnsiTheme="minorEastAsia"/>
          <w:sz w:val="24"/>
          <w:szCs w:val="24"/>
        </w:rPr>
        <w:t>=</w:t>
      </w:r>
      <w:r>
        <w:rPr>
          <w:rFonts w:asciiTheme="minorEastAsia" w:hAnsiTheme="minorEastAsia" w:hint="eastAsia"/>
          <w:sz w:val="24"/>
          <w:szCs w:val="24"/>
        </w:rPr>
        <w:t>转出金额×转出基金赎回费率</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）转出金额</w:t>
      </w:r>
      <w:r>
        <w:rPr>
          <w:rFonts w:asciiTheme="minorEastAsia" w:hAnsiTheme="minorEastAsia"/>
          <w:sz w:val="24"/>
          <w:szCs w:val="24"/>
        </w:rPr>
        <w:t>=</w:t>
      </w:r>
      <w:r>
        <w:rPr>
          <w:rFonts w:asciiTheme="minorEastAsia" w:hAnsiTheme="minorEastAsia" w:hint="eastAsia"/>
          <w:sz w:val="24"/>
          <w:szCs w:val="24"/>
        </w:rPr>
        <w:t>转出基金份额×转出基金当日基金份额净值</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）补差费</w:t>
      </w:r>
      <w:r>
        <w:rPr>
          <w:rFonts w:asciiTheme="minorEastAsia" w:hAnsiTheme="minorEastAsia"/>
          <w:sz w:val="24"/>
          <w:szCs w:val="24"/>
        </w:rPr>
        <w:t>=Max</w:t>
      </w:r>
      <w:r>
        <w:rPr>
          <w:rFonts w:asciiTheme="minorEastAsia" w:hAnsiTheme="minorEastAsia" w:hint="eastAsia"/>
          <w:sz w:val="24"/>
          <w:szCs w:val="24"/>
        </w:rPr>
        <w:t>（｛转出净金额×转入基金的申购费率</w:t>
      </w:r>
      <w:r>
        <w:rPr>
          <w:rFonts w:asciiTheme="minorEastAsia" w:hAnsiTheme="minorEastAsia"/>
          <w:sz w:val="24"/>
          <w:szCs w:val="24"/>
        </w:rPr>
        <w:t>/(1+</w:t>
      </w:r>
      <w:r>
        <w:rPr>
          <w:rFonts w:asciiTheme="minorEastAsia" w:hAnsiTheme="minorEastAsia" w:hint="eastAsia"/>
          <w:sz w:val="24"/>
          <w:szCs w:val="24"/>
        </w:rPr>
        <w:t>转入基金的申购费率</w:t>
      </w:r>
      <w:r>
        <w:rPr>
          <w:rFonts w:asciiTheme="minorEastAsia" w:hAnsiTheme="minorEastAsia"/>
          <w:sz w:val="24"/>
          <w:szCs w:val="24"/>
        </w:rPr>
        <w:t xml:space="preserve">) </w:t>
      </w:r>
      <w:r>
        <w:rPr>
          <w:rFonts w:asciiTheme="minorEastAsia" w:hAnsiTheme="minorEastAsia" w:hint="eastAsia"/>
          <w:sz w:val="24"/>
          <w:szCs w:val="24"/>
        </w:rPr>
        <w:t>｝－｛转出净金额×转出基金的申购费率</w:t>
      </w:r>
      <w:r>
        <w:rPr>
          <w:rFonts w:asciiTheme="minorEastAsia" w:hAnsiTheme="minorEastAsia"/>
          <w:sz w:val="24"/>
          <w:szCs w:val="24"/>
        </w:rPr>
        <w:t>/(1+</w:t>
      </w:r>
      <w:r>
        <w:rPr>
          <w:rFonts w:asciiTheme="minorEastAsia" w:hAnsiTheme="minorEastAsia" w:hint="eastAsia"/>
          <w:sz w:val="24"/>
          <w:szCs w:val="24"/>
        </w:rPr>
        <w:t>转出基金的申购费率</w:t>
      </w: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0</w:t>
      </w:r>
      <w:r>
        <w:rPr>
          <w:rFonts w:asciiTheme="minorEastAsia" w:hAnsiTheme="minorEastAsia" w:hint="eastAsia"/>
          <w:sz w:val="24"/>
          <w:szCs w:val="24"/>
        </w:rPr>
        <w:t>）</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）转入净金额</w:t>
      </w:r>
      <w:r>
        <w:rPr>
          <w:rFonts w:asciiTheme="minorEastAsia" w:hAnsiTheme="minorEastAsia"/>
          <w:sz w:val="24"/>
          <w:szCs w:val="24"/>
        </w:rPr>
        <w:t>=</w:t>
      </w:r>
      <w:r>
        <w:rPr>
          <w:rFonts w:asciiTheme="minorEastAsia" w:hAnsiTheme="minorEastAsia" w:hint="eastAsia"/>
          <w:sz w:val="24"/>
          <w:szCs w:val="24"/>
        </w:rPr>
        <w:t>转出金额</w:t>
      </w:r>
      <w:r>
        <w:rPr>
          <w:rFonts w:asciiTheme="minorEastAsia" w:hAnsiTheme="minorEastAsia"/>
          <w:sz w:val="24"/>
          <w:szCs w:val="24"/>
        </w:rPr>
        <w:t>-</w:t>
      </w:r>
      <w:r>
        <w:rPr>
          <w:rFonts w:asciiTheme="minorEastAsia" w:hAnsiTheme="minorEastAsia" w:hint="eastAsia"/>
          <w:sz w:val="24"/>
          <w:szCs w:val="24"/>
        </w:rPr>
        <w:t>转换费用</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）转出净金额</w:t>
      </w:r>
      <w:r>
        <w:rPr>
          <w:rFonts w:asciiTheme="minorEastAsia" w:hAnsiTheme="minorEastAsia"/>
          <w:sz w:val="24"/>
          <w:szCs w:val="24"/>
        </w:rPr>
        <w:t>=</w:t>
      </w:r>
      <w:r>
        <w:rPr>
          <w:rFonts w:asciiTheme="minorEastAsia" w:hAnsiTheme="minorEastAsia" w:hint="eastAsia"/>
          <w:sz w:val="24"/>
          <w:szCs w:val="24"/>
        </w:rPr>
        <w:t>转出基金份额×转出基金当日基金份额净值×（</w:t>
      </w:r>
      <w:r>
        <w:rPr>
          <w:rFonts w:asciiTheme="minorEastAsia" w:hAnsiTheme="minorEastAsia"/>
          <w:sz w:val="24"/>
          <w:szCs w:val="24"/>
        </w:rPr>
        <w:t>1</w:t>
      </w:r>
      <w:r>
        <w:rPr>
          <w:rFonts w:asciiTheme="minorEastAsia" w:hAnsiTheme="minorEastAsia" w:hint="eastAsia"/>
          <w:sz w:val="24"/>
          <w:szCs w:val="24"/>
        </w:rPr>
        <w:t>－转出基金赎回费率）</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）转入份额</w:t>
      </w:r>
      <w:r>
        <w:rPr>
          <w:rFonts w:asciiTheme="minorEastAsia" w:hAnsiTheme="minorEastAsia"/>
          <w:sz w:val="24"/>
          <w:szCs w:val="24"/>
        </w:rPr>
        <w:t>=</w:t>
      </w:r>
      <w:r>
        <w:rPr>
          <w:rFonts w:asciiTheme="minorEastAsia" w:hAnsiTheme="minorEastAsia" w:hint="eastAsia"/>
          <w:sz w:val="24"/>
          <w:szCs w:val="24"/>
        </w:rPr>
        <w:t>转入净金额</w:t>
      </w:r>
      <w:r>
        <w:rPr>
          <w:rFonts w:asciiTheme="minorEastAsia" w:hAnsiTheme="minorEastAsia"/>
          <w:sz w:val="24"/>
          <w:szCs w:val="24"/>
        </w:rPr>
        <w:t>/</w:t>
      </w:r>
      <w:r>
        <w:rPr>
          <w:rFonts w:asciiTheme="minorEastAsia" w:hAnsiTheme="minorEastAsia" w:hint="eastAsia"/>
          <w:sz w:val="24"/>
          <w:szCs w:val="24"/>
        </w:rPr>
        <w:t>转入基金当日基金份额净值</w:t>
      </w:r>
    </w:p>
    <w:p w:rsidR="00B05111" w:rsidRDefault="00801FF9">
      <w:pPr>
        <w:spacing w:line="360" w:lineRule="auto"/>
        <w:ind w:firstLineChars="200" w:firstLine="482"/>
        <w:rPr>
          <w:rFonts w:asciiTheme="minorEastAsia" w:hAnsiTheme="minorEastAsia"/>
          <w:b/>
          <w:sz w:val="24"/>
          <w:szCs w:val="24"/>
        </w:rPr>
      </w:pPr>
      <w:r>
        <w:rPr>
          <w:rFonts w:asciiTheme="minorEastAsia" w:hAnsiTheme="minorEastAsia"/>
          <w:b/>
          <w:sz w:val="24"/>
          <w:szCs w:val="24"/>
        </w:rPr>
        <w:t>2</w:t>
      </w:r>
      <w:r>
        <w:rPr>
          <w:rFonts w:asciiTheme="minorEastAsia" w:hAnsiTheme="minorEastAsia"/>
          <w:b/>
          <w:sz w:val="24"/>
          <w:szCs w:val="24"/>
        </w:rPr>
        <w:t>、适用基金范围</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基金转换业务适用于本公司募集管理并且在本公司注册登记的下列基金，投资者可以在杭州银行股份有限公司申请办理下列基金的转换业务：</w:t>
      </w:r>
      <w:r>
        <w:rPr>
          <w:rFonts w:asciiTheme="minorEastAsia" w:hAnsiTheme="minorEastAsia" w:hint="eastAsia"/>
          <w:sz w:val="24"/>
          <w:szCs w:val="24"/>
        </w:rPr>
        <w:t xml:space="preserve"> </w:t>
      </w:r>
    </w:p>
    <w:p w:rsidR="00B05111" w:rsidRDefault="00801FF9">
      <w:pPr>
        <w:pStyle w:val="ab"/>
        <w:numPr>
          <w:ilvl w:val="0"/>
          <w:numId w:val="1"/>
        </w:numPr>
        <w:spacing w:line="360" w:lineRule="auto"/>
        <w:ind w:firstLineChars="0"/>
        <w:outlineLvl w:val="0"/>
        <w:rPr>
          <w:rFonts w:asciiTheme="minorEastAsia" w:hAnsiTheme="minorEastAsia"/>
          <w:sz w:val="24"/>
          <w:szCs w:val="24"/>
        </w:rPr>
      </w:pPr>
      <w:r>
        <w:rPr>
          <w:rFonts w:asciiTheme="minorEastAsia" w:hAnsiTheme="minorEastAsia" w:hint="eastAsia"/>
          <w:sz w:val="24"/>
          <w:szCs w:val="24"/>
        </w:rPr>
        <w:t>太平日日鑫货币市场基金（基金简称：太平日日鑫；</w:t>
      </w:r>
      <w:r>
        <w:rPr>
          <w:rFonts w:asciiTheme="minorEastAsia" w:hAnsiTheme="minorEastAsia" w:hint="eastAsia"/>
          <w:sz w:val="24"/>
          <w:szCs w:val="24"/>
        </w:rPr>
        <w:t>A</w:t>
      </w:r>
      <w:r>
        <w:rPr>
          <w:rFonts w:asciiTheme="minorEastAsia" w:hAnsiTheme="minorEastAsia" w:hint="eastAsia"/>
          <w:sz w:val="24"/>
          <w:szCs w:val="24"/>
        </w:rPr>
        <w:t>类份额基金代码：</w:t>
      </w:r>
      <w:r>
        <w:rPr>
          <w:rFonts w:asciiTheme="minorEastAsia" w:hAnsiTheme="minorEastAsia" w:hint="eastAsia"/>
          <w:sz w:val="24"/>
          <w:szCs w:val="24"/>
        </w:rPr>
        <w:t>004330</w:t>
      </w:r>
      <w:r>
        <w:rPr>
          <w:rFonts w:asciiTheme="minorEastAsia" w:hAnsiTheme="minorEastAsia" w:hint="eastAsia"/>
          <w:sz w:val="24"/>
          <w:szCs w:val="24"/>
        </w:rPr>
        <w:t>，</w:t>
      </w:r>
      <w:r>
        <w:rPr>
          <w:rFonts w:asciiTheme="minorEastAsia" w:hAnsiTheme="minorEastAsia" w:hint="eastAsia"/>
          <w:sz w:val="24"/>
          <w:szCs w:val="24"/>
        </w:rPr>
        <w:t>B</w:t>
      </w:r>
      <w:r>
        <w:rPr>
          <w:rFonts w:asciiTheme="minorEastAsia" w:hAnsiTheme="minorEastAsia" w:hint="eastAsia"/>
          <w:sz w:val="24"/>
          <w:szCs w:val="24"/>
        </w:rPr>
        <w:t>类份额基金代码：</w:t>
      </w:r>
      <w:r>
        <w:rPr>
          <w:rFonts w:asciiTheme="minorEastAsia" w:hAnsiTheme="minorEastAsia" w:hint="eastAsia"/>
          <w:sz w:val="24"/>
          <w:szCs w:val="24"/>
        </w:rPr>
        <w:t>004331</w:t>
      </w:r>
      <w:r>
        <w:rPr>
          <w:rFonts w:asciiTheme="minorEastAsia" w:hAnsiTheme="minorEastAsia" w:hint="eastAsia"/>
          <w:sz w:val="24"/>
          <w:szCs w:val="24"/>
        </w:rPr>
        <w:t>）；</w:t>
      </w:r>
    </w:p>
    <w:p w:rsidR="00B05111" w:rsidRDefault="00801FF9">
      <w:pPr>
        <w:pStyle w:val="ab"/>
        <w:numPr>
          <w:ilvl w:val="0"/>
          <w:numId w:val="1"/>
        </w:numPr>
        <w:spacing w:line="360" w:lineRule="auto"/>
        <w:ind w:firstLineChars="0"/>
        <w:outlineLvl w:val="0"/>
        <w:rPr>
          <w:rFonts w:asciiTheme="minorEastAsia" w:hAnsiTheme="minorEastAsia"/>
          <w:sz w:val="24"/>
          <w:szCs w:val="24"/>
        </w:rPr>
      </w:pPr>
      <w:r>
        <w:rPr>
          <w:rFonts w:asciiTheme="minorEastAsia" w:hAnsiTheme="minorEastAsia" w:hint="eastAsia"/>
          <w:sz w:val="24"/>
          <w:szCs w:val="24"/>
        </w:rPr>
        <w:t>太平恒兴纯债债券型证券投资基金（基金简称：太平恒兴纯债；基金代码：</w:t>
      </w:r>
      <w:r>
        <w:rPr>
          <w:rFonts w:asciiTheme="minorEastAsia" w:hAnsiTheme="minorEastAsia"/>
          <w:sz w:val="24"/>
          <w:szCs w:val="24"/>
        </w:rPr>
        <w:t>014055</w:t>
      </w:r>
      <w:r>
        <w:rPr>
          <w:rFonts w:asciiTheme="minorEastAsia" w:hAnsiTheme="minorEastAsia" w:hint="eastAsia"/>
          <w:sz w:val="24"/>
          <w:szCs w:val="24"/>
        </w:rPr>
        <w:t>）</w:t>
      </w:r>
    </w:p>
    <w:p w:rsidR="00B05111" w:rsidRDefault="00801FF9">
      <w:pPr>
        <w:pStyle w:val="ab"/>
        <w:numPr>
          <w:ilvl w:val="0"/>
          <w:numId w:val="1"/>
        </w:numPr>
        <w:spacing w:line="360" w:lineRule="auto"/>
        <w:ind w:firstLineChars="0"/>
        <w:outlineLvl w:val="0"/>
        <w:rPr>
          <w:rFonts w:asciiTheme="minorEastAsia" w:hAnsiTheme="minorEastAsia"/>
          <w:sz w:val="24"/>
          <w:szCs w:val="24"/>
        </w:rPr>
      </w:pPr>
      <w:r>
        <w:rPr>
          <w:rFonts w:asciiTheme="minorEastAsia" w:hAnsiTheme="minorEastAsia" w:hint="eastAsia"/>
          <w:sz w:val="24"/>
          <w:szCs w:val="24"/>
        </w:rPr>
        <w:t>太平恒久纯债债基型证劵投资基金（基金简称：太平恒久纯债；基金代码：</w:t>
      </w:r>
      <w:r>
        <w:rPr>
          <w:rFonts w:asciiTheme="minorEastAsia" w:hAnsiTheme="minorEastAsia" w:hint="eastAsia"/>
          <w:sz w:val="24"/>
          <w:szCs w:val="24"/>
        </w:rPr>
        <w:t>010476</w:t>
      </w:r>
      <w:r>
        <w:rPr>
          <w:rFonts w:asciiTheme="minorEastAsia" w:hAnsiTheme="minorEastAsia" w:hint="eastAsia"/>
          <w:sz w:val="24"/>
          <w:szCs w:val="24"/>
        </w:rPr>
        <w:t>）</w:t>
      </w:r>
    </w:p>
    <w:p w:rsidR="00B05111" w:rsidRDefault="00801FF9">
      <w:pPr>
        <w:spacing w:line="360" w:lineRule="auto"/>
        <w:ind w:firstLineChars="200" w:firstLine="482"/>
        <w:rPr>
          <w:rFonts w:asciiTheme="minorEastAsia" w:hAnsiTheme="minorEastAsia"/>
          <w:b/>
          <w:sz w:val="24"/>
          <w:szCs w:val="24"/>
        </w:rPr>
      </w:pPr>
      <w:r>
        <w:rPr>
          <w:rFonts w:asciiTheme="minorEastAsia" w:hAnsiTheme="minorEastAsia"/>
          <w:b/>
          <w:sz w:val="24"/>
          <w:szCs w:val="24"/>
        </w:rPr>
        <w:t>3</w:t>
      </w:r>
      <w:r>
        <w:rPr>
          <w:rFonts w:asciiTheme="minorEastAsia" w:hAnsiTheme="minorEastAsia"/>
          <w:b/>
          <w:sz w:val="24"/>
          <w:szCs w:val="24"/>
        </w:rPr>
        <w:t>、转换限额</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投资者在办理转换业务时，单笔转换基金份额不得低于</w:t>
      </w:r>
      <w:r>
        <w:rPr>
          <w:rFonts w:asciiTheme="minorEastAsia" w:hAnsiTheme="minorEastAsia" w:hint="eastAsia"/>
          <w:sz w:val="24"/>
          <w:szCs w:val="24"/>
        </w:rPr>
        <w:t>100</w:t>
      </w:r>
      <w:r>
        <w:rPr>
          <w:rFonts w:asciiTheme="minorEastAsia" w:hAnsiTheme="minorEastAsia" w:hint="eastAsia"/>
          <w:sz w:val="24"/>
          <w:szCs w:val="24"/>
        </w:rPr>
        <w:t>份，销售机构有不同规定的，投资者在销售</w:t>
      </w:r>
      <w:r>
        <w:rPr>
          <w:rFonts w:asciiTheme="minorEastAsia" w:hAnsiTheme="minorEastAsia" w:hint="eastAsia"/>
          <w:sz w:val="24"/>
          <w:szCs w:val="24"/>
        </w:rPr>
        <w:t>机构办理相关业务时，需遵循该销售机构的相关规定。单一投资者转换转入后持有的基金份额不得达到或超过基金总份额的</w:t>
      </w:r>
      <w:r>
        <w:rPr>
          <w:rFonts w:asciiTheme="minorEastAsia" w:hAnsiTheme="minorEastAsia" w:hint="eastAsia"/>
          <w:sz w:val="24"/>
          <w:szCs w:val="24"/>
        </w:rPr>
        <w:t>50%</w:t>
      </w:r>
      <w:r>
        <w:rPr>
          <w:rFonts w:asciiTheme="minorEastAsia" w:hAnsiTheme="minorEastAsia" w:hint="eastAsia"/>
          <w:sz w:val="24"/>
          <w:szCs w:val="24"/>
        </w:rPr>
        <w:t>。基金管理人可以依照相关法律法规以及基金合同的约定，暂停或者拒绝接受一定金额以上的转换转入申请。</w:t>
      </w:r>
    </w:p>
    <w:p w:rsidR="00B05111" w:rsidRDefault="00801FF9">
      <w:pPr>
        <w:spacing w:line="360" w:lineRule="auto"/>
        <w:ind w:firstLineChars="200" w:firstLine="482"/>
        <w:rPr>
          <w:rFonts w:asciiTheme="minorEastAsia" w:hAnsiTheme="minorEastAsia"/>
          <w:b/>
          <w:sz w:val="24"/>
          <w:szCs w:val="24"/>
        </w:rPr>
      </w:pPr>
      <w:r>
        <w:rPr>
          <w:rFonts w:asciiTheme="minorEastAsia" w:hAnsiTheme="minorEastAsia"/>
          <w:b/>
          <w:sz w:val="24"/>
          <w:szCs w:val="24"/>
        </w:rPr>
        <w:t>4</w:t>
      </w:r>
      <w:r>
        <w:rPr>
          <w:rFonts w:asciiTheme="minorEastAsia" w:hAnsiTheme="minorEastAsia"/>
          <w:b/>
          <w:sz w:val="24"/>
          <w:szCs w:val="24"/>
        </w:rPr>
        <w:t>、转换业务规则</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基金转换只能在同一销售机构办理，且该销售机构同时代理转出基金及转入基金的销售。</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基金转换，以申请当日基金份额净值为基础计算。投资者采用“份额转换”的原则提交申请，基金转换遵循“先进先出”的原则。</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投资者办理基金转换业务时，转出的基金必须处于可赎回状态，转入的基金必须处于可申购状态，</w:t>
      </w:r>
      <w:r>
        <w:rPr>
          <w:rFonts w:asciiTheme="minorEastAsia" w:hAnsiTheme="minorEastAsia" w:hint="eastAsia"/>
          <w:sz w:val="24"/>
          <w:szCs w:val="24"/>
        </w:rPr>
        <w:t>已经冻结的基金份额不得申请基金转换。</w:t>
      </w:r>
    </w:p>
    <w:p w:rsidR="00B05111" w:rsidRDefault="00801FF9">
      <w:pPr>
        <w:spacing w:line="360" w:lineRule="auto"/>
        <w:ind w:firstLineChars="200" w:firstLine="482"/>
        <w:rPr>
          <w:rFonts w:asciiTheme="minorEastAsia" w:hAnsiTheme="minorEastAsia"/>
          <w:b/>
          <w:sz w:val="24"/>
          <w:szCs w:val="24"/>
        </w:rPr>
      </w:pPr>
      <w:r>
        <w:rPr>
          <w:rFonts w:asciiTheme="minorEastAsia" w:hAnsiTheme="minorEastAsia"/>
          <w:b/>
          <w:sz w:val="24"/>
          <w:szCs w:val="24"/>
        </w:rPr>
        <w:t>5</w:t>
      </w:r>
      <w:r>
        <w:rPr>
          <w:rFonts w:asciiTheme="minorEastAsia" w:hAnsiTheme="minorEastAsia"/>
          <w:b/>
          <w:sz w:val="24"/>
          <w:szCs w:val="24"/>
        </w:rPr>
        <w:t>、交易确认</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Pr>
          <w:rFonts w:asciiTheme="minorEastAsia" w:hAnsiTheme="minorEastAsia"/>
          <w:sz w:val="24"/>
          <w:szCs w:val="24"/>
        </w:rPr>
        <w:t>T</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日。</w:t>
      </w:r>
    </w:p>
    <w:p w:rsidR="00B05111" w:rsidRDefault="00B05111">
      <w:pPr>
        <w:spacing w:line="360" w:lineRule="auto"/>
        <w:ind w:firstLineChars="150" w:firstLine="360"/>
        <w:rPr>
          <w:rFonts w:asciiTheme="minorEastAsia" w:hAnsiTheme="minorEastAsia"/>
          <w:sz w:val="24"/>
          <w:szCs w:val="24"/>
        </w:rPr>
      </w:pPr>
    </w:p>
    <w:p w:rsidR="00B05111" w:rsidRDefault="00801FF9">
      <w:pPr>
        <w:spacing w:line="360" w:lineRule="auto"/>
        <w:rPr>
          <w:rFonts w:asciiTheme="minorEastAsia" w:hAnsiTheme="minorEastAsia"/>
          <w:b/>
          <w:sz w:val="24"/>
          <w:szCs w:val="24"/>
        </w:rPr>
      </w:pPr>
      <w:r>
        <w:rPr>
          <w:rFonts w:asciiTheme="minorEastAsia" w:hAnsiTheme="minorEastAsia" w:hint="eastAsia"/>
          <w:b/>
          <w:sz w:val="24"/>
          <w:szCs w:val="24"/>
        </w:rPr>
        <w:t>四、费率优惠</w:t>
      </w:r>
    </w:p>
    <w:p w:rsidR="00B05111" w:rsidRDefault="00801FF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、费率优惠内容</w:t>
      </w:r>
    </w:p>
    <w:p w:rsidR="00B05111" w:rsidRDefault="00801FF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自</w:t>
      </w:r>
      <w:r>
        <w:rPr>
          <w:rFonts w:asciiTheme="minorEastAsia" w:hAnsiTheme="minorEastAsia" w:hint="eastAsia"/>
          <w:sz w:val="24"/>
          <w:szCs w:val="24"/>
        </w:rPr>
        <w:t>202</w:t>
      </w:r>
      <w:r>
        <w:rPr>
          <w:rFonts w:asciiTheme="minorEastAsia" w:hAnsiTheme="minorEastAsia" w:hint="eastAsia"/>
          <w:sz w:val="24"/>
          <w:szCs w:val="24"/>
        </w:rPr>
        <w:t>4</w:t>
      </w:r>
      <w:r>
        <w:rPr>
          <w:rFonts w:asciiTheme="minorEastAsia" w:hAnsiTheme="minorEastAsia" w:hint="eastAsia"/>
          <w:sz w:val="24"/>
          <w:szCs w:val="24"/>
        </w:rPr>
        <w:t>年</w:t>
      </w:r>
      <w:r>
        <w:rPr>
          <w:rFonts w:asciiTheme="minorEastAsia" w:hAnsiTheme="minorEastAsia"/>
          <w:sz w:val="24"/>
          <w:szCs w:val="24"/>
        </w:rPr>
        <w:t>1</w:t>
      </w:r>
      <w:r>
        <w:rPr>
          <w:rFonts w:asciiTheme="minorEastAsia" w:hAnsiTheme="minorEastAsia" w:hint="eastAsia"/>
          <w:sz w:val="24"/>
          <w:szCs w:val="24"/>
        </w:rPr>
        <w:t>2</w:t>
      </w:r>
      <w:r>
        <w:rPr>
          <w:rFonts w:asciiTheme="minorEastAsia" w:hAnsiTheme="minorEastAsia" w:hint="eastAsia"/>
          <w:sz w:val="24"/>
          <w:szCs w:val="24"/>
        </w:rPr>
        <w:t>月</w:t>
      </w:r>
      <w:r>
        <w:rPr>
          <w:rFonts w:asciiTheme="minorEastAsia" w:hAnsiTheme="minorEastAsia" w:hint="eastAsia"/>
          <w:sz w:val="24"/>
          <w:szCs w:val="24"/>
        </w:rPr>
        <w:t>10</w:t>
      </w:r>
      <w:r>
        <w:rPr>
          <w:rFonts w:asciiTheme="minorEastAsia" w:hAnsiTheme="minorEastAsia" w:hint="eastAsia"/>
          <w:sz w:val="24"/>
          <w:szCs w:val="24"/>
        </w:rPr>
        <w:t>日起，本公司将不对本公告所列基金参加杭州银行股份有限公司平台申（认）购费率优惠活动（含定期定额投资）设折扣限制，具体优惠费率以杭州银行股份有限公司官方公告为准。基金原费率详见基金合同、招募说明书及其更新、基金产品资料概要及其更新等法律文件，以及本公司发布的最新业务公告。</w:t>
      </w:r>
    </w:p>
    <w:p w:rsidR="00B05111" w:rsidRDefault="00801FF9">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费率优惠期间，若本公司新增通过杭州银行股份有限公司销售的基金产品（具体详见本公司网站），则自该基金产品开放申（认）购或定期定额申购当日起，将同时开通该基金上述费率优惠活动。</w:t>
      </w:r>
    </w:p>
    <w:p w:rsidR="00B05111" w:rsidRDefault="00801FF9">
      <w:pPr>
        <w:spacing w:line="360" w:lineRule="auto"/>
        <w:jc w:val="left"/>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hint="eastAsia"/>
          <w:b/>
          <w:sz w:val="24"/>
          <w:szCs w:val="24"/>
        </w:rPr>
        <w:t>、费率优惠期限</w:t>
      </w:r>
      <w:r>
        <w:rPr>
          <w:rFonts w:asciiTheme="minorEastAsia" w:hAnsiTheme="minorEastAsia" w:hint="eastAsia"/>
          <w:b/>
          <w:sz w:val="24"/>
          <w:szCs w:val="24"/>
        </w:rPr>
        <w:t xml:space="preserve"> </w:t>
      </w:r>
    </w:p>
    <w:p w:rsidR="00B05111" w:rsidRDefault="00801FF9">
      <w:pPr>
        <w:spacing w:line="360" w:lineRule="auto"/>
        <w:ind w:firstLine="420"/>
        <w:jc w:val="left"/>
        <w:rPr>
          <w:rFonts w:asciiTheme="minorEastAsia" w:hAnsiTheme="minorEastAsia"/>
          <w:sz w:val="24"/>
          <w:szCs w:val="24"/>
        </w:rPr>
      </w:pPr>
      <w:r>
        <w:rPr>
          <w:rFonts w:asciiTheme="minorEastAsia" w:hAnsiTheme="minorEastAsia" w:hint="eastAsia"/>
          <w:sz w:val="24"/>
          <w:szCs w:val="24"/>
        </w:rPr>
        <w:t>具体以杭州银行股份有限公司官方网站所示公告为准</w:t>
      </w:r>
      <w:r>
        <w:rPr>
          <w:rFonts w:asciiTheme="minorEastAsia" w:hAnsiTheme="minorEastAsia" w:hint="eastAsia"/>
          <w:sz w:val="24"/>
          <w:szCs w:val="24"/>
        </w:rPr>
        <w:t>。</w:t>
      </w:r>
    </w:p>
    <w:p w:rsidR="00B05111" w:rsidRDefault="00B05111">
      <w:pPr>
        <w:spacing w:line="360" w:lineRule="auto"/>
        <w:ind w:firstLineChars="200" w:firstLine="480"/>
        <w:rPr>
          <w:rFonts w:asciiTheme="minorEastAsia" w:hAnsiTheme="minorEastAsia"/>
          <w:sz w:val="24"/>
          <w:szCs w:val="24"/>
        </w:rPr>
      </w:pPr>
    </w:p>
    <w:p w:rsidR="00B05111" w:rsidRDefault="00801FF9">
      <w:pPr>
        <w:spacing w:line="360" w:lineRule="auto"/>
        <w:rPr>
          <w:rFonts w:asciiTheme="minorEastAsia" w:hAnsiTheme="minorEastAsia"/>
          <w:b/>
          <w:sz w:val="24"/>
          <w:szCs w:val="24"/>
        </w:rPr>
      </w:pPr>
      <w:r>
        <w:rPr>
          <w:rFonts w:asciiTheme="minorEastAsia" w:hAnsiTheme="minorEastAsia" w:hint="eastAsia"/>
          <w:b/>
          <w:sz w:val="24"/>
          <w:szCs w:val="24"/>
        </w:rPr>
        <w:t>五、投资者可通过以下途径了解或咨询有关详情：</w:t>
      </w:r>
    </w:p>
    <w:p w:rsidR="00B05111" w:rsidRDefault="00801FF9">
      <w:pPr>
        <w:spacing w:line="360" w:lineRule="auto"/>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、杭州银行股份有限公司</w:t>
      </w:r>
    </w:p>
    <w:p w:rsidR="00B05111" w:rsidRDefault="00801FF9">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客户服务电话：</w:t>
      </w:r>
      <w:r>
        <w:rPr>
          <w:rFonts w:asciiTheme="minorEastAsia" w:hAnsiTheme="minorEastAsia" w:hint="eastAsia"/>
          <w:sz w:val="24"/>
          <w:szCs w:val="24"/>
        </w:rPr>
        <w:t>95398/400-8888-508</w:t>
      </w:r>
    </w:p>
    <w:p w:rsidR="00B05111" w:rsidRDefault="00801FF9">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公司网站：</w:t>
      </w:r>
      <w:r>
        <w:rPr>
          <w:rFonts w:asciiTheme="minorEastAsia" w:hAnsiTheme="minorEastAsia" w:hint="eastAsia"/>
          <w:sz w:val="24"/>
          <w:szCs w:val="24"/>
        </w:rPr>
        <w:t>http</w:t>
      </w:r>
      <w:r>
        <w:rPr>
          <w:rFonts w:asciiTheme="minorEastAsia" w:hAnsiTheme="minorEastAsia" w:hint="eastAsia"/>
          <w:sz w:val="24"/>
          <w:szCs w:val="24"/>
        </w:rPr>
        <w:t>：</w:t>
      </w:r>
      <w:r>
        <w:rPr>
          <w:rFonts w:asciiTheme="minorEastAsia" w:hAnsiTheme="minorEastAsia" w:hint="eastAsia"/>
          <w:sz w:val="24"/>
          <w:szCs w:val="24"/>
        </w:rPr>
        <w:t>//www.hzbank.com.cn/</w:t>
      </w:r>
    </w:p>
    <w:p w:rsidR="00B05111" w:rsidRDefault="00801FF9">
      <w:pPr>
        <w:spacing w:line="360" w:lineRule="auto"/>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、太平基金管理有限公司</w:t>
      </w:r>
    </w:p>
    <w:p w:rsidR="00B05111" w:rsidRDefault="00801FF9">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客户服务电话：</w:t>
      </w:r>
      <w:r>
        <w:rPr>
          <w:rFonts w:asciiTheme="minorEastAsia" w:hAnsiTheme="minorEastAsia" w:hint="eastAsia"/>
          <w:sz w:val="24"/>
          <w:szCs w:val="24"/>
        </w:rPr>
        <w:t>400-028-8699</w:t>
      </w:r>
      <w:r>
        <w:rPr>
          <w:rFonts w:asciiTheme="minorEastAsia" w:hAnsiTheme="minorEastAsia" w:hint="eastAsia"/>
          <w:sz w:val="24"/>
          <w:szCs w:val="24"/>
        </w:rPr>
        <w:t>或</w:t>
      </w:r>
      <w:r>
        <w:rPr>
          <w:rFonts w:asciiTheme="minorEastAsia" w:hAnsiTheme="minorEastAsia" w:hint="eastAsia"/>
          <w:sz w:val="24"/>
          <w:szCs w:val="24"/>
        </w:rPr>
        <w:t>021-61560999</w:t>
      </w:r>
    </w:p>
    <w:p w:rsidR="00B05111" w:rsidRDefault="00801FF9">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公司网站：</w:t>
      </w:r>
      <w:hyperlink r:id="rId7" w:history="1">
        <w:r>
          <w:rPr>
            <w:rFonts w:asciiTheme="minorEastAsia" w:hAnsiTheme="minorEastAsia" w:hint="eastAsia"/>
            <w:sz w:val="24"/>
            <w:szCs w:val="24"/>
          </w:rPr>
          <w:t>www.taipingfund.com.cn</w:t>
        </w:r>
      </w:hyperlink>
    </w:p>
    <w:p w:rsidR="00B05111" w:rsidRDefault="00B05111">
      <w:pPr>
        <w:spacing w:line="360" w:lineRule="auto"/>
        <w:ind w:firstLineChars="150" w:firstLine="360"/>
        <w:rPr>
          <w:rFonts w:asciiTheme="minorEastAsia" w:hAnsiTheme="minorEastAsia"/>
          <w:sz w:val="24"/>
          <w:szCs w:val="24"/>
        </w:rPr>
      </w:pPr>
    </w:p>
    <w:p w:rsidR="00B05111" w:rsidRDefault="00801FF9">
      <w:pPr>
        <w:spacing w:line="360" w:lineRule="auto"/>
        <w:rPr>
          <w:rFonts w:asciiTheme="minorEastAsia" w:hAnsiTheme="minorEastAsia"/>
          <w:b/>
          <w:sz w:val="24"/>
          <w:szCs w:val="24"/>
        </w:rPr>
      </w:pPr>
      <w:r>
        <w:rPr>
          <w:rFonts w:asciiTheme="minorEastAsia" w:hAnsiTheme="minorEastAsia" w:hint="eastAsia"/>
          <w:b/>
          <w:sz w:val="24"/>
          <w:szCs w:val="24"/>
        </w:rPr>
        <w:t>六、重要提示</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、投资者办理基金交易等相关业务前，敬请仔细阅读相关基金的基金合同、基金招募说明书及其更新、基金产品资料概要及其更新、提示及相关业务规则和操作指南等文件；</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、上述申购、赎回、转换以及定期定额投资业务仅适用于处于正常申购期及处于特定开放日和开放时间的基金。</w:t>
      </w:r>
      <w:r>
        <w:rPr>
          <w:rFonts w:asciiTheme="minorEastAsia" w:hAnsiTheme="minorEastAsia" w:hint="eastAsia"/>
          <w:b/>
          <w:sz w:val="24"/>
          <w:szCs w:val="24"/>
        </w:rPr>
        <w:t>对于处于基金募集期、封闭期、暂停申购等特殊期间或有其他特殊安排等的有关规定敬请详见对应基金的基金合同和招募说明书等相关法律文件及本公司发布的最新业务公告</w:t>
      </w:r>
      <w:r>
        <w:rPr>
          <w:rFonts w:asciiTheme="minorEastAsia" w:hAnsiTheme="minorEastAsia" w:hint="eastAsia"/>
          <w:sz w:val="24"/>
          <w:szCs w:val="24"/>
        </w:rPr>
        <w:t>；</w:t>
      </w:r>
      <w:r>
        <w:rPr>
          <w:rFonts w:asciiTheme="minorEastAsia" w:hAnsiTheme="minorEastAsia" w:hint="eastAsia"/>
          <w:sz w:val="24"/>
          <w:szCs w:val="24"/>
        </w:rPr>
        <w:t xml:space="preserve"> </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、本公告凡涉及在杭州银行股份有限公司办理认购、申购、转换或定期定额投资等业务的其他未明事项，敬请</w:t>
      </w:r>
      <w:r>
        <w:rPr>
          <w:rFonts w:asciiTheme="minorEastAsia" w:hAnsiTheme="minorEastAsia" w:hint="eastAsia"/>
          <w:sz w:val="24"/>
          <w:szCs w:val="24"/>
        </w:rPr>
        <w:t>遵循杭州银行股份有限公司的具体安排和规定；</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、本公告的最终解释权归本公司所有。</w:t>
      </w:r>
    </w:p>
    <w:p w:rsidR="00B05111" w:rsidRDefault="00B05111">
      <w:pPr>
        <w:spacing w:line="360" w:lineRule="auto"/>
        <w:ind w:firstLineChars="200" w:firstLine="480"/>
        <w:rPr>
          <w:rFonts w:asciiTheme="minorEastAsia" w:hAnsiTheme="minorEastAsia"/>
          <w:sz w:val="24"/>
          <w:szCs w:val="24"/>
        </w:rPr>
      </w:pP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风险提示：</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05111" w:rsidRDefault="00801FF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特此公告。</w:t>
      </w:r>
    </w:p>
    <w:p w:rsidR="00B05111" w:rsidRDefault="00B05111">
      <w:pPr>
        <w:spacing w:line="360" w:lineRule="auto"/>
        <w:ind w:firstLineChars="200" w:firstLine="480"/>
        <w:rPr>
          <w:rFonts w:asciiTheme="minorEastAsia" w:hAnsiTheme="minorEastAsia"/>
          <w:sz w:val="24"/>
          <w:szCs w:val="24"/>
        </w:rPr>
      </w:pPr>
    </w:p>
    <w:p w:rsidR="00B05111" w:rsidRDefault="00801FF9">
      <w:pPr>
        <w:spacing w:line="360" w:lineRule="auto"/>
        <w:ind w:right="220" w:firstLineChars="1850" w:firstLine="4440"/>
        <w:jc w:val="right"/>
        <w:rPr>
          <w:rFonts w:asciiTheme="minorEastAsia" w:hAnsiTheme="minorEastAsia"/>
          <w:sz w:val="24"/>
          <w:szCs w:val="24"/>
        </w:rPr>
      </w:pPr>
      <w:r>
        <w:rPr>
          <w:rFonts w:asciiTheme="minorEastAsia" w:hAnsiTheme="minorEastAsia" w:hint="eastAsia"/>
          <w:sz w:val="24"/>
          <w:szCs w:val="24"/>
        </w:rPr>
        <w:t>太平基金管理有限公司</w:t>
      </w:r>
    </w:p>
    <w:p w:rsidR="00B05111" w:rsidRDefault="00801FF9">
      <w:pPr>
        <w:spacing w:line="360" w:lineRule="auto"/>
        <w:ind w:right="220" w:firstLineChars="1950" w:firstLine="4680"/>
        <w:jc w:val="right"/>
        <w:rPr>
          <w:rFonts w:asciiTheme="minorEastAsia" w:hAnsiTheme="minorEastAsia"/>
          <w:sz w:val="24"/>
          <w:szCs w:val="24"/>
        </w:rPr>
      </w:pPr>
      <w:r>
        <w:rPr>
          <w:rFonts w:asciiTheme="minorEastAsia" w:hAnsiTheme="minorEastAsia" w:hint="eastAsia"/>
          <w:sz w:val="24"/>
          <w:szCs w:val="24"/>
        </w:rPr>
        <w:t>二〇二四年十二月</w:t>
      </w:r>
      <w:r>
        <w:rPr>
          <w:rFonts w:asciiTheme="minorEastAsia" w:hAnsiTheme="minorEastAsia" w:hint="eastAsia"/>
          <w:sz w:val="24"/>
          <w:szCs w:val="24"/>
        </w:rPr>
        <w:t>九</w:t>
      </w:r>
      <w:r>
        <w:rPr>
          <w:rFonts w:asciiTheme="minorEastAsia" w:hAnsiTheme="minorEastAsia" w:hint="eastAsia"/>
          <w:sz w:val="24"/>
          <w:szCs w:val="24"/>
        </w:rPr>
        <w:t>日</w:t>
      </w:r>
    </w:p>
    <w:sectPr w:rsidR="00B05111" w:rsidSect="00B051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11" w:rsidRDefault="00B05111"/>
  </w:endnote>
  <w:endnote w:type="continuationSeparator" w:id="0">
    <w:p w:rsidR="00B05111" w:rsidRDefault="00B0511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11" w:rsidRDefault="00B05111"/>
  </w:footnote>
  <w:footnote w:type="continuationSeparator" w:id="0">
    <w:p w:rsidR="00B05111" w:rsidRDefault="00B0511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B5B80"/>
    <w:multiLevelType w:val="multilevel"/>
    <w:tmpl w:val="54BB5B80"/>
    <w:lvl w:ilvl="0">
      <w:start w:val="1"/>
      <w:numFmt w:val="decimal"/>
      <w:lvlText w:val="%1)"/>
      <w:lvlJc w:val="left"/>
      <w:pPr>
        <w:ind w:left="1021" w:hanging="420"/>
      </w:p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RhYTYwMjI2ZmVkZGM4MGM2YzlmYWE0ZjMzYjBkNGEifQ=="/>
  </w:docVars>
  <w:rsids>
    <w:rsidRoot w:val="00614280"/>
    <w:rsid w:val="00000A0A"/>
    <w:rsid w:val="000205AD"/>
    <w:rsid w:val="00022CCB"/>
    <w:rsid w:val="000268F7"/>
    <w:rsid w:val="000310C1"/>
    <w:rsid w:val="0004028B"/>
    <w:rsid w:val="00046C63"/>
    <w:rsid w:val="00054F97"/>
    <w:rsid w:val="00060205"/>
    <w:rsid w:val="00077BDF"/>
    <w:rsid w:val="00085BF7"/>
    <w:rsid w:val="00097535"/>
    <w:rsid w:val="000A6F1F"/>
    <w:rsid w:val="000B0E35"/>
    <w:rsid w:val="000C785C"/>
    <w:rsid w:val="000D198E"/>
    <w:rsid w:val="000E4994"/>
    <w:rsid w:val="000E73B9"/>
    <w:rsid w:val="00102F3D"/>
    <w:rsid w:val="00105A16"/>
    <w:rsid w:val="00113860"/>
    <w:rsid w:val="00116EBF"/>
    <w:rsid w:val="001205BB"/>
    <w:rsid w:val="00132104"/>
    <w:rsid w:val="00140CE7"/>
    <w:rsid w:val="0014367A"/>
    <w:rsid w:val="0014409C"/>
    <w:rsid w:val="001472CD"/>
    <w:rsid w:val="001478B5"/>
    <w:rsid w:val="00157C10"/>
    <w:rsid w:val="00160FA9"/>
    <w:rsid w:val="0016471E"/>
    <w:rsid w:val="001678A8"/>
    <w:rsid w:val="00172C1B"/>
    <w:rsid w:val="00176A8D"/>
    <w:rsid w:val="00187639"/>
    <w:rsid w:val="00187849"/>
    <w:rsid w:val="00190CCD"/>
    <w:rsid w:val="001A2FF5"/>
    <w:rsid w:val="001A7AAD"/>
    <w:rsid w:val="001D6EB4"/>
    <w:rsid w:val="001D7313"/>
    <w:rsid w:val="001E4FBD"/>
    <w:rsid w:val="001E6C9D"/>
    <w:rsid w:val="001F372A"/>
    <w:rsid w:val="002004A6"/>
    <w:rsid w:val="00202840"/>
    <w:rsid w:val="00202C49"/>
    <w:rsid w:val="00212D3A"/>
    <w:rsid w:val="0021411D"/>
    <w:rsid w:val="00214817"/>
    <w:rsid w:val="00216EAB"/>
    <w:rsid w:val="002200D9"/>
    <w:rsid w:val="002254A8"/>
    <w:rsid w:val="00241DD3"/>
    <w:rsid w:val="002512B2"/>
    <w:rsid w:val="00254CBC"/>
    <w:rsid w:val="002600DE"/>
    <w:rsid w:val="00267478"/>
    <w:rsid w:val="00272EF3"/>
    <w:rsid w:val="00273FBA"/>
    <w:rsid w:val="00275346"/>
    <w:rsid w:val="00275B81"/>
    <w:rsid w:val="00282B66"/>
    <w:rsid w:val="002864CC"/>
    <w:rsid w:val="00286EB6"/>
    <w:rsid w:val="00292246"/>
    <w:rsid w:val="00293F5D"/>
    <w:rsid w:val="002A15A5"/>
    <w:rsid w:val="002A5EFE"/>
    <w:rsid w:val="002B58DC"/>
    <w:rsid w:val="002C0E0F"/>
    <w:rsid w:val="002C756E"/>
    <w:rsid w:val="002C75BA"/>
    <w:rsid w:val="002C7F61"/>
    <w:rsid w:val="002E1DFF"/>
    <w:rsid w:val="002E7EE7"/>
    <w:rsid w:val="002F5387"/>
    <w:rsid w:val="002F731B"/>
    <w:rsid w:val="00300D65"/>
    <w:rsid w:val="00301225"/>
    <w:rsid w:val="003114B1"/>
    <w:rsid w:val="00311976"/>
    <w:rsid w:val="003204CF"/>
    <w:rsid w:val="00322311"/>
    <w:rsid w:val="00322E95"/>
    <w:rsid w:val="003246BA"/>
    <w:rsid w:val="00333341"/>
    <w:rsid w:val="00334F28"/>
    <w:rsid w:val="0034353D"/>
    <w:rsid w:val="003446D7"/>
    <w:rsid w:val="00360D90"/>
    <w:rsid w:val="00364F94"/>
    <w:rsid w:val="0036684C"/>
    <w:rsid w:val="003704CB"/>
    <w:rsid w:val="00370B62"/>
    <w:rsid w:val="00375EF5"/>
    <w:rsid w:val="003914CC"/>
    <w:rsid w:val="003A13D0"/>
    <w:rsid w:val="003B5F21"/>
    <w:rsid w:val="003C2E74"/>
    <w:rsid w:val="003C5A5E"/>
    <w:rsid w:val="003D44AA"/>
    <w:rsid w:val="003D73ED"/>
    <w:rsid w:val="003E1EF8"/>
    <w:rsid w:val="003E3812"/>
    <w:rsid w:val="003E59EA"/>
    <w:rsid w:val="003E5BFF"/>
    <w:rsid w:val="003F71E0"/>
    <w:rsid w:val="00401C3E"/>
    <w:rsid w:val="0040365E"/>
    <w:rsid w:val="0042038B"/>
    <w:rsid w:val="00426876"/>
    <w:rsid w:val="00442D1F"/>
    <w:rsid w:val="0045357F"/>
    <w:rsid w:val="00454899"/>
    <w:rsid w:val="004553F3"/>
    <w:rsid w:val="004614E4"/>
    <w:rsid w:val="00464B19"/>
    <w:rsid w:val="0047048C"/>
    <w:rsid w:val="00471365"/>
    <w:rsid w:val="00472D9F"/>
    <w:rsid w:val="00472E91"/>
    <w:rsid w:val="00474F2A"/>
    <w:rsid w:val="00490B02"/>
    <w:rsid w:val="00493F9A"/>
    <w:rsid w:val="004A15E8"/>
    <w:rsid w:val="004A51D0"/>
    <w:rsid w:val="004B786E"/>
    <w:rsid w:val="004C2DB9"/>
    <w:rsid w:val="004C526F"/>
    <w:rsid w:val="004C5930"/>
    <w:rsid w:val="004D1CA3"/>
    <w:rsid w:val="004E7CE5"/>
    <w:rsid w:val="004F352E"/>
    <w:rsid w:val="00504E96"/>
    <w:rsid w:val="005067A1"/>
    <w:rsid w:val="00511BE8"/>
    <w:rsid w:val="00516E34"/>
    <w:rsid w:val="00517496"/>
    <w:rsid w:val="00517D51"/>
    <w:rsid w:val="005226A8"/>
    <w:rsid w:val="00525E6E"/>
    <w:rsid w:val="005279D9"/>
    <w:rsid w:val="00531F8F"/>
    <w:rsid w:val="0053305A"/>
    <w:rsid w:val="00537333"/>
    <w:rsid w:val="00544EBB"/>
    <w:rsid w:val="0054526E"/>
    <w:rsid w:val="00552EF6"/>
    <w:rsid w:val="00571405"/>
    <w:rsid w:val="00576BFD"/>
    <w:rsid w:val="00577F47"/>
    <w:rsid w:val="0058281B"/>
    <w:rsid w:val="00582F51"/>
    <w:rsid w:val="005852D3"/>
    <w:rsid w:val="005879FF"/>
    <w:rsid w:val="00587C1E"/>
    <w:rsid w:val="005907C2"/>
    <w:rsid w:val="005A50D9"/>
    <w:rsid w:val="005A7F99"/>
    <w:rsid w:val="005C5921"/>
    <w:rsid w:val="005C5B83"/>
    <w:rsid w:val="005D0299"/>
    <w:rsid w:val="005D2B7F"/>
    <w:rsid w:val="005D62FE"/>
    <w:rsid w:val="005F1D8D"/>
    <w:rsid w:val="00614280"/>
    <w:rsid w:val="00620D59"/>
    <w:rsid w:val="00622415"/>
    <w:rsid w:val="00640492"/>
    <w:rsid w:val="00641574"/>
    <w:rsid w:val="00643D49"/>
    <w:rsid w:val="006447BA"/>
    <w:rsid w:val="00646F55"/>
    <w:rsid w:val="00654157"/>
    <w:rsid w:val="00661D88"/>
    <w:rsid w:val="00663982"/>
    <w:rsid w:val="006657C8"/>
    <w:rsid w:val="00667CEF"/>
    <w:rsid w:val="0067146A"/>
    <w:rsid w:val="00676350"/>
    <w:rsid w:val="00693951"/>
    <w:rsid w:val="00694670"/>
    <w:rsid w:val="006B5373"/>
    <w:rsid w:val="006C2B38"/>
    <w:rsid w:val="006C6F5A"/>
    <w:rsid w:val="006C7A9D"/>
    <w:rsid w:val="006D4062"/>
    <w:rsid w:val="006D4490"/>
    <w:rsid w:val="006E26F1"/>
    <w:rsid w:val="006E6B47"/>
    <w:rsid w:val="006F5FD6"/>
    <w:rsid w:val="007000D3"/>
    <w:rsid w:val="00702FC2"/>
    <w:rsid w:val="007034A4"/>
    <w:rsid w:val="00705562"/>
    <w:rsid w:val="007055F8"/>
    <w:rsid w:val="0070587E"/>
    <w:rsid w:val="00706267"/>
    <w:rsid w:val="007075C5"/>
    <w:rsid w:val="00711223"/>
    <w:rsid w:val="00715AD3"/>
    <w:rsid w:val="00721D68"/>
    <w:rsid w:val="0072486F"/>
    <w:rsid w:val="0073234A"/>
    <w:rsid w:val="007370B7"/>
    <w:rsid w:val="00737956"/>
    <w:rsid w:val="00741567"/>
    <w:rsid w:val="00741AE4"/>
    <w:rsid w:val="007458B1"/>
    <w:rsid w:val="0075320E"/>
    <w:rsid w:val="00754131"/>
    <w:rsid w:val="007547A6"/>
    <w:rsid w:val="00762CA4"/>
    <w:rsid w:val="00774805"/>
    <w:rsid w:val="00774D66"/>
    <w:rsid w:val="00780B17"/>
    <w:rsid w:val="00780B86"/>
    <w:rsid w:val="00781796"/>
    <w:rsid w:val="007820A6"/>
    <w:rsid w:val="00786FDD"/>
    <w:rsid w:val="007873C0"/>
    <w:rsid w:val="007A2CBD"/>
    <w:rsid w:val="007A6295"/>
    <w:rsid w:val="007A767E"/>
    <w:rsid w:val="007A778D"/>
    <w:rsid w:val="007C2495"/>
    <w:rsid w:val="007E09BF"/>
    <w:rsid w:val="007E14E0"/>
    <w:rsid w:val="007E59F6"/>
    <w:rsid w:val="007E7433"/>
    <w:rsid w:val="007F2F47"/>
    <w:rsid w:val="00800149"/>
    <w:rsid w:val="00801FF9"/>
    <w:rsid w:val="00811759"/>
    <w:rsid w:val="00812DC7"/>
    <w:rsid w:val="00821B94"/>
    <w:rsid w:val="00830B46"/>
    <w:rsid w:val="0083395B"/>
    <w:rsid w:val="00835B17"/>
    <w:rsid w:val="00836FC1"/>
    <w:rsid w:val="00843594"/>
    <w:rsid w:val="00845F83"/>
    <w:rsid w:val="0085155C"/>
    <w:rsid w:val="0085500F"/>
    <w:rsid w:val="00870310"/>
    <w:rsid w:val="00872BF3"/>
    <w:rsid w:val="00881E65"/>
    <w:rsid w:val="00884C39"/>
    <w:rsid w:val="008969C2"/>
    <w:rsid w:val="008A4CD1"/>
    <w:rsid w:val="008A59B8"/>
    <w:rsid w:val="008A710A"/>
    <w:rsid w:val="008C49B3"/>
    <w:rsid w:val="008D2970"/>
    <w:rsid w:val="008D415A"/>
    <w:rsid w:val="008E0CD0"/>
    <w:rsid w:val="008F0CA9"/>
    <w:rsid w:val="008F32D9"/>
    <w:rsid w:val="008F682C"/>
    <w:rsid w:val="008F71E3"/>
    <w:rsid w:val="00905A25"/>
    <w:rsid w:val="009101C5"/>
    <w:rsid w:val="00920249"/>
    <w:rsid w:val="00921954"/>
    <w:rsid w:val="00925975"/>
    <w:rsid w:val="009315BC"/>
    <w:rsid w:val="0093392D"/>
    <w:rsid w:val="009366A5"/>
    <w:rsid w:val="0094154B"/>
    <w:rsid w:val="0095084F"/>
    <w:rsid w:val="00951AB0"/>
    <w:rsid w:val="00951B46"/>
    <w:rsid w:val="009717C3"/>
    <w:rsid w:val="00972DDD"/>
    <w:rsid w:val="00983A9B"/>
    <w:rsid w:val="009858CA"/>
    <w:rsid w:val="00990AE8"/>
    <w:rsid w:val="009B6E37"/>
    <w:rsid w:val="009B74E4"/>
    <w:rsid w:val="009C082A"/>
    <w:rsid w:val="009C37E3"/>
    <w:rsid w:val="009D2F36"/>
    <w:rsid w:val="009D4C9F"/>
    <w:rsid w:val="009D5317"/>
    <w:rsid w:val="009E0C1E"/>
    <w:rsid w:val="009F210B"/>
    <w:rsid w:val="009F6366"/>
    <w:rsid w:val="00A00721"/>
    <w:rsid w:val="00A00BE1"/>
    <w:rsid w:val="00A0182D"/>
    <w:rsid w:val="00A02FF7"/>
    <w:rsid w:val="00A12C30"/>
    <w:rsid w:val="00A34222"/>
    <w:rsid w:val="00A34229"/>
    <w:rsid w:val="00A3727B"/>
    <w:rsid w:val="00A41D6C"/>
    <w:rsid w:val="00A41F18"/>
    <w:rsid w:val="00A46F5C"/>
    <w:rsid w:val="00A572E6"/>
    <w:rsid w:val="00A65941"/>
    <w:rsid w:val="00A70707"/>
    <w:rsid w:val="00A86D75"/>
    <w:rsid w:val="00A876F5"/>
    <w:rsid w:val="00A87A21"/>
    <w:rsid w:val="00A912AD"/>
    <w:rsid w:val="00A97BCE"/>
    <w:rsid w:val="00AA62F9"/>
    <w:rsid w:val="00AA7355"/>
    <w:rsid w:val="00AB4A40"/>
    <w:rsid w:val="00AB534C"/>
    <w:rsid w:val="00AB6818"/>
    <w:rsid w:val="00AC08D8"/>
    <w:rsid w:val="00AC0BA0"/>
    <w:rsid w:val="00AC197E"/>
    <w:rsid w:val="00AC45A7"/>
    <w:rsid w:val="00AD7CC4"/>
    <w:rsid w:val="00AF0CE8"/>
    <w:rsid w:val="00AF2CC5"/>
    <w:rsid w:val="00B05111"/>
    <w:rsid w:val="00B06841"/>
    <w:rsid w:val="00B07E7C"/>
    <w:rsid w:val="00B15E67"/>
    <w:rsid w:val="00B16341"/>
    <w:rsid w:val="00B17B2E"/>
    <w:rsid w:val="00B2234C"/>
    <w:rsid w:val="00B32570"/>
    <w:rsid w:val="00B354C1"/>
    <w:rsid w:val="00B361B1"/>
    <w:rsid w:val="00B43DCF"/>
    <w:rsid w:val="00B5678F"/>
    <w:rsid w:val="00B6008B"/>
    <w:rsid w:val="00B70499"/>
    <w:rsid w:val="00B71395"/>
    <w:rsid w:val="00B73274"/>
    <w:rsid w:val="00B77138"/>
    <w:rsid w:val="00B80C6A"/>
    <w:rsid w:val="00B86DF5"/>
    <w:rsid w:val="00B87904"/>
    <w:rsid w:val="00BA00E2"/>
    <w:rsid w:val="00BA7977"/>
    <w:rsid w:val="00BB179C"/>
    <w:rsid w:val="00BB18F1"/>
    <w:rsid w:val="00BB4B19"/>
    <w:rsid w:val="00BD52CF"/>
    <w:rsid w:val="00BD6A79"/>
    <w:rsid w:val="00BE0239"/>
    <w:rsid w:val="00BE0941"/>
    <w:rsid w:val="00BE1EC2"/>
    <w:rsid w:val="00C0465B"/>
    <w:rsid w:val="00C124AA"/>
    <w:rsid w:val="00C16034"/>
    <w:rsid w:val="00C3206A"/>
    <w:rsid w:val="00C32464"/>
    <w:rsid w:val="00C32888"/>
    <w:rsid w:val="00C35D19"/>
    <w:rsid w:val="00C4480C"/>
    <w:rsid w:val="00C5545D"/>
    <w:rsid w:val="00C5608F"/>
    <w:rsid w:val="00C56F56"/>
    <w:rsid w:val="00C60F2A"/>
    <w:rsid w:val="00C66014"/>
    <w:rsid w:val="00C66189"/>
    <w:rsid w:val="00C725E2"/>
    <w:rsid w:val="00C852CA"/>
    <w:rsid w:val="00C916D5"/>
    <w:rsid w:val="00C930FC"/>
    <w:rsid w:val="00C95F72"/>
    <w:rsid w:val="00CA268D"/>
    <w:rsid w:val="00CA5BB8"/>
    <w:rsid w:val="00CA6E67"/>
    <w:rsid w:val="00CB104D"/>
    <w:rsid w:val="00CB1557"/>
    <w:rsid w:val="00CB65D2"/>
    <w:rsid w:val="00CC1682"/>
    <w:rsid w:val="00CC273B"/>
    <w:rsid w:val="00CF4CAC"/>
    <w:rsid w:val="00D02BC1"/>
    <w:rsid w:val="00D046A6"/>
    <w:rsid w:val="00D250E9"/>
    <w:rsid w:val="00D25650"/>
    <w:rsid w:val="00D2769B"/>
    <w:rsid w:val="00D343C2"/>
    <w:rsid w:val="00D37416"/>
    <w:rsid w:val="00D4113C"/>
    <w:rsid w:val="00D433CC"/>
    <w:rsid w:val="00D53055"/>
    <w:rsid w:val="00D5771D"/>
    <w:rsid w:val="00D6252A"/>
    <w:rsid w:val="00D63DA0"/>
    <w:rsid w:val="00D71F21"/>
    <w:rsid w:val="00D74206"/>
    <w:rsid w:val="00D75AF7"/>
    <w:rsid w:val="00D80396"/>
    <w:rsid w:val="00D86772"/>
    <w:rsid w:val="00D915D4"/>
    <w:rsid w:val="00DA23CC"/>
    <w:rsid w:val="00DA3A09"/>
    <w:rsid w:val="00DA6326"/>
    <w:rsid w:val="00DB6762"/>
    <w:rsid w:val="00DB6DBF"/>
    <w:rsid w:val="00DB7A65"/>
    <w:rsid w:val="00DC0985"/>
    <w:rsid w:val="00DC0CC4"/>
    <w:rsid w:val="00DC3BF0"/>
    <w:rsid w:val="00DD50BA"/>
    <w:rsid w:val="00DD5D8E"/>
    <w:rsid w:val="00DF5396"/>
    <w:rsid w:val="00DF7FC6"/>
    <w:rsid w:val="00E00157"/>
    <w:rsid w:val="00E022A6"/>
    <w:rsid w:val="00E02374"/>
    <w:rsid w:val="00E06254"/>
    <w:rsid w:val="00E0668F"/>
    <w:rsid w:val="00E14D56"/>
    <w:rsid w:val="00E16523"/>
    <w:rsid w:val="00E35A32"/>
    <w:rsid w:val="00E37BF1"/>
    <w:rsid w:val="00E479C8"/>
    <w:rsid w:val="00E52C68"/>
    <w:rsid w:val="00E544CF"/>
    <w:rsid w:val="00E54A6D"/>
    <w:rsid w:val="00E55797"/>
    <w:rsid w:val="00E64553"/>
    <w:rsid w:val="00E66B51"/>
    <w:rsid w:val="00E706C6"/>
    <w:rsid w:val="00E71AAC"/>
    <w:rsid w:val="00E8176B"/>
    <w:rsid w:val="00E94D9B"/>
    <w:rsid w:val="00EA489F"/>
    <w:rsid w:val="00EB3168"/>
    <w:rsid w:val="00EB369A"/>
    <w:rsid w:val="00EC271E"/>
    <w:rsid w:val="00EC2A92"/>
    <w:rsid w:val="00EC783D"/>
    <w:rsid w:val="00ED0F92"/>
    <w:rsid w:val="00ED15A1"/>
    <w:rsid w:val="00ED2728"/>
    <w:rsid w:val="00EE1D7E"/>
    <w:rsid w:val="00EE3B95"/>
    <w:rsid w:val="00EE4E00"/>
    <w:rsid w:val="00F04C5B"/>
    <w:rsid w:val="00F06FBF"/>
    <w:rsid w:val="00F10AC7"/>
    <w:rsid w:val="00F171FE"/>
    <w:rsid w:val="00F20536"/>
    <w:rsid w:val="00F2600A"/>
    <w:rsid w:val="00F26D79"/>
    <w:rsid w:val="00F42CC9"/>
    <w:rsid w:val="00F44265"/>
    <w:rsid w:val="00F45917"/>
    <w:rsid w:val="00F52388"/>
    <w:rsid w:val="00F55FB8"/>
    <w:rsid w:val="00F6344C"/>
    <w:rsid w:val="00F6439B"/>
    <w:rsid w:val="00F651DD"/>
    <w:rsid w:val="00F67E37"/>
    <w:rsid w:val="00F75BC2"/>
    <w:rsid w:val="00F96B21"/>
    <w:rsid w:val="00F97290"/>
    <w:rsid w:val="00FA026F"/>
    <w:rsid w:val="00FA6F2A"/>
    <w:rsid w:val="00FB20FC"/>
    <w:rsid w:val="00FB2B13"/>
    <w:rsid w:val="00FB33B8"/>
    <w:rsid w:val="00FB3EB6"/>
    <w:rsid w:val="00FB60D0"/>
    <w:rsid w:val="00FD5B79"/>
    <w:rsid w:val="00FE78C4"/>
    <w:rsid w:val="00FF0F0C"/>
    <w:rsid w:val="00FF2077"/>
    <w:rsid w:val="00FF27A4"/>
    <w:rsid w:val="00FF56C7"/>
    <w:rsid w:val="010710ED"/>
    <w:rsid w:val="0C4C48B9"/>
    <w:rsid w:val="0DB01F82"/>
    <w:rsid w:val="17BF68D5"/>
    <w:rsid w:val="190D00DD"/>
    <w:rsid w:val="1C8B5E1B"/>
    <w:rsid w:val="1FC65991"/>
    <w:rsid w:val="277955E9"/>
    <w:rsid w:val="2A2D7AFF"/>
    <w:rsid w:val="34C375FB"/>
    <w:rsid w:val="34F90D2F"/>
    <w:rsid w:val="39D018F6"/>
    <w:rsid w:val="3ACF78CF"/>
    <w:rsid w:val="3E7A174F"/>
    <w:rsid w:val="49133EFE"/>
    <w:rsid w:val="4D9A3D6D"/>
    <w:rsid w:val="52C90129"/>
    <w:rsid w:val="57794D06"/>
    <w:rsid w:val="5A8E0D79"/>
    <w:rsid w:val="5BB65B49"/>
    <w:rsid w:val="61882403"/>
    <w:rsid w:val="64134338"/>
    <w:rsid w:val="6A2B776F"/>
    <w:rsid w:val="758E4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1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05111"/>
    <w:pPr>
      <w:jc w:val="left"/>
    </w:pPr>
  </w:style>
  <w:style w:type="paragraph" w:styleId="a4">
    <w:name w:val="Balloon Text"/>
    <w:basedOn w:val="a"/>
    <w:link w:val="Char0"/>
    <w:uiPriority w:val="99"/>
    <w:semiHidden/>
    <w:unhideWhenUsed/>
    <w:rsid w:val="00B05111"/>
    <w:rPr>
      <w:sz w:val="18"/>
      <w:szCs w:val="18"/>
    </w:rPr>
  </w:style>
  <w:style w:type="paragraph" w:styleId="a5">
    <w:name w:val="footer"/>
    <w:basedOn w:val="a"/>
    <w:link w:val="Char1"/>
    <w:uiPriority w:val="99"/>
    <w:unhideWhenUsed/>
    <w:qFormat/>
    <w:rsid w:val="00B0511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0511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05111"/>
    <w:rPr>
      <w:b/>
      <w:bCs/>
    </w:rPr>
  </w:style>
  <w:style w:type="table" w:styleId="a8">
    <w:name w:val="Table Grid"/>
    <w:basedOn w:val="a1"/>
    <w:uiPriority w:val="59"/>
    <w:qFormat/>
    <w:rsid w:val="00B05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B05111"/>
    <w:rPr>
      <w:color w:val="0000FF" w:themeColor="hyperlink"/>
      <w:u w:val="single"/>
    </w:rPr>
  </w:style>
  <w:style w:type="character" w:styleId="aa">
    <w:name w:val="annotation reference"/>
    <w:basedOn w:val="a0"/>
    <w:uiPriority w:val="99"/>
    <w:semiHidden/>
    <w:unhideWhenUsed/>
    <w:qFormat/>
    <w:rsid w:val="00B05111"/>
    <w:rPr>
      <w:sz w:val="21"/>
      <w:szCs w:val="21"/>
    </w:rPr>
  </w:style>
  <w:style w:type="character" w:customStyle="1" w:styleId="Char0">
    <w:name w:val="批注框文本 Char"/>
    <w:basedOn w:val="a0"/>
    <w:link w:val="a4"/>
    <w:uiPriority w:val="99"/>
    <w:semiHidden/>
    <w:qFormat/>
    <w:rsid w:val="00B05111"/>
    <w:rPr>
      <w:sz w:val="18"/>
      <w:szCs w:val="18"/>
    </w:rPr>
  </w:style>
  <w:style w:type="paragraph" w:styleId="ab">
    <w:name w:val="List Paragraph"/>
    <w:basedOn w:val="a"/>
    <w:uiPriority w:val="34"/>
    <w:qFormat/>
    <w:rsid w:val="00B05111"/>
    <w:pPr>
      <w:ind w:firstLineChars="200" w:firstLine="420"/>
    </w:pPr>
  </w:style>
  <w:style w:type="character" w:customStyle="1" w:styleId="Char">
    <w:name w:val="批注文字 Char"/>
    <w:basedOn w:val="a0"/>
    <w:link w:val="a3"/>
    <w:uiPriority w:val="99"/>
    <w:qFormat/>
    <w:rsid w:val="00B05111"/>
  </w:style>
  <w:style w:type="character" w:customStyle="1" w:styleId="Char3">
    <w:name w:val="批注主题 Char"/>
    <w:basedOn w:val="Char"/>
    <w:link w:val="a7"/>
    <w:uiPriority w:val="99"/>
    <w:semiHidden/>
    <w:qFormat/>
    <w:rsid w:val="00B05111"/>
    <w:rPr>
      <w:b/>
      <w:bCs/>
    </w:rPr>
  </w:style>
  <w:style w:type="character" w:customStyle="1" w:styleId="Char2">
    <w:name w:val="页眉 Char"/>
    <w:basedOn w:val="a0"/>
    <w:link w:val="a6"/>
    <w:uiPriority w:val="99"/>
    <w:qFormat/>
    <w:rsid w:val="00B05111"/>
    <w:rPr>
      <w:sz w:val="18"/>
      <w:szCs w:val="18"/>
    </w:rPr>
  </w:style>
  <w:style w:type="character" w:customStyle="1" w:styleId="Char1">
    <w:name w:val="页脚 Char"/>
    <w:basedOn w:val="a0"/>
    <w:link w:val="a5"/>
    <w:uiPriority w:val="99"/>
    <w:qFormat/>
    <w:rsid w:val="00B05111"/>
    <w:rPr>
      <w:sz w:val="18"/>
      <w:szCs w:val="18"/>
    </w:rPr>
  </w:style>
  <w:style w:type="paragraph" w:customStyle="1" w:styleId="1">
    <w:name w:val="修订1"/>
    <w:hidden/>
    <w:uiPriority w:val="99"/>
    <w:unhideWhenUsed/>
    <w:qFormat/>
    <w:rsid w:val="00B05111"/>
    <w:rPr>
      <w:kern w:val="2"/>
      <w:sz w:val="21"/>
      <w:szCs w:val="22"/>
    </w:rPr>
  </w:style>
  <w:style w:type="paragraph" w:customStyle="1" w:styleId="2">
    <w:name w:val="修订2"/>
    <w:hidden/>
    <w:uiPriority w:val="99"/>
    <w:semiHidden/>
    <w:qFormat/>
    <w:rsid w:val="00B05111"/>
    <w:rPr>
      <w:kern w:val="2"/>
      <w:sz w:val="21"/>
      <w:szCs w:val="22"/>
    </w:rPr>
  </w:style>
  <w:style w:type="paragraph" w:customStyle="1" w:styleId="3">
    <w:name w:val="修订3"/>
    <w:hidden/>
    <w:uiPriority w:val="99"/>
    <w:unhideWhenUsed/>
    <w:qFormat/>
    <w:rsid w:val="00B05111"/>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ipingfund.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2892</Characters>
  <Application>Microsoft Office Word</Application>
  <DocSecurity>4</DocSecurity>
  <Lines>24</Lines>
  <Paragraphs>6</Paragraphs>
  <ScaleCrop>false</ScaleCrop>
  <Company>Microsoft</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肖钦文</dc:creator>
  <cp:lastModifiedBy>ZHONGM</cp:lastModifiedBy>
  <cp:revision>2</cp:revision>
  <cp:lastPrinted>2024-12-03T02:42:00Z</cp:lastPrinted>
  <dcterms:created xsi:type="dcterms:W3CDTF">2024-12-08T16:00:00Z</dcterms:created>
  <dcterms:modified xsi:type="dcterms:W3CDTF">2024-12-08T16:00:00Z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3BB7D5015F0640B9B17B0E5D0CA70FF2_13</vt:lpwstr>
  </property>
</Properties>
</file>