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BF" w:rsidRPr="00BE3CAB" w:rsidRDefault="00F76C88" w:rsidP="00BE3CAB">
      <w:pPr>
        <w:pStyle w:val="Default"/>
        <w:jc w:val="center"/>
        <w:rPr>
          <w:rFonts w:asciiTheme="minorEastAsia" w:eastAsiaTheme="minorEastAsia" w:hAnsiTheme="minorEastAsia"/>
          <w:b/>
          <w:sz w:val="30"/>
          <w:szCs w:val="30"/>
        </w:rPr>
      </w:pPr>
      <w:r w:rsidRPr="00F76C88">
        <w:rPr>
          <w:rFonts w:asciiTheme="minorEastAsia" w:eastAsiaTheme="minorEastAsia" w:hAnsiTheme="minorEastAsia" w:hint="eastAsia"/>
          <w:b/>
          <w:sz w:val="30"/>
          <w:szCs w:val="30"/>
        </w:rPr>
        <w:t>关于</w:t>
      </w:r>
      <w:r w:rsidR="00EC5412" w:rsidRPr="00EC5412">
        <w:rPr>
          <w:rFonts w:asciiTheme="minorEastAsia" w:eastAsiaTheme="minorEastAsia" w:hAnsiTheme="minorEastAsia" w:hint="eastAsia"/>
          <w:b/>
          <w:sz w:val="30"/>
          <w:szCs w:val="30"/>
        </w:rPr>
        <w:t>摩根士丹利养老目标日期2040三年持有期混合型发起式基金中基金(FOF)</w:t>
      </w:r>
      <w:r w:rsidR="00B97B73" w:rsidRPr="00B97B73">
        <w:rPr>
          <w:rFonts w:asciiTheme="minorEastAsia" w:eastAsiaTheme="minorEastAsia" w:hAnsiTheme="minorEastAsia" w:hint="eastAsia"/>
          <w:b/>
          <w:sz w:val="30"/>
          <w:szCs w:val="30"/>
        </w:rPr>
        <w:t>可能触发基金合同终止情形的提示性公告</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根据《中华人民共和国证券投资基金法》、《公开募集证券</w:t>
      </w:r>
      <w:r w:rsidRPr="00A81F03">
        <w:rPr>
          <w:rFonts w:asciiTheme="minorEastAsia" w:eastAsiaTheme="minorEastAsia" w:hAnsiTheme="minorEastAsia" w:hint="eastAsia"/>
          <w:sz w:val="21"/>
          <w:szCs w:val="21"/>
        </w:rPr>
        <w:t>投资基金运作</w:t>
      </w:r>
      <w:r w:rsidRPr="00B97B73">
        <w:rPr>
          <w:rFonts w:asciiTheme="minorEastAsia" w:eastAsiaTheme="minorEastAsia" w:hAnsiTheme="minorEastAsia" w:hint="eastAsia"/>
          <w:sz w:val="21"/>
          <w:szCs w:val="21"/>
        </w:rPr>
        <w:t>管理办法》、</w:t>
      </w:r>
      <w:r w:rsidRPr="00A81F03">
        <w:rPr>
          <w:rFonts w:asciiTheme="minorEastAsia" w:eastAsiaTheme="minorEastAsia" w:hAnsiTheme="minorEastAsia" w:hint="eastAsia"/>
          <w:sz w:val="21"/>
          <w:szCs w:val="21"/>
        </w:rPr>
        <w:t>《</w:t>
      </w:r>
      <w:r w:rsidR="00B27BC4" w:rsidRPr="00B27BC4">
        <w:rPr>
          <w:rFonts w:asciiTheme="minorEastAsia" w:eastAsiaTheme="minorEastAsia" w:hAnsiTheme="minorEastAsia" w:hint="eastAsia"/>
          <w:sz w:val="21"/>
          <w:szCs w:val="21"/>
        </w:rPr>
        <w:t>摩根士丹利养老目标日期2040三年持有期混合型发起式基金中基金(FOF)</w:t>
      </w:r>
      <w:r w:rsidRPr="00A81F03">
        <w:rPr>
          <w:rFonts w:asciiTheme="minorEastAsia" w:eastAsiaTheme="minorEastAsia" w:hAnsiTheme="minorEastAsia" w:hint="eastAsia"/>
          <w:sz w:val="21"/>
          <w:szCs w:val="21"/>
        </w:rPr>
        <w:t>基金合同》（以下简称</w:t>
      </w:r>
      <w:r w:rsidRPr="00A81F03">
        <w:rPr>
          <w:rFonts w:asciiTheme="minorEastAsia" w:eastAsiaTheme="minorEastAsia" w:hAnsiTheme="minorEastAsia"/>
          <w:sz w:val="21"/>
          <w:szCs w:val="21"/>
        </w:rPr>
        <w:t>“</w:t>
      </w:r>
      <w:r w:rsidR="00096EE5" w:rsidRPr="00A81F03">
        <w:rPr>
          <w:rFonts w:asciiTheme="minorEastAsia" w:eastAsiaTheme="minorEastAsia" w:hAnsiTheme="minorEastAsia" w:hint="eastAsia"/>
          <w:sz w:val="21"/>
          <w:szCs w:val="21"/>
        </w:rPr>
        <w:t>《</w:t>
      </w:r>
      <w:r w:rsidRPr="00A81F03">
        <w:rPr>
          <w:rFonts w:asciiTheme="minorEastAsia" w:eastAsiaTheme="minorEastAsia" w:hAnsiTheme="minorEastAsia" w:hint="eastAsia"/>
          <w:sz w:val="21"/>
          <w:szCs w:val="21"/>
        </w:rPr>
        <w:t>基金合同</w:t>
      </w:r>
      <w:r w:rsidR="00096EE5" w:rsidRPr="00A81F03">
        <w:rPr>
          <w:rFonts w:asciiTheme="minorEastAsia" w:eastAsiaTheme="minorEastAsia" w:hAnsiTheme="minorEastAsia" w:hint="eastAsia"/>
          <w:sz w:val="21"/>
          <w:szCs w:val="21"/>
        </w:rPr>
        <w:t>》</w:t>
      </w:r>
      <w:r w:rsidRPr="00A81F03">
        <w:rPr>
          <w:rFonts w:asciiTheme="minorEastAsia" w:eastAsiaTheme="minorEastAsia" w:hAnsiTheme="minorEastAsia"/>
          <w:sz w:val="21"/>
          <w:szCs w:val="21"/>
        </w:rPr>
        <w:t>”</w:t>
      </w:r>
      <w:r w:rsidR="00CE7EDE">
        <w:rPr>
          <w:rFonts w:asciiTheme="minorEastAsia" w:eastAsiaTheme="minorEastAsia" w:hAnsiTheme="minorEastAsia" w:hint="eastAsia"/>
          <w:sz w:val="21"/>
          <w:szCs w:val="21"/>
        </w:rPr>
        <w:t>或“基金合同”</w:t>
      </w:r>
      <w:r w:rsidRPr="00A81F03">
        <w:rPr>
          <w:rFonts w:asciiTheme="minorEastAsia" w:eastAsiaTheme="minorEastAsia" w:hAnsiTheme="minorEastAsia" w:hint="eastAsia"/>
          <w:sz w:val="21"/>
          <w:szCs w:val="21"/>
        </w:rPr>
        <w:t>）的有关规定</w:t>
      </w:r>
      <w:r w:rsidRPr="00A81F03">
        <w:rPr>
          <w:rFonts w:asciiTheme="minorEastAsia" w:eastAsiaTheme="minorEastAsia" w:hAnsiTheme="minorEastAsia"/>
          <w:sz w:val="21"/>
          <w:szCs w:val="21"/>
        </w:rPr>
        <w:t xml:space="preserve">, </w:t>
      </w:r>
      <w:r w:rsidR="00B27BC4" w:rsidRPr="00B27BC4">
        <w:rPr>
          <w:rFonts w:asciiTheme="minorEastAsia" w:eastAsiaTheme="minorEastAsia" w:hAnsiTheme="minorEastAsia" w:hint="eastAsia"/>
          <w:sz w:val="21"/>
          <w:szCs w:val="21"/>
        </w:rPr>
        <w:t>摩根士丹利养老目标日期2040三年持有期混合型发起式基金中基金(FOF)</w:t>
      </w:r>
      <w:r w:rsidRPr="00A81F03">
        <w:rPr>
          <w:rFonts w:asciiTheme="minorEastAsia" w:eastAsiaTheme="minorEastAsia" w:hAnsiTheme="minorEastAsia" w:hint="eastAsia"/>
          <w:sz w:val="21"/>
          <w:szCs w:val="21"/>
        </w:rPr>
        <w:t>（以下简称</w:t>
      </w:r>
      <w:r w:rsidRPr="00A81F03">
        <w:rPr>
          <w:rFonts w:asciiTheme="minorEastAsia" w:eastAsiaTheme="minorEastAsia" w:hAnsiTheme="minorEastAsia"/>
          <w:sz w:val="21"/>
          <w:szCs w:val="21"/>
        </w:rPr>
        <w:t>“</w:t>
      </w:r>
      <w:r w:rsidRPr="00A81F03">
        <w:rPr>
          <w:rFonts w:asciiTheme="minorEastAsia" w:eastAsiaTheme="minorEastAsia" w:hAnsiTheme="minorEastAsia" w:hint="eastAsia"/>
          <w:sz w:val="21"/>
          <w:szCs w:val="21"/>
        </w:rPr>
        <w:t>本基金</w:t>
      </w:r>
      <w:r w:rsidRPr="00A81F03">
        <w:rPr>
          <w:rFonts w:asciiTheme="minorEastAsia" w:eastAsiaTheme="minorEastAsia" w:hAnsiTheme="minorEastAsia"/>
          <w:sz w:val="21"/>
          <w:szCs w:val="21"/>
        </w:rPr>
        <w:t>”</w:t>
      </w:r>
      <w:r w:rsidRPr="00A81F03">
        <w:rPr>
          <w:rFonts w:asciiTheme="minorEastAsia" w:eastAsiaTheme="minorEastAsia" w:hAnsiTheme="minorEastAsia" w:hint="eastAsia"/>
          <w:sz w:val="21"/>
          <w:szCs w:val="21"/>
        </w:rPr>
        <w:t>）可能触发基金合同终止情形</w:t>
      </w:r>
      <w:r w:rsidRPr="00A81F03">
        <w:rPr>
          <w:rFonts w:asciiTheme="minorEastAsia" w:eastAsiaTheme="minorEastAsia" w:hAnsiTheme="minorEastAsia"/>
          <w:sz w:val="21"/>
          <w:szCs w:val="21"/>
        </w:rPr>
        <w:t>,</w:t>
      </w:r>
      <w:r w:rsidRPr="00A81F03">
        <w:rPr>
          <w:rFonts w:asciiTheme="minorEastAsia" w:eastAsiaTheme="minorEastAsia" w:hAnsiTheme="minorEastAsia" w:hint="eastAsia"/>
          <w:sz w:val="21"/>
          <w:szCs w:val="21"/>
        </w:rPr>
        <w:t>现将相关事项提示公告如下</w:t>
      </w:r>
      <w:r w:rsidRPr="00A81F03">
        <w:rPr>
          <w:rFonts w:asciiTheme="minorEastAsia" w:eastAsiaTheme="minorEastAsia" w:hAnsiTheme="minorEastAsia"/>
          <w:sz w:val="21"/>
          <w:szCs w:val="21"/>
        </w:rPr>
        <w:t xml:space="preserve">: </w:t>
      </w:r>
    </w:p>
    <w:p w:rsidR="00963BEA" w:rsidRPr="00175F0C" w:rsidRDefault="00B97B73">
      <w:pPr>
        <w:pStyle w:val="Default"/>
        <w:spacing w:line="360" w:lineRule="auto"/>
        <w:ind w:firstLineChars="270" w:firstLine="569"/>
        <w:rPr>
          <w:rFonts w:asciiTheme="minorEastAsia" w:eastAsiaTheme="minorEastAsia" w:hAnsiTheme="minorEastAsia"/>
          <w:b/>
          <w:sz w:val="21"/>
          <w:szCs w:val="21"/>
        </w:rPr>
      </w:pPr>
      <w:r w:rsidRPr="00175F0C">
        <w:rPr>
          <w:rFonts w:asciiTheme="minorEastAsia" w:eastAsiaTheme="minorEastAsia" w:hAnsiTheme="minorEastAsia" w:hint="eastAsia"/>
          <w:b/>
          <w:sz w:val="21"/>
          <w:szCs w:val="21"/>
        </w:rPr>
        <w:t xml:space="preserve">一、本基金基本信息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基金名称</w:t>
      </w:r>
      <w:r w:rsidRPr="00B97B73">
        <w:rPr>
          <w:rFonts w:asciiTheme="minorEastAsia" w:eastAsiaTheme="minorEastAsia" w:hAnsiTheme="minorEastAsia"/>
          <w:sz w:val="21"/>
          <w:szCs w:val="21"/>
        </w:rPr>
        <w:t>:</w:t>
      </w:r>
      <w:r w:rsidR="004F42BB" w:rsidRPr="00794F11">
        <w:rPr>
          <w:rFonts w:asciiTheme="minorEastAsia" w:eastAsiaTheme="minorEastAsia" w:hAnsiTheme="minorEastAsia" w:hint="eastAsia"/>
          <w:sz w:val="21"/>
          <w:szCs w:val="21"/>
        </w:rPr>
        <w:t xml:space="preserve"> </w:t>
      </w:r>
      <w:r w:rsidR="005933FF" w:rsidRPr="005933FF">
        <w:rPr>
          <w:rFonts w:asciiTheme="minorEastAsia" w:eastAsiaTheme="minorEastAsia" w:hAnsiTheme="minorEastAsia" w:hint="eastAsia"/>
          <w:sz w:val="21"/>
          <w:szCs w:val="21"/>
        </w:rPr>
        <w:t>摩根士丹利养老目标日期2040三年持有期混合型发起式基金中基金(FOF)</w:t>
      </w:r>
    </w:p>
    <w:p w:rsidR="00B97B73" w:rsidRPr="004F42BB"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基金简称</w:t>
      </w:r>
      <w:r w:rsidRPr="00B97B73">
        <w:rPr>
          <w:rFonts w:asciiTheme="minorEastAsia" w:eastAsiaTheme="minorEastAsia" w:hAnsiTheme="minorEastAsia"/>
          <w:sz w:val="21"/>
          <w:szCs w:val="21"/>
        </w:rPr>
        <w:t xml:space="preserve">: </w:t>
      </w:r>
      <w:r w:rsidR="005C3256" w:rsidRPr="005C3256">
        <w:rPr>
          <w:rFonts w:asciiTheme="minorEastAsia" w:eastAsiaTheme="minorEastAsia" w:hAnsiTheme="minorEastAsia" w:hint="eastAsia"/>
          <w:sz w:val="21"/>
          <w:szCs w:val="21"/>
        </w:rPr>
        <w:t>大摩养老2040混合(FOF)</w:t>
      </w:r>
    </w:p>
    <w:p w:rsidR="00B97B73" w:rsidRPr="004F42BB" w:rsidRDefault="00B97B73" w:rsidP="00B97B73">
      <w:pPr>
        <w:pStyle w:val="Default"/>
        <w:spacing w:line="360" w:lineRule="auto"/>
        <w:ind w:firstLineChars="270" w:firstLine="567"/>
        <w:rPr>
          <w:rFonts w:asciiTheme="minorEastAsia" w:eastAsiaTheme="minorEastAsia" w:hAnsiTheme="minorEastAsia"/>
          <w:sz w:val="21"/>
          <w:szCs w:val="21"/>
        </w:rPr>
      </w:pPr>
      <w:r w:rsidRPr="004F42BB">
        <w:rPr>
          <w:rFonts w:asciiTheme="minorEastAsia" w:eastAsiaTheme="minorEastAsia" w:hAnsiTheme="minorEastAsia" w:hint="eastAsia"/>
          <w:sz w:val="21"/>
          <w:szCs w:val="21"/>
        </w:rPr>
        <w:t>基金代码：</w:t>
      </w:r>
      <w:r w:rsidR="00077BF6" w:rsidRPr="00077BF6">
        <w:rPr>
          <w:rFonts w:asciiTheme="minorEastAsia" w:eastAsiaTheme="minorEastAsia" w:hAnsiTheme="minorEastAsia" w:hint="eastAsia"/>
          <w:sz w:val="21"/>
          <w:szCs w:val="21"/>
        </w:rPr>
        <w:t>014022</w:t>
      </w:r>
    </w:p>
    <w:p w:rsid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4F42BB">
        <w:rPr>
          <w:rFonts w:asciiTheme="minorEastAsia" w:eastAsiaTheme="minorEastAsia" w:hAnsiTheme="minorEastAsia" w:hint="eastAsia"/>
          <w:sz w:val="21"/>
          <w:szCs w:val="21"/>
        </w:rPr>
        <w:t>基金运作方式：</w:t>
      </w:r>
      <w:r w:rsidR="00281BA4" w:rsidRPr="004F42BB">
        <w:rPr>
          <w:rFonts w:asciiTheme="minorEastAsia" w:eastAsiaTheme="minorEastAsia" w:hAnsiTheme="minorEastAsia" w:hint="eastAsia"/>
          <w:sz w:val="21"/>
          <w:szCs w:val="21"/>
        </w:rPr>
        <w:t>契约型开放式</w:t>
      </w:r>
    </w:p>
    <w:p w:rsidR="001320E5" w:rsidRDefault="00E06EE7" w:rsidP="00B97B73">
      <w:pPr>
        <w:pStyle w:val="Default"/>
        <w:spacing w:line="360" w:lineRule="auto"/>
        <w:ind w:firstLineChars="270" w:firstLine="567"/>
        <w:rPr>
          <w:rFonts w:asciiTheme="minorEastAsia" w:eastAsiaTheme="minorEastAsia" w:hAnsiTheme="minorEastAsia"/>
          <w:sz w:val="21"/>
          <w:szCs w:val="21"/>
        </w:rPr>
      </w:pPr>
      <w:r w:rsidRPr="00E06EE7">
        <w:rPr>
          <w:rFonts w:asciiTheme="minorEastAsia" w:eastAsiaTheme="minorEastAsia" w:hAnsiTheme="minorEastAsia" w:hint="eastAsia"/>
          <w:sz w:val="21"/>
          <w:szCs w:val="21"/>
        </w:rPr>
        <w:t>对于本基金的每份基金份额设定</w:t>
      </w:r>
      <w:r w:rsidRPr="00E06EE7">
        <w:rPr>
          <w:rFonts w:asciiTheme="minorEastAsia" w:eastAsiaTheme="minorEastAsia" w:hAnsiTheme="minorEastAsia"/>
          <w:sz w:val="21"/>
          <w:szCs w:val="21"/>
        </w:rPr>
        <w:t>三年持有期限</w:t>
      </w:r>
      <w:r w:rsidRPr="00E06EE7">
        <w:rPr>
          <w:rFonts w:asciiTheme="minorEastAsia" w:eastAsiaTheme="minorEastAsia" w:hAnsiTheme="minorEastAsia" w:hint="eastAsia"/>
          <w:sz w:val="21"/>
          <w:szCs w:val="21"/>
        </w:rPr>
        <w:t>，原则上每份基金份额的</w:t>
      </w:r>
      <w:r w:rsidRPr="00E06EE7">
        <w:rPr>
          <w:rFonts w:asciiTheme="minorEastAsia" w:eastAsiaTheme="minorEastAsia" w:hAnsiTheme="minorEastAsia"/>
          <w:sz w:val="21"/>
          <w:szCs w:val="21"/>
        </w:rPr>
        <w:t>持有期限</w:t>
      </w:r>
      <w:r w:rsidRPr="00E06EE7">
        <w:rPr>
          <w:rFonts w:asciiTheme="minorEastAsia" w:eastAsiaTheme="minorEastAsia" w:hAnsiTheme="minorEastAsia" w:hint="eastAsia"/>
          <w:sz w:val="21"/>
          <w:szCs w:val="21"/>
        </w:rPr>
        <w:t>为3年，期间不办理赎回及转换转出业务。</w:t>
      </w:r>
      <w:r w:rsidRPr="00E06EE7">
        <w:rPr>
          <w:rFonts w:asciiTheme="minorEastAsia" w:eastAsiaTheme="minorEastAsia" w:hAnsiTheme="minorEastAsia"/>
          <w:sz w:val="21"/>
          <w:szCs w:val="21"/>
        </w:rPr>
        <w:t>三年持有期限</w:t>
      </w:r>
      <w:r w:rsidRPr="00E06EE7">
        <w:rPr>
          <w:rFonts w:asciiTheme="minorEastAsia" w:eastAsiaTheme="minorEastAsia" w:hAnsiTheme="minorEastAsia" w:hint="eastAsia"/>
          <w:sz w:val="21"/>
          <w:szCs w:val="21"/>
        </w:rPr>
        <w:t>到期后进入开放持有期，每份基金份额自其</w:t>
      </w:r>
      <w:r w:rsidRPr="00E06EE7">
        <w:rPr>
          <w:rFonts w:asciiTheme="minorEastAsia" w:eastAsiaTheme="minorEastAsia" w:hAnsiTheme="minorEastAsia"/>
          <w:sz w:val="21"/>
          <w:szCs w:val="21"/>
        </w:rPr>
        <w:t>三年持有期限到期日</w:t>
      </w:r>
      <w:r w:rsidRPr="00E06EE7">
        <w:rPr>
          <w:rFonts w:asciiTheme="minorEastAsia" w:eastAsiaTheme="minorEastAsia" w:hAnsiTheme="minorEastAsia" w:hint="eastAsia"/>
          <w:sz w:val="21"/>
          <w:szCs w:val="21"/>
        </w:rPr>
        <w:t>起才能办理赎回及转换转出业务。</w:t>
      </w:r>
    </w:p>
    <w:p w:rsidR="001320E5" w:rsidRPr="004F42BB" w:rsidRDefault="001320E5" w:rsidP="00B97B73">
      <w:pPr>
        <w:pStyle w:val="Default"/>
        <w:spacing w:line="360" w:lineRule="auto"/>
        <w:ind w:firstLineChars="270" w:firstLine="567"/>
        <w:rPr>
          <w:rFonts w:asciiTheme="minorEastAsia" w:eastAsiaTheme="minorEastAsia" w:hAnsiTheme="minorEastAsia"/>
          <w:sz w:val="21"/>
          <w:szCs w:val="21"/>
        </w:rPr>
      </w:pPr>
      <w:r w:rsidRPr="001320E5">
        <w:rPr>
          <w:rFonts w:asciiTheme="minorEastAsia" w:eastAsiaTheme="minorEastAsia" w:hAnsiTheme="minorEastAsia"/>
          <w:sz w:val="21"/>
          <w:szCs w:val="21"/>
        </w:rPr>
        <w:t>认购份额的“三年持有期限起始日”为基金合同生效日；“三年持有期限到期日”为基金合同生效日的三年年度对日，若该日历年度实际不存在对应日期，则顺延至该年对应月份最后一日的下一工作日；若该对日为非工作日的，则顺延至下一工作日。申购份额的“三年持有期限起始日”为申购申请确认日；“三年持有期限到期日”为申购申请确认日的三年年度对日，若该日历年度实际不存在对应日期，则顺延至该年对应月份最后一日的下一工作日；若该对日为非工作日的，则到期日顺延至下一工作日；若某一基金份额三年持有期限起始日起至目标日期的时间间隔不足三年，则以目标日期（即 2040 年 12 月 31 日）为该基金份额三年持有期限到期日，且在目标日期之日起（含目标日期）可以提出赎回申请，不受三年持有期限制；如该日为非工作日，则顺延至下一工作日。</w:t>
      </w:r>
    </w:p>
    <w:p w:rsidR="00B97B73" w:rsidRPr="004F42BB" w:rsidRDefault="00B97B73" w:rsidP="00B97B73">
      <w:pPr>
        <w:pStyle w:val="Default"/>
        <w:spacing w:line="360" w:lineRule="auto"/>
        <w:ind w:firstLineChars="270" w:firstLine="567"/>
        <w:rPr>
          <w:rFonts w:asciiTheme="minorEastAsia" w:eastAsiaTheme="minorEastAsia" w:hAnsiTheme="minorEastAsia"/>
          <w:sz w:val="21"/>
          <w:szCs w:val="21"/>
        </w:rPr>
      </w:pPr>
      <w:r w:rsidRPr="004F42BB">
        <w:rPr>
          <w:rFonts w:asciiTheme="minorEastAsia" w:eastAsiaTheme="minorEastAsia" w:hAnsiTheme="minorEastAsia" w:hint="eastAsia"/>
          <w:sz w:val="21"/>
          <w:szCs w:val="21"/>
        </w:rPr>
        <w:t>基金合同生效日：</w:t>
      </w:r>
      <w:r w:rsidR="00B25478">
        <w:rPr>
          <w:rFonts w:asciiTheme="minorEastAsia" w:eastAsiaTheme="minorEastAsia" w:hAnsiTheme="minorEastAsia" w:hint="eastAsia"/>
          <w:sz w:val="21"/>
          <w:szCs w:val="21"/>
        </w:rPr>
        <w:t>2021</w:t>
      </w:r>
      <w:r w:rsidR="00670EBC" w:rsidRPr="004F42BB">
        <w:rPr>
          <w:rFonts w:asciiTheme="minorEastAsia" w:eastAsiaTheme="minorEastAsia" w:hAnsiTheme="minorEastAsia" w:hint="eastAsia"/>
          <w:sz w:val="21"/>
          <w:szCs w:val="21"/>
        </w:rPr>
        <w:t>年</w:t>
      </w:r>
      <w:r w:rsidR="00B25478">
        <w:rPr>
          <w:rFonts w:asciiTheme="minorEastAsia" w:eastAsiaTheme="minorEastAsia" w:hAnsiTheme="minorEastAsia" w:hint="eastAsia"/>
          <w:sz w:val="21"/>
          <w:szCs w:val="21"/>
        </w:rPr>
        <w:t>12</w:t>
      </w:r>
      <w:r w:rsidR="00670EBC" w:rsidRPr="004F42BB">
        <w:rPr>
          <w:rFonts w:asciiTheme="minorEastAsia" w:eastAsiaTheme="minorEastAsia" w:hAnsiTheme="minorEastAsia" w:hint="eastAsia"/>
          <w:sz w:val="21"/>
          <w:szCs w:val="21"/>
        </w:rPr>
        <w:t>月</w:t>
      </w:r>
      <w:r w:rsidR="00B25478">
        <w:rPr>
          <w:rFonts w:asciiTheme="minorEastAsia" w:eastAsiaTheme="minorEastAsia" w:hAnsiTheme="minorEastAsia" w:hint="eastAsia"/>
          <w:sz w:val="21"/>
          <w:szCs w:val="21"/>
        </w:rPr>
        <w:t>15</w:t>
      </w:r>
      <w:r w:rsidR="00670EBC" w:rsidRPr="004F42BB">
        <w:rPr>
          <w:rFonts w:asciiTheme="minorEastAsia" w:eastAsiaTheme="minorEastAsia" w:hAnsiTheme="minorEastAsia" w:hint="eastAsia"/>
          <w:sz w:val="21"/>
          <w:szCs w:val="21"/>
        </w:rPr>
        <w:t>日</w:t>
      </w:r>
    </w:p>
    <w:p w:rsidR="00B97B73" w:rsidRPr="004F42BB" w:rsidRDefault="00B97B73" w:rsidP="00B97B73">
      <w:pPr>
        <w:pStyle w:val="Default"/>
        <w:spacing w:line="360" w:lineRule="auto"/>
        <w:ind w:firstLineChars="270" w:firstLine="567"/>
        <w:rPr>
          <w:rFonts w:asciiTheme="minorEastAsia" w:eastAsiaTheme="minorEastAsia" w:hAnsiTheme="minorEastAsia"/>
          <w:sz w:val="21"/>
          <w:szCs w:val="21"/>
        </w:rPr>
      </w:pPr>
      <w:r w:rsidRPr="004F42BB">
        <w:rPr>
          <w:rFonts w:asciiTheme="minorEastAsia" w:eastAsiaTheme="minorEastAsia" w:hAnsiTheme="minorEastAsia" w:hint="eastAsia"/>
          <w:sz w:val="21"/>
          <w:szCs w:val="21"/>
        </w:rPr>
        <w:t>基金管理人名称：</w:t>
      </w:r>
      <w:r w:rsidR="002A58D2" w:rsidRPr="002A58D2">
        <w:rPr>
          <w:rFonts w:asciiTheme="minorEastAsia" w:eastAsiaTheme="minorEastAsia" w:hAnsiTheme="minorEastAsia" w:hint="eastAsia"/>
          <w:sz w:val="21"/>
          <w:szCs w:val="21"/>
        </w:rPr>
        <w:t>摩根士丹利基金管理 (中国) 有限公司</w:t>
      </w:r>
    </w:p>
    <w:p w:rsidR="00B97B73" w:rsidRPr="004F42BB" w:rsidRDefault="00B97B73" w:rsidP="00B97B73">
      <w:pPr>
        <w:pStyle w:val="Default"/>
        <w:spacing w:line="360" w:lineRule="auto"/>
        <w:ind w:firstLineChars="270" w:firstLine="567"/>
        <w:rPr>
          <w:rFonts w:asciiTheme="minorEastAsia" w:eastAsiaTheme="minorEastAsia" w:hAnsiTheme="minorEastAsia"/>
          <w:sz w:val="21"/>
          <w:szCs w:val="21"/>
        </w:rPr>
      </w:pPr>
      <w:r w:rsidRPr="004F42BB">
        <w:rPr>
          <w:rFonts w:asciiTheme="minorEastAsia" w:eastAsiaTheme="minorEastAsia" w:hAnsiTheme="minorEastAsia" w:hint="eastAsia"/>
          <w:sz w:val="21"/>
          <w:szCs w:val="21"/>
        </w:rPr>
        <w:t>基金托管人名称：</w:t>
      </w:r>
      <w:r w:rsidR="00A20431" w:rsidRPr="00CE7685">
        <w:rPr>
          <w:rFonts w:asciiTheme="minorEastAsia" w:eastAsiaTheme="minorEastAsia" w:hAnsiTheme="minorEastAsia" w:hint="eastAsia"/>
          <w:sz w:val="21"/>
          <w:szCs w:val="21"/>
        </w:rPr>
        <w:t>中国建设银行股份有限公司</w:t>
      </w:r>
    </w:p>
    <w:p w:rsidR="00963BEA" w:rsidRPr="00175F0C" w:rsidRDefault="00B97B73">
      <w:pPr>
        <w:pStyle w:val="Default"/>
        <w:spacing w:line="360" w:lineRule="auto"/>
        <w:ind w:firstLineChars="270" w:firstLine="569"/>
        <w:rPr>
          <w:rFonts w:asciiTheme="minorEastAsia" w:eastAsiaTheme="minorEastAsia" w:hAnsiTheme="minorEastAsia"/>
          <w:b/>
          <w:sz w:val="21"/>
          <w:szCs w:val="21"/>
        </w:rPr>
      </w:pPr>
      <w:r w:rsidRPr="00175F0C">
        <w:rPr>
          <w:rFonts w:asciiTheme="minorEastAsia" w:eastAsiaTheme="minorEastAsia" w:hAnsiTheme="minorEastAsia" w:hint="eastAsia"/>
          <w:b/>
          <w:sz w:val="21"/>
          <w:szCs w:val="21"/>
        </w:rPr>
        <w:t xml:space="preserve">二、可能触发基金合同终止的情形说明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根据《基金合同》</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第五部分</w:t>
      </w:r>
      <w:r w:rsidRPr="00B97B73">
        <w:rPr>
          <w:rFonts w:asciiTheme="minorEastAsia" w:eastAsiaTheme="minorEastAsia" w:hAnsiTheme="minorEastAsia"/>
          <w:sz w:val="21"/>
          <w:szCs w:val="21"/>
        </w:rPr>
        <w:t xml:space="preserve"> </w:t>
      </w:r>
      <w:r w:rsidRPr="00B97B73">
        <w:rPr>
          <w:rFonts w:asciiTheme="minorEastAsia" w:eastAsiaTheme="minorEastAsia" w:hAnsiTheme="minorEastAsia" w:hint="eastAsia"/>
          <w:sz w:val="21"/>
          <w:szCs w:val="21"/>
        </w:rPr>
        <w:t>基金备案</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之</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三、基金存续期内的基金份额持有人</w:t>
      </w:r>
      <w:r w:rsidRPr="00B97B73">
        <w:rPr>
          <w:rFonts w:asciiTheme="minorEastAsia" w:eastAsiaTheme="minorEastAsia" w:hAnsiTheme="minorEastAsia" w:hint="eastAsia"/>
          <w:sz w:val="21"/>
          <w:szCs w:val="21"/>
        </w:rPr>
        <w:lastRenderedPageBreak/>
        <w:t>数量和资产规模</w:t>
      </w:r>
      <w:r w:rsidRPr="00B97B73">
        <w:rPr>
          <w:rFonts w:asciiTheme="minorEastAsia" w:eastAsiaTheme="minorEastAsia" w:hAnsiTheme="minorEastAsia"/>
          <w:sz w:val="21"/>
          <w:szCs w:val="21"/>
        </w:rPr>
        <w:t>”</w:t>
      </w:r>
      <w:r w:rsidRPr="00B97B73">
        <w:rPr>
          <w:rFonts w:asciiTheme="minorEastAsia" w:eastAsiaTheme="minorEastAsia" w:hAnsiTheme="minorEastAsia" w:hint="eastAsia"/>
          <w:sz w:val="21"/>
          <w:szCs w:val="21"/>
        </w:rPr>
        <w:t>的约定</w:t>
      </w:r>
      <w:r w:rsidRPr="00B97B73">
        <w:rPr>
          <w:rFonts w:asciiTheme="minorEastAsia" w:eastAsiaTheme="minorEastAsia" w:hAnsiTheme="minorEastAsia"/>
          <w:sz w:val="21"/>
          <w:szCs w:val="21"/>
        </w:rPr>
        <w:t xml:space="preserve">: </w:t>
      </w:r>
    </w:p>
    <w:p w:rsidR="002D1553" w:rsidRPr="00B97B73" w:rsidRDefault="001320E5" w:rsidP="002D1553">
      <w:pPr>
        <w:spacing w:line="360" w:lineRule="auto"/>
        <w:ind w:firstLineChars="270" w:firstLine="567"/>
        <w:rPr>
          <w:rFonts w:asciiTheme="minorEastAsia" w:hAnsiTheme="minorEastAsia"/>
          <w:szCs w:val="21"/>
        </w:rPr>
      </w:pPr>
      <w:r>
        <w:rPr>
          <w:rFonts w:asciiTheme="minorEastAsia" w:hAnsiTheme="minorEastAsia" w:hint="eastAsia"/>
          <w:szCs w:val="21"/>
        </w:rPr>
        <w:t>“</w:t>
      </w:r>
      <w:r w:rsidRPr="001320E5">
        <w:rPr>
          <w:rFonts w:asciiTheme="minorEastAsia" w:hAnsiTheme="minorEastAsia"/>
          <w:szCs w:val="21"/>
        </w:rPr>
        <w:t>基金合同生效之日起3年后的对应日，若基金资产净值低于2亿元，基金合同应当终止，无需召开基金份额持有人大会审议，且不得通过召开基金持有人大会的方式延续。</w:t>
      </w:r>
      <w:r>
        <w:rPr>
          <w:rFonts w:asciiTheme="minorEastAsia" w:hAnsiTheme="minorEastAsia" w:hint="eastAsia"/>
          <w:szCs w:val="21"/>
        </w:rPr>
        <w:t>”</w:t>
      </w:r>
    </w:p>
    <w:p w:rsidR="00A15E32" w:rsidRDefault="00B24C05">
      <w:pPr>
        <w:pStyle w:val="Default"/>
        <w:spacing w:line="360" w:lineRule="auto"/>
        <w:ind w:firstLineChars="270" w:firstLine="567"/>
        <w:rPr>
          <w:rFonts w:asciiTheme="minorEastAsia" w:eastAsiaTheme="minorEastAsia" w:hAnsiTheme="minorEastAsia" w:cstheme="minorBidi"/>
          <w:color w:val="auto"/>
          <w:kern w:val="2"/>
          <w:sz w:val="21"/>
          <w:szCs w:val="21"/>
        </w:rPr>
      </w:pPr>
      <w:r w:rsidRPr="00B24C05">
        <w:rPr>
          <w:rFonts w:asciiTheme="minorEastAsia" w:eastAsiaTheme="minorEastAsia" w:hAnsiTheme="minorEastAsia" w:cstheme="minorBidi"/>
          <w:color w:val="auto"/>
          <w:kern w:val="2"/>
          <w:sz w:val="21"/>
          <w:szCs w:val="21"/>
        </w:rPr>
        <w:t>本基金的基金合同生效日为2021年</w:t>
      </w:r>
      <w:r>
        <w:rPr>
          <w:rFonts w:asciiTheme="minorEastAsia" w:eastAsiaTheme="minorEastAsia" w:hAnsiTheme="minorEastAsia" w:cstheme="minorBidi" w:hint="eastAsia"/>
          <w:color w:val="auto"/>
          <w:kern w:val="2"/>
          <w:sz w:val="21"/>
          <w:szCs w:val="21"/>
        </w:rPr>
        <w:t>12</w:t>
      </w:r>
      <w:r w:rsidRPr="00B24C05">
        <w:rPr>
          <w:rFonts w:asciiTheme="minorEastAsia" w:eastAsiaTheme="minorEastAsia" w:hAnsiTheme="minorEastAsia" w:cstheme="minorBidi"/>
          <w:color w:val="auto"/>
          <w:kern w:val="2"/>
          <w:sz w:val="21"/>
          <w:szCs w:val="21"/>
        </w:rPr>
        <w:t>月</w:t>
      </w:r>
      <w:r>
        <w:rPr>
          <w:rFonts w:asciiTheme="minorEastAsia" w:eastAsiaTheme="minorEastAsia" w:hAnsiTheme="minorEastAsia" w:cstheme="minorBidi" w:hint="eastAsia"/>
          <w:color w:val="auto"/>
          <w:kern w:val="2"/>
          <w:sz w:val="21"/>
          <w:szCs w:val="21"/>
        </w:rPr>
        <w:t>15</w:t>
      </w:r>
      <w:r w:rsidRPr="00B24C05">
        <w:rPr>
          <w:rFonts w:asciiTheme="minorEastAsia" w:eastAsiaTheme="minorEastAsia" w:hAnsiTheme="minorEastAsia" w:cstheme="minorBidi"/>
          <w:color w:val="auto"/>
          <w:kern w:val="2"/>
          <w:sz w:val="21"/>
          <w:szCs w:val="21"/>
        </w:rPr>
        <w:t>日，基金合同生效之日起3年后的对应日为 2024年</w:t>
      </w:r>
      <w:r>
        <w:rPr>
          <w:rFonts w:asciiTheme="minorEastAsia" w:eastAsiaTheme="minorEastAsia" w:hAnsiTheme="minorEastAsia" w:cstheme="minorBidi" w:hint="eastAsia"/>
          <w:color w:val="auto"/>
          <w:kern w:val="2"/>
          <w:sz w:val="21"/>
          <w:szCs w:val="21"/>
        </w:rPr>
        <w:t>12</w:t>
      </w:r>
      <w:r w:rsidRPr="00B24C05">
        <w:rPr>
          <w:rFonts w:asciiTheme="minorEastAsia" w:eastAsiaTheme="minorEastAsia" w:hAnsiTheme="minorEastAsia" w:cstheme="minorBidi"/>
          <w:color w:val="auto"/>
          <w:kern w:val="2"/>
          <w:sz w:val="21"/>
          <w:szCs w:val="21"/>
        </w:rPr>
        <w:t>月</w:t>
      </w:r>
      <w:r w:rsidR="00405E89">
        <w:rPr>
          <w:rFonts w:asciiTheme="minorEastAsia" w:eastAsiaTheme="minorEastAsia" w:hAnsiTheme="minorEastAsia" w:cstheme="minorBidi" w:hint="eastAsia"/>
          <w:color w:val="auto"/>
          <w:kern w:val="2"/>
          <w:sz w:val="21"/>
          <w:szCs w:val="21"/>
        </w:rPr>
        <w:t>1</w:t>
      </w:r>
      <w:r w:rsidR="001A4C22">
        <w:rPr>
          <w:rFonts w:asciiTheme="minorEastAsia" w:eastAsiaTheme="minorEastAsia" w:hAnsiTheme="minorEastAsia" w:cstheme="minorBidi" w:hint="eastAsia"/>
          <w:color w:val="auto"/>
          <w:kern w:val="2"/>
          <w:sz w:val="21"/>
          <w:szCs w:val="21"/>
        </w:rPr>
        <w:t>5</w:t>
      </w:r>
      <w:r w:rsidRPr="00B24C05">
        <w:rPr>
          <w:rFonts w:asciiTheme="minorEastAsia" w:eastAsiaTheme="minorEastAsia" w:hAnsiTheme="minorEastAsia" w:cstheme="minorBidi"/>
          <w:color w:val="auto"/>
          <w:kern w:val="2"/>
          <w:sz w:val="21"/>
          <w:szCs w:val="21"/>
        </w:rPr>
        <w:t>日。若截至2024年</w:t>
      </w:r>
      <w:r w:rsidR="00405E89">
        <w:rPr>
          <w:rFonts w:asciiTheme="minorEastAsia" w:eastAsiaTheme="minorEastAsia" w:hAnsiTheme="minorEastAsia" w:cstheme="minorBidi" w:hint="eastAsia"/>
          <w:color w:val="auto"/>
          <w:kern w:val="2"/>
          <w:sz w:val="21"/>
          <w:szCs w:val="21"/>
        </w:rPr>
        <w:t>12</w:t>
      </w:r>
      <w:r w:rsidRPr="00B24C05">
        <w:rPr>
          <w:rFonts w:asciiTheme="minorEastAsia" w:eastAsiaTheme="minorEastAsia" w:hAnsiTheme="minorEastAsia" w:cstheme="minorBidi"/>
          <w:color w:val="auto"/>
          <w:kern w:val="2"/>
          <w:sz w:val="21"/>
          <w:szCs w:val="21"/>
        </w:rPr>
        <w:t>月</w:t>
      </w:r>
      <w:r w:rsidR="00405E89">
        <w:rPr>
          <w:rFonts w:asciiTheme="minorEastAsia" w:eastAsiaTheme="minorEastAsia" w:hAnsiTheme="minorEastAsia" w:cstheme="minorBidi" w:hint="eastAsia"/>
          <w:color w:val="auto"/>
          <w:kern w:val="2"/>
          <w:sz w:val="21"/>
          <w:szCs w:val="21"/>
        </w:rPr>
        <w:t>1</w:t>
      </w:r>
      <w:r w:rsidR="00A51B7B">
        <w:rPr>
          <w:rFonts w:asciiTheme="minorEastAsia" w:eastAsiaTheme="minorEastAsia" w:hAnsiTheme="minorEastAsia" w:cstheme="minorBidi" w:hint="eastAsia"/>
          <w:color w:val="auto"/>
          <w:kern w:val="2"/>
          <w:sz w:val="21"/>
          <w:szCs w:val="21"/>
        </w:rPr>
        <w:t>5</w:t>
      </w:r>
      <w:r w:rsidRPr="00B24C05">
        <w:rPr>
          <w:rFonts w:asciiTheme="minorEastAsia" w:eastAsiaTheme="minorEastAsia" w:hAnsiTheme="minorEastAsia" w:cstheme="minorBidi"/>
          <w:color w:val="auto"/>
          <w:kern w:val="2"/>
          <w:sz w:val="21"/>
          <w:szCs w:val="21"/>
        </w:rPr>
        <w:t>日日终，本基金的基金规模低于2亿元人民币，则 触发上述《基金合同》约定的终止情形，《基金合同》自动终止，基金管理人将根据相关法律法规、基金合同等规定对本基金进行清算。</w:t>
      </w:r>
    </w:p>
    <w:p w:rsidR="00963BEA" w:rsidRPr="00175F0C" w:rsidRDefault="00B97B73">
      <w:pPr>
        <w:pStyle w:val="Default"/>
        <w:spacing w:line="360" w:lineRule="auto"/>
        <w:ind w:firstLineChars="270" w:firstLine="569"/>
        <w:rPr>
          <w:rFonts w:asciiTheme="minorEastAsia" w:eastAsiaTheme="minorEastAsia" w:hAnsiTheme="minorEastAsia" w:cstheme="minorBidi"/>
          <w:b/>
          <w:color w:val="auto"/>
          <w:kern w:val="2"/>
          <w:sz w:val="21"/>
          <w:szCs w:val="21"/>
        </w:rPr>
      </w:pPr>
      <w:r w:rsidRPr="00175F0C">
        <w:rPr>
          <w:rFonts w:asciiTheme="minorEastAsia" w:eastAsiaTheme="minorEastAsia" w:hAnsiTheme="minorEastAsia" w:cstheme="minorBidi" w:hint="eastAsia"/>
          <w:b/>
          <w:color w:val="auto"/>
          <w:kern w:val="2"/>
          <w:sz w:val="21"/>
          <w:szCs w:val="21"/>
        </w:rPr>
        <w:t xml:space="preserve">三、其他需要提示的事项 </w:t>
      </w:r>
    </w:p>
    <w:p w:rsidR="00CE7EDE" w:rsidRDefault="00CE7EDE" w:rsidP="004B7A3D">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Pr="00CE7EDE">
        <w:rPr>
          <w:rFonts w:asciiTheme="minorEastAsia" w:eastAsiaTheme="minorEastAsia" w:hAnsiTheme="minorEastAsia" w:hint="eastAsia"/>
          <w:sz w:val="21"/>
          <w:szCs w:val="21"/>
        </w:rPr>
        <w:t>为降低对投资者的影响，本基金管理人已自2024年</w:t>
      </w:r>
      <w:r>
        <w:rPr>
          <w:rFonts w:asciiTheme="minorEastAsia" w:eastAsiaTheme="minorEastAsia" w:hAnsiTheme="minorEastAsia"/>
          <w:sz w:val="21"/>
          <w:szCs w:val="21"/>
        </w:rPr>
        <w:t>12</w:t>
      </w:r>
      <w:r w:rsidRPr="00CE7EDE">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9</w:t>
      </w:r>
      <w:r w:rsidRPr="00CE7EDE">
        <w:rPr>
          <w:rFonts w:asciiTheme="minorEastAsia" w:eastAsiaTheme="minorEastAsia" w:hAnsiTheme="minorEastAsia" w:hint="eastAsia"/>
          <w:sz w:val="21"/>
          <w:szCs w:val="21"/>
        </w:rPr>
        <w:t>日起暂停本基金申购、定期定额投资业务，赎回业务按照本基金基金合同、招募说明书规定办理。若发生上述《基金合同》约定的终止情形，2024年12月15日将为本基金最后运作日，2024年</w:t>
      </w:r>
      <w:r>
        <w:rPr>
          <w:rFonts w:asciiTheme="minorEastAsia" w:eastAsiaTheme="minorEastAsia" w:hAnsiTheme="minorEastAsia"/>
          <w:sz w:val="21"/>
          <w:szCs w:val="21"/>
        </w:rPr>
        <w:t>12</w:t>
      </w:r>
      <w:r w:rsidRPr="00CE7EDE">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w:t>
      </w:r>
      <w:r>
        <w:rPr>
          <w:rFonts w:asciiTheme="minorEastAsia" w:eastAsiaTheme="minorEastAsia" w:hAnsiTheme="minorEastAsia"/>
          <w:sz w:val="21"/>
          <w:szCs w:val="21"/>
        </w:rPr>
        <w:t>6</w:t>
      </w:r>
      <w:r w:rsidRPr="00CE7EDE">
        <w:rPr>
          <w:rFonts w:asciiTheme="minorEastAsia" w:eastAsiaTheme="minorEastAsia" w:hAnsiTheme="minorEastAsia" w:hint="eastAsia"/>
          <w:sz w:val="21"/>
          <w:szCs w:val="21"/>
        </w:rPr>
        <w:t>日起本基金将进入基金财产清算程序，不再办理申购、赎回、定期定额投资等业务。敬请投资者关注并合理进行投资安排。</w:t>
      </w:r>
    </w:p>
    <w:p w:rsidR="00B97B73" w:rsidRPr="00B97B73" w:rsidRDefault="00CE7EDE" w:rsidP="004B7A3D">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sz w:val="21"/>
          <w:szCs w:val="21"/>
        </w:rPr>
        <w:t>2</w:t>
      </w:r>
      <w:r w:rsidR="00B97B73" w:rsidRPr="00B97B73">
        <w:rPr>
          <w:rFonts w:asciiTheme="minorEastAsia" w:eastAsiaTheme="minorEastAsia" w:hAnsiTheme="minorEastAsia" w:hint="eastAsia"/>
          <w:sz w:val="21"/>
          <w:szCs w:val="21"/>
        </w:rPr>
        <w:t>、</w:t>
      </w:r>
      <w:r w:rsidR="00856212" w:rsidRPr="00856212">
        <w:rPr>
          <w:rFonts w:asciiTheme="minorEastAsia" w:eastAsiaTheme="minorEastAsia" w:hAnsiTheme="minorEastAsia" w:hint="eastAsia"/>
          <w:sz w:val="21"/>
          <w:szCs w:val="21"/>
        </w:rPr>
        <w:t>若</w:t>
      </w:r>
      <w:r>
        <w:rPr>
          <w:rFonts w:asciiTheme="minorEastAsia" w:eastAsiaTheme="minorEastAsia" w:hAnsiTheme="minorEastAsia" w:hint="eastAsia"/>
          <w:sz w:val="21"/>
          <w:szCs w:val="21"/>
        </w:rPr>
        <w:t>发生上述</w:t>
      </w:r>
      <w:r w:rsidR="00856212" w:rsidRPr="00856212">
        <w:rPr>
          <w:rFonts w:asciiTheme="minorEastAsia" w:eastAsiaTheme="minorEastAsia" w:hAnsiTheme="minorEastAsia" w:hint="eastAsia"/>
          <w:sz w:val="21"/>
          <w:szCs w:val="21"/>
        </w:rPr>
        <w:t>《基金合同》</w:t>
      </w:r>
      <w:r>
        <w:rPr>
          <w:rFonts w:asciiTheme="minorEastAsia" w:eastAsiaTheme="minorEastAsia" w:hAnsiTheme="minorEastAsia" w:hint="eastAsia"/>
          <w:sz w:val="21"/>
          <w:szCs w:val="21"/>
        </w:rPr>
        <w:t>约定的</w:t>
      </w:r>
      <w:r w:rsidR="00856212" w:rsidRPr="00856212">
        <w:rPr>
          <w:rFonts w:asciiTheme="minorEastAsia" w:eastAsiaTheme="minorEastAsia" w:hAnsiTheme="minorEastAsia" w:hint="eastAsia"/>
          <w:sz w:val="21"/>
          <w:szCs w:val="21"/>
        </w:rPr>
        <w:t>终止情形，</w:t>
      </w:r>
      <w:r w:rsidR="002C1557" w:rsidRPr="00B97B73">
        <w:rPr>
          <w:rFonts w:asciiTheme="minorEastAsia" w:eastAsiaTheme="minorEastAsia" w:hAnsiTheme="minorEastAsia" w:hint="eastAsia"/>
          <w:sz w:val="21"/>
          <w:szCs w:val="21"/>
        </w:rPr>
        <w:t>基金管理人将根据相关法律法规、</w:t>
      </w:r>
      <w:r w:rsidR="002C1557">
        <w:rPr>
          <w:rFonts w:asciiTheme="minorEastAsia" w:eastAsiaTheme="minorEastAsia" w:hAnsiTheme="minorEastAsia" w:hint="eastAsia"/>
          <w:sz w:val="21"/>
          <w:szCs w:val="21"/>
        </w:rPr>
        <w:t>《</w:t>
      </w:r>
      <w:r w:rsidR="002C1557" w:rsidRPr="00B97B73">
        <w:rPr>
          <w:rFonts w:asciiTheme="minorEastAsia" w:eastAsiaTheme="minorEastAsia" w:hAnsiTheme="minorEastAsia" w:hint="eastAsia"/>
          <w:sz w:val="21"/>
          <w:szCs w:val="21"/>
        </w:rPr>
        <w:t>基金合同</w:t>
      </w:r>
      <w:r w:rsidR="002C1557">
        <w:rPr>
          <w:rFonts w:asciiTheme="minorEastAsia" w:eastAsiaTheme="minorEastAsia" w:hAnsiTheme="minorEastAsia" w:hint="eastAsia"/>
          <w:sz w:val="21"/>
          <w:szCs w:val="21"/>
        </w:rPr>
        <w:t>》</w:t>
      </w:r>
      <w:r w:rsidR="002C1557" w:rsidRPr="00B97B73">
        <w:rPr>
          <w:rFonts w:asciiTheme="minorEastAsia" w:eastAsiaTheme="minorEastAsia" w:hAnsiTheme="minorEastAsia" w:hint="eastAsia"/>
          <w:sz w:val="21"/>
          <w:szCs w:val="21"/>
        </w:rPr>
        <w:t>等规定成立基金财产清算小组，履行基金财产清算程序</w:t>
      </w:r>
      <w:r w:rsidR="002C1557" w:rsidRPr="00856212">
        <w:rPr>
          <w:rFonts w:asciiTheme="minorEastAsia" w:eastAsiaTheme="minorEastAsia" w:hAnsiTheme="minorEastAsia" w:hint="eastAsia"/>
          <w:sz w:val="21"/>
          <w:szCs w:val="21"/>
        </w:rPr>
        <w:t>。</w:t>
      </w:r>
    </w:p>
    <w:p w:rsidR="00B97B73" w:rsidRPr="00B97B73" w:rsidRDefault="00CE7EDE" w:rsidP="00B97B73">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sz w:val="21"/>
          <w:szCs w:val="21"/>
        </w:rPr>
        <w:t>3</w:t>
      </w:r>
      <w:r w:rsidR="00B97B73" w:rsidRPr="00B97B73">
        <w:rPr>
          <w:rFonts w:asciiTheme="minorEastAsia" w:eastAsiaTheme="minorEastAsia" w:hAnsiTheme="minorEastAsia" w:hint="eastAsia"/>
          <w:sz w:val="21"/>
          <w:szCs w:val="21"/>
        </w:rPr>
        <w:t>、投资者欲了解本基金的详细情况</w:t>
      </w:r>
      <w:r w:rsidR="00B97B73" w:rsidRPr="00B97B73">
        <w:rPr>
          <w:rFonts w:asciiTheme="minorEastAsia" w:eastAsiaTheme="minorEastAsia" w:hAnsiTheme="minorEastAsia"/>
          <w:sz w:val="21"/>
          <w:szCs w:val="21"/>
        </w:rPr>
        <w:t>,</w:t>
      </w:r>
      <w:r w:rsidR="00B97B73" w:rsidRPr="00B97B73">
        <w:rPr>
          <w:rFonts w:asciiTheme="minorEastAsia" w:eastAsiaTheme="minorEastAsia" w:hAnsiTheme="minorEastAsia" w:hint="eastAsia"/>
          <w:sz w:val="21"/>
          <w:szCs w:val="21"/>
        </w:rPr>
        <w:t>请认真阅读</w:t>
      </w:r>
      <w:r w:rsidR="00B83E43">
        <w:rPr>
          <w:rFonts w:asciiTheme="minorEastAsia" w:eastAsiaTheme="minorEastAsia" w:hAnsiTheme="minorEastAsia" w:hint="eastAsia"/>
          <w:sz w:val="21"/>
          <w:szCs w:val="21"/>
        </w:rPr>
        <w:t>本基金的</w:t>
      </w:r>
      <w:r w:rsidRPr="00CE7EDE">
        <w:rPr>
          <w:rFonts w:asciiTheme="minorEastAsia" w:eastAsiaTheme="minorEastAsia" w:hAnsiTheme="minorEastAsia" w:hint="eastAsia"/>
          <w:sz w:val="21"/>
          <w:szCs w:val="21"/>
        </w:rPr>
        <w:t>《基金合同》</w:t>
      </w:r>
      <w:r>
        <w:rPr>
          <w:rFonts w:asciiTheme="minorEastAsia" w:eastAsiaTheme="minorEastAsia" w:hAnsiTheme="minorEastAsia" w:hint="eastAsia"/>
          <w:sz w:val="21"/>
          <w:szCs w:val="21"/>
        </w:rPr>
        <w:t>和招募说明书</w:t>
      </w:r>
      <w:r w:rsidR="00FE1A11">
        <w:rPr>
          <w:rFonts w:asciiTheme="minorEastAsia" w:eastAsiaTheme="minorEastAsia" w:hAnsiTheme="minorEastAsia" w:hint="eastAsia"/>
          <w:sz w:val="21"/>
          <w:szCs w:val="21"/>
        </w:rPr>
        <w:t>（更新）</w:t>
      </w:r>
      <w:r>
        <w:rPr>
          <w:rFonts w:asciiTheme="minorEastAsia" w:eastAsiaTheme="minorEastAsia" w:hAnsiTheme="minorEastAsia" w:hint="eastAsia"/>
          <w:sz w:val="21"/>
          <w:szCs w:val="21"/>
        </w:rPr>
        <w:t>等法律文件</w:t>
      </w:r>
      <w:r w:rsidR="00B97B73" w:rsidRPr="00B97B73">
        <w:rPr>
          <w:rFonts w:asciiTheme="minorEastAsia" w:eastAsiaTheme="minorEastAsia" w:hAnsiTheme="minorEastAsia" w:hint="eastAsia"/>
          <w:sz w:val="21"/>
          <w:szCs w:val="21"/>
        </w:rPr>
        <w:t>，投资者可通过以下途径咨询：</w:t>
      </w:r>
      <w:r w:rsidR="00B97B73" w:rsidRPr="00B97B73">
        <w:rPr>
          <w:rFonts w:asciiTheme="minorEastAsia" w:eastAsiaTheme="minorEastAsia" w:hAnsiTheme="minorEastAsia"/>
          <w:sz w:val="21"/>
          <w:szCs w:val="21"/>
        </w:rPr>
        <w:t xml:space="preserve">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基金管理人网站：</w:t>
      </w:r>
      <w:r w:rsidR="009647F7" w:rsidRPr="00175F0C">
        <w:rPr>
          <w:rFonts w:asciiTheme="minorEastAsia" w:eastAsiaTheme="minorEastAsia" w:hAnsiTheme="minorEastAsia"/>
          <w:sz w:val="21"/>
          <w:szCs w:val="21"/>
        </w:rPr>
        <w:t>www.morganstanleyfunds.com.cn</w:t>
      </w:r>
      <w:r w:rsidRPr="00B97B73">
        <w:rPr>
          <w:rFonts w:asciiTheme="minorEastAsia" w:eastAsiaTheme="minorEastAsia" w:hAnsiTheme="minorEastAsia"/>
          <w:sz w:val="21"/>
          <w:szCs w:val="21"/>
        </w:rPr>
        <w:t xml:space="preserve">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客服电话：</w:t>
      </w:r>
      <w:r w:rsidRPr="00B97B73">
        <w:rPr>
          <w:rFonts w:asciiTheme="minorEastAsia" w:eastAsiaTheme="minorEastAsia" w:hAnsiTheme="minorEastAsia"/>
          <w:sz w:val="21"/>
          <w:szCs w:val="21"/>
        </w:rPr>
        <w:t>400-88</w:t>
      </w:r>
      <w:r w:rsidRPr="00B97B73">
        <w:rPr>
          <w:rFonts w:asciiTheme="minorEastAsia" w:eastAsiaTheme="minorEastAsia" w:hAnsiTheme="minorEastAsia" w:hint="eastAsia"/>
          <w:sz w:val="21"/>
          <w:szCs w:val="21"/>
        </w:rPr>
        <w:t>8</w:t>
      </w:r>
      <w:r w:rsidRPr="00B97B73">
        <w:rPr>
          <w:rFonts w:asciiTheme="minorEastAsia" w:eastAsiaTheme="minorEastAsia" w:hAnsiTheme="minorEastAsia"/>
          <w:sz w:val="21"/>
          <w:szCs w:val="21"/>
        </w:rPr>
        <w:t>8-</w:t>
      </w:r>
      <w:r w:rsidRPr="00B97B73">
        <w:rPr>
          <w:rFonts w:asciiTheme="minorEastAsia" w:eastAsiaTheme="minorEastAsia" w:hAnsiTheme="minorEastAsia" w:hint="eastAsia"/>
          <w:sz w:val="21"/>
          <w:szCs w:val="21"/>
        </w:rPr>
        <w:t>668</w:t>
      </w:r>
      <w:r w:rsidRPr="00B97B73">
        <w:rPr>
          <w:rFonts w:asciiTheme="minorEastAsia" w:eastAsiaTheme="minorEastAsia" w:hAnsiTheme="minorEastAsia"/>
          <w:sz w:val="21"/>
          <w:szCs w:val="21"/>
        </w:rPr>
        <w:t xml:space="preserve"> </w:t>
      </w:r>
    </w:p>
    <w:p w:rsidR="00B65CD4" w:rsidRPr="00B97B73" w:rsidRDefault="00C7091E" w:rsidP="00F873D4">
      <w:pPr>
        <w:pStyle w:val="Default"/>
        <w:spacing w:line="360" w:lineRule="auto"/>
        <w:ind w:firstLineChars="270" w:firstLine="567"/>
        <w:rPr>
          <w:rFonts w:asciiTheme="minorEastAsia" w:eastAsiaTheme="minorEastAsia" w:hAnsiTheme="minorEastAsia"/>
          <w:sz w:val="21"/>
          <w:szCs w:val="21"/>
        </w:rPr>
      </w:pPr>
      <w:r>
        <w:rPr>
          <w:rFonts w:asciiTheme="minorEastAsia" w:eastAsiaTheme="minorEastAsia" w:hAnsiTheme="minorEastAsia"/>
          <w:sz w:val="21"/>
          <w:szCs w:val="21"/>
        </w:rPr>
        <w:t>4</w:t>
      </w:r>
      <w:r w:rsidR="00B97B73" w:rsidRPr="00B97B73">
        <w:rPr>
          <w:rFonts w:asciiTheme="minorEastAsia" w:eastAsiaTheme="minorEastAsia" w:hAnsiTheme="minorEastAsia" w:hint="eastAsia"/>
          <w:sz w:val="21"/>
          <w:szCs w:val="21"/>
        </w:rPr>
        <w:t>、本公告解释权归</w:t>
      </w:r>
      <w:r w:rsidR="002A58D2" w:rsidRPr="002A58D2">
        <w:rPr>
          <w:rFonts w:asciiTheme="minorEastAsia" w:eastAsiaTheme="minorEastAsia" w:hAnsiTheme="minorEastAsia" w:hint="eastAsia"/>
          <w:sz w:val="21"/>
          <w:szCs w:val="21"/>
        </w:rPr>
        <w:t>摩根士丹利基金管理 (中国) 有限公司</w:t>
      </w:r>
      <w:r w:rsidR="00B97B73" w:rsidRPr="00B97B73">
        <w:rPr>
          <w:rFonts w:asciiTheme="minorEastAsia" w:eastAsiaTheme="minorEastAsia" w:hAnsiTheme="minorEastAsia" w:hint="eastAsia"/>
          <w:sz w:val="21"/>
          <w:szCs w:val="21"/>
        </w:rPr>
        <w:t>所有。</w:t>
      </w:r>
      <w:r w:rsidR="00B97B73" w:rsidRPr="00B97B73">
        <w:rPr>
          <w:rFonts w:asciiTheme="minorEastAsia" w:eastAsiaTheme="minorEastAsia" w:hAnsiTheme="minorEastAsia"/>
          <w:sz w:val="21"/>
          <w:szCs w:val="21"/>
        </w:rPr>
        <w:t xml:space="preserve"> </w:t>
      </w:r>
    </w:p>
    <w:p w:rsidR="00B97B73" w:rsidRPr="00B97B73" w:rsidRDefault="00B97B73" w:rsidP="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风险提示：</w:t>
      </w:r>
      <w:r w:rsidR="000A3113" w:rsidRPr="00DA1CEA">
        <w:rPr>
          <w:rFonts w:asciiTheme="minorEastAsia" w:eastAsiaTheme="minorEastAsia" w:hAnsiTheme="minorEastAsia" w:hint="eastAsia"/>
          <w:sz w:val="21"/>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招募说明书</w:t>
      </w:r>
      <w:r w:rsidR="00AF4803">
        <w:rPr>
          <w:rFonts w:asciiTheme="minorEastAsia" w:eastAsiaTheme="minorEastAsia" w:hAnsiTheme="minorEastAsia" w:hint="eastAsia"/>
          <w:sz w:val="21"/>
          <w:szCs w:val="21"/>
        </w:rPr>
        <w:t>（更新）</w:t>
      </w:r>
      <w:r w:rsidR="000A3113">
        <w:rPr>
          <w:rFonts w:asciiTheme="minorEastAsia" w:eastAsiaTheme="minorEastAsia" w:hAnsiTheme="minorEastAsia" w:hint="eastAsia"/>
          <w:sz w:val="21"/>
          <w:szCs w:val="21"/>
        </w:rPr>
        <w:t>及</w:t>
      </w:r>
      <w:r w:rsidR="00B64900">
        <w:rPr>
          <w:rFonts w:asciiTheme="minorEastAsia" w:eastAsiaTheme="minorEastAsia" w:hAnsiTheme="minorEastAsia" w:hint="eastAsia"/>
          <w:sz w:val="21"/>
          <w:szCs w:val="21"/>
        </w:rPr>
        <w:t>基金</w:t>
      </w:r>
      <w:r w:rsidR="000A3113">
        <w:rPr>
          <w:rFonts w:asciiTheme="minorEastAsia" w:eastAsiaTheme="minorEastAsia" w:hAnsiTheme="minorEastAsia"/>
          <w:sz w:val="21"/>
          <w:szCs w:val="21"/>
        </w:rPr>
        <w:t>产品资料概要</w:t>
      </w:r>
      <w:r w:rsidR="00AF4803">
        <w:rPr>
          <w:rFonts w:asciiTheme="minorEastAsia" w:eastAsiaTheme="minorEastAsia" w:hAnsiTheme="minorEastAsia" w:hint="eastAsia"/>
          <w:sz w:val="21"/>
          <w:szCs w:val="21"/>
        </w:rPr>
        <w:t>（更新）</w:t>
      </w:r>
      <w:r w:rsidR="000A3113" w:rsidRPr="00DA1CEA">
        <w:rPr>
          <w:rFonts w:asciiTheme="minorEastAsia" w:eastAsiaTheme="minorEastAsia" w:hAnsiTheme="minorEastAsia" w:hint="eastAsia"/>
          <w:sz w:val="21"/>
          <w:szCs w:val="21"/>
        </w:rPr>
        <w:t>等法律文件，了解所投资基金的风险收益特征，并根据自身投资目的、投资期限、投资经验、资产状况等判断基金是否和投资者的风险承受能力相匹配。</w:t>
      </w:r>
      <w:r w:rsidRPr="00B97B73">
        <w:rPr>
          <w:rFonts w:asciiTheme="minorEastAsia" w:eastAsiaTheme="minorEastAsia" w:hAnsiTheme="minorEastAsia"/>
          <w:sz w:val="21"/>
          <w:szCs w:val="21"/>
        </w:rPr>
        <w:t xml:space="preserve"> </w:t>
      </w:r>
    </w:p>
    <w:p w:rsidR="00A00DB0" w:rsidRDefault="00A00DB0" w:rsidP="00B97B73">
      <w:pPr>
        <w:pStyle w:val="Default"/>
        <w:spacing w:line="360" w:lineRule="auto"/>
        <w:rPr>
          <w:rFonts w:asciiTheme="minorEastAsia" w:eastAsiaTheme="minorEastAsia" w:hAnsiTheme="minorEastAsia"/>
          <w:sz w:val="21"/>
          <w:szCs w:val="21"/>
        </w:rPr>
      </w:pP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hint="eastAsia"/>
          <w:sz w:val="21"/>
          <w:szCs w:val="21"/>
        </w:rPr>
        <w:t>特此公告。</w:t>
      </w:r>
    </w:p>
    <w:p w:rsidR="00963BEA" w:rsidRDefault="00B97B73">
      <w:pPr>
        <w:pStyle w:val="Default"/>
        <w:spacing w:line="360" w:lineRule="auto"/>
        <w:ind w:firstLineChars="270" w:firstLine="567"/>
        <w:rPr>
          <w:rFonts w:asciiTheme="minorEastAsia" w:eastAsiaTheme="minorEastAsia" w:hAnsiTheme="minorEastAsia"/>
          <w:sz w:val="21"/>
          <w:szCs w:val="21"/>
        </w:rPr>
      </w:pPr>
      <w:r w:rsidRPr="00B97B73">
        <w:rPr>
          <w:rFonts w:asciiTheme="minorEastAsia" w:eastAsiaTheme="minorEastAsia" w:hAnsiTheme="minorEastAsia"/>
          <w:sz w:val="21"/>
          <w:szCs w:val="21"/>
        </w:rPr>
        <w:t xml:space="preserve"> </w:t>
      </w:r>
    </w:p>
    <w:p w:rsidR="00B97B73" w:rsidRPr="00B97B73" w:rsidRDefault="002A58D2" w:rsidP="00B97B73">
      <w:pPr>
        <w:spacing w:line="360" w:lineRule="auto"/>
        <w:jc w:val="right"/>
        <w:rPr>
          <w:rFonts w:asciiTheme="minorEastAsia" w:hAnsiTheme="minorEastAsia"/>
          <w:szCs w:val="21"/>
        </w:rPr>
      </w:pPr>
      <w:r w:rsidRPr="002A58D2">
        <w:rPr>
          <w:rFonts w:asciiTheme="minorEastAsia" w:hAnsiTheme="minorEastAsia" w:cs="宋体" w:hint="eastAsia"/>
          <w:color w:val="2C2C2C"/>
          <w:kern w:val="0"/>
          <w:szCs w:val="21"/>
        </w:rPr>
        <w:t>摩根士丹利基金管理 (中国) 有限公司</w:t>
      </w:r>
    </w:p>
    <w:p w:rsidR="00B97B73" w:rsidRPr="00B97B73" w:rsidRDefault="001A56B5" w:rsidP="00B97B73">
      <w:pPr>
        <w:spacing w:line="360" w:lineRule="auto"/>
        <w:jc w:val="right"/>
        <w:rPr>
          <w:rFonts w:asciiTheme="minorEastAsia" w:hAnsiTheme="minorEastAsia"/>
          <w:szCs w:val="21"/>
        </w:rPr>
      </w:pPr>
      <w:r>
        <w:rPr>
          <w:rFonts w:asciiTheme="minorEastAsia" w:hAnsiTheme="minorEastAsia" w:hint="eastAsia"/>
          <w:szCs w:val="21"/>
        </w:rPr>
        <w:t>2024</w:t>
      </w:r>
      <w:r w:rsidR="00B97B73" w:rsidRPr="00B97B73">
        <w:rPr>
          <w:rFonts w:asciiTheme="minorEastAsia" w:hAnsiTheme="minorEastAsia" w:hint="eastAsia"/>
          <w:szCs w:val="21"/>
        </w:rPr>
        <w:t>年</w:t>
      </w:r>
      <w:r w:rsidR="00754DCA">
        <w:rPr>
          <w:rFonts w:asciiTheme="minorEastAsia" w:hAnsiTheme="minorEastAsia" w:hint="eastAsia"/>
          <w:szCs w:val="21"/>
        </w:rPr>
        <w:t>12</w:t>
      </w:r>
      <w:r w:rsidR="00B97B73" w:rsidRPr="00B97B73">
        <w:rPr>
          <w:rFonts w:asciiTheme="minorEastAsia" w:hAnsiTheme="minorEastAsia" w:hint="eastAsia"/>
          <w:szCs w:val="21"/>
        </w:rPr>
        <w:t>月</w:t>
      </w:r>
      <w:r w:rsidR="00754DCA">
        <w:rPr>
          <w:rFonts w:asciiTheme="minorEastAsia" w:hAnsiTheme="minorEastAsia" w:hint="eastAsia"/>
          <w:szCs w:val="21"/>
        </w:rPr>
        <w:t>9</w:t>
      </w:r>
      <w:r w:rsidR="00B97B73" w:rsidRPr="00B97B73">
        <w:rPr>
          <w:rFonts w:asciiTheme="minorEastAsia" w:hAnsiTheme="minorEastAsia" w:hint="eastAsia"/>
          <w:szCs w:val="21"/>
        </w:rPr>
        <w:t>日</w:t>
      </w:r>
    </w:p>
    <w:sectPr w:rsidR="00B97B73" w:rsidRPr="00B97B73" w:rsidSect="005308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A57" w:rsidRDefault="00AD0A57" w:rsidP="001B53D1">
      <w:r>
        <w:separator/>
      </w:r>
    </w:p>
  </w:endnote>
  <w:endnote w:type="continuationSeparator" w:id="0">
    <w:p w:rsidR="00AD0A57" w:rsidRDefault="00AD0A57" w:rsidP="001B53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A57" w:rsidRDefault="00AD0A57" w:rsidP="001B53D1">
      <w:r>
        <w:separator/>
      </w:r>
    </w:p>
  </w:footnote>
  <w:footnote w:type="continuationSeparator" w:id="0">
    <w:p w:rsidR="00AD0A57" w:rsidRDefault="00AD0A57" w:rsidP="001B53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7B73"/>
    <w:rsid w:val="000348AA"/>
    <w:rsid w:val="00034DB3"/>
    <w:rsid w:val="00043885"/>
    <w:rsid w:val="00045D77"/>
    <w:rsid w:val="00077BF6"/>
    <w:rsid w:val="000819F5"/>
    <w:rsid w:val="00081B45"/>
    <w:rsid w:val="00083E7A"/>
    <w:rsid w:val="000910E8"/>
    <w:rsid w:val="00096EE5"/>
    <w:rsid w:val="00097C09"/>
    <w:rsid w:val="000A3113"/>
    <w:rsid w:val="000A3BC1"/>
    <w:rsid w:val="000C07F7"/>
    <w:rsid w:val="000C5A34"/>
    <w:rsid w:val="000D2D5F"/>
    <w:rsid w:val="000D67CF"/>
    <w:rsid w:val="000F303F"/>
    <w:rsid w:val="000F5E5D"/>
    <w:rsid w:val="001069AE"/>
    <w:rsid w:val="001320E5"/>
    <w:rsid w:val="00132621"/>
    <w:rsid w:val="001425F9"/>
    <w:rsid w:val="0014730D"/>
    <w:rsid w:val="00162BF1"/>
    <w:rsid w:val="00175F0C"/>
    <w:rsid w:val="001A25BB"/>
    <w:rsid w:val="001A4C22"/>
    <w:rsid w:val="001A56B5"/>
    <w:rsid w:val="001B2E33"/>
    <w:rsid w:val="001B53D1"/>
    <w:rsid w:val="001C158D"/>
    <w:rsid w:val="001F6838"/>
    <w:rsid w:val="00215A67"/>
    <w:rsid w:val="002479D5"/>
    <w:rsid w:val="00275D26"/>
    <w:rsid w:val="002808E6"/>
    <w:rsid w:val="00281BA4"/>
    <w:rsid w:val="002953BF"/>
    <w:rsid w:val="002A58D2"/>
    <w:rsid w:val="002C1557"/>
    <w:rsid w:val="002D1553"/>
    <w:rsid w:val="002D7658"/>
    <w:rsid w:val="002E68D2"/>
    <w:rsid w:val="00302BD2"/>
    <w:rsid w:val="00310E42"/>
    <w:rsid w:val="00327957"/>
    <w:rsid w:val="00342C31"/>
    <w:rsid w:val="003744EE"/>
    <w:rsid w:val="00387BC8"/>
    <w:rsid w:val="003E06BF"/>
    <w:rsid w:val="00405E89"/>
    <w:rsid w:val="00411E6F"/>
    <w:rsid w:val="004137A7"/>
    <w:rsid w:val="0041455E"/>
    <w:rsid w:val="00434791"/>
    <w:rsid w:val="00436205"/>
    <w:rsid w:val="00445F37"/>
    <w:rsid w:val="0046799B"/>
    <w:rsid w:val="00471C5C"/>
    <w:rsid w:val="004B7A3D"/>
    <w:rsid w:val="004E2705"/>
    <w:rsid w:val="004F0992"/>
    <w:rsid w:val="004F42BB"/>
    <w:rsid w:val="00510EE4"/>
    <w:rsid w:val="00516A8C"/>
    <w:rsid w:val="00530875"/>
    <w:rsid w:val="00555243"/>
    <w:rsid w:val="005857C0"/>
    <w:rsid w:val="005933FF"/>
    <w:rsid w:val="005A3ECF"/>
    <w:rsid w:val="005B4B7F"/>
    <w:rsid w:val="005C3256"/>
    <w:rsid w:val="005C3DA7"/>
    <w:rsid w:val="005E056D"/>
    <w:rsid w:val="005F2832"/>
    <w:rsid w:val="005F4A50"/>
    <w:rsid w:val="005F53CB"/>
    <w:rsid w:val="005F72D2"/>
    <w:rsid w:val="00623C06"/>
    <w:rsid w:val="006630B2"/>
    <w:rsid w:val="00670EBC"/>
    <w:rsid w:val="0067204C"/>
    <w:rsid w:val="0067373B"/>
    <w:rsid w:val="006937A9"/>
    <w:rsid w:val="00695B04"/>
    <w:rsid w:val="006C2929"/>
    <w:rsid w:val="00754DCA"/>
    <w:rsid w:val="007700E4"/>
    <w:rsid w:val="007807D7"/>
    <w:rsid w:val="00781660"/>
    <w:rsid w:val="00782600"/>
    <w:rsid w:val="00792F11"/>
    <w:rsid w:val="00794F11"/>
    <w:rsid w:val="007C038C"/>
    <w:rsid w:val="007C15B7"/>
    <w:rsid w:val="007E2AD0"/>
    <w:rsid w:val="007E51BD"/>
    <w:rsid w:val="007F3955"/>
    <w:rsid w:val="008077E1"/>
    <w:rsid w:val="0082242B"/>
    <w:rsid w:val="00835ABD"/>
    <w:rsid w:val="0085296C"/>
    <w:rsid w:val="00852CCD"/>
    <w:rsid w:val="00856212"/>
    <w:rsid w:val="0086117E"/>
    <w:rsid w:val="008679F8"/>
    <w:rsid w:val="00886269"/>
    <w:rsid w:val="008B2AA3"/>
    <w:rsid w:val="008E0EC6"/>
    <w:rsid w:val="0093527E"/>
    <w:rsid w:val="0093554C"/>
    <w:rsid w:val="009359C1"/>
    <w:rsid w:val="00935BDC"/>
    <w:rsid w:val="00936581"/>
    <w:rsid w:val="009470DC"/>
    <w:rsid w:val="00954332"/>
    <w:rsid w:val="00955BB2"/>
    <w:rsid w:val="00957F3B"/>
    <w:rsid w:val="00963BEA"/>
    <w:rsid w:val="009647F7"/>
    <w:rsid w:val="00965170"/>
    <w:rsid w:val="00965C8E"/>
    <w:rsid w:val="009750B4"/>
    <w:rsid w:val="009836B1"/>
    <w:rsid w:val="00996AF3"/>
    <w:rsid w:val="009D2BD4"/>
    <w:rsid w:val="009D47A8"/>
    <w:rsid w:val="009E2044"/>
    <w:rsid w:val="009E5BBE"/>
    <w:rsid w:val="009F12B7"/>
    <w:rsid w:val="00A00DB0"/>
    <w:rsid w:val="00A13E72"/>
    <w:rsid w:val="00A15E32"/>
    <w:rsid w:val="00A20431"/>
    <w:rsid w:val="00A3784C"/>
    <w:rsid w:val="00A51B7B"/>
    <w:rsid w:val="00A54099"/>
    <w:rsid w:val="00A64AC8"/>
    <w:rsid w:val="00A740E1"/>
    <w:rsid w:val="00A81F03"/>
    <w:rsid w:val="00A8579F"/>
    <w:rsid w:val="00A8597C"/>
    <w:rsid w:val="00AA2BB7"/>
    <w:rsid w:val="00AD0A57"/>
    <w:rsid w:val="00AD0E42"/>
    <w:rsid w:val="00AD5D4D"/>
    <w:rsid w:val="00AE5FCC"/>
    <w:rsid w:val="00AF4803"/>
    <w:rsid w:val="00AF5A59"/>
    <w:rsid w:val="00B079BF"/>
    <w:rsid w:val="00B1545B"/>
    <w:rsid w:val="00B164C3"/>
    <w:rsid w:val="00B164EC"/>
    <w:rsid w:val="00B24C05"/>
    <w:rsid w:val="00B25478"/>
    <w:rsid w:val="00B27BC4"/>
    <w:rsid w:val="00B60579"/>
    <w:rsid w:val="00B64900"/>
    <w:rsid w:val="00B65CD4"/>
    <w:rsid w:val="00B702BC"/>
    <w:rsid w:val="00B77CE5"/>
    <w:rsid w:val="00B83E43"/>
    <w:rsid w:val="00B87B79"/>
    <w:rsid w:val="00B90C5E"/>
    <w:rsid w:val="00B97B73"/>
    <w:rsid w:val="00BB3E76"/>
    <w:rsid w:val="00BD786B"/>
    <w:rsid w:val="00BE3CAB"/>
    <w:rsid w:val="00C15EE5"/>
    <w:rsid w:val="00C32D20"/>
    <w:rsid w:val="00C606D8"/>
    <w:rsid w:val="00C7091E"/>
    <w:rsid w:val="00C94517"/>
    <w:rsid w:val="00CA59A2"/>
    <w:rsid w:val="00CC252F"/>
    <w:rsid w:val="00CD1763"/>
    <w:rsid w:val="00CE7685"/>
    <w:rsid w:val="00CE7EDE"/>
    <w:rsid w:val="00D0190C"/>
    <w:rsid w:val="00D10EAB"/>
    <w:rsid w:val="00D50640"/>
    <w:rsid w:val="00D75F73"/>
    <w:rsid w:val="00DA1CEA"/>
    <w:rsid w:val="00DA2E1A"/>
    <w:rsid w:val="00DB0805"/>
    <w:rsid w:val="00DB5AFF"/>
    <w:rsid w:val="00DF3878"/>
    <w:rsid w:val="00E06EE7"/>
    <w:rsid w:val="00E1430D"/>
    <w:rsid w:val="00E24ECD"/>
    <w:rsid w:val="00E3681A"/>
    <w:rsid w:val="00E52C4C"/>
    <w:rsid w:val="00E76417"/>
    <w:rsid w:val="00E86E12"/>
    <w:rsid w:val="00E91952"/>
    <w:rsid w:val="00E93EBC"/>
    <w:rsid w:val="00EA51AA"/>
    <w:rsid w:val="00EB6D78"/>
    <w:rsid w:val="00EC1D99"/>
    <w:rsid w:val="00EC5412"/>
    <w:rsid w:val="00EE3CF5"/>
    <w:rsid w:val="00EF20CE"/>
    <w:rsid w:val="00F0359A"/>
    <w:rsid w:val="00F21FA1"/>
    <w:rsid w:val="00F50F29"/>
    <w:rsid w:val="00F76C08"/>
    <w:rsid w:val="00F76C88"/>
    <w:rsid w:val="00F830C1"/>
    <w:rsid w:val="00F873D4"/>
    <w:rsid w:val="00F96C9F"/>
    <w:rsid w:val="00FB0938"/>
    <w:rsid w:val="00FD7ED8"/>
    <w:rsid w:val="00FE1A11"/>
    <w:rsid w:val="00FE2A03"/>
    <w:rsid w:val="00FE3F4C"/>
    <w:rsid w:val="00FF5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97B73"/>
    <w:pPr>
      <w:widowControl w:val="0"/>
      <w:autoSpaceDE w:val="0"/>
      <w:autoSpaceDN w:val="0"/>
      <w:adjustRightInd w:val="0"/>
    </w:pPr>
    <w:rPr>
      <w:rFonts w:ascii="仿宋" w:eastAsia="仿宋" w:cs="仿宋"/>
      <w:color w:val="000000"/>
      <w:kern w:val="0"/>
      <w:sz w:val="24"/>
      <w:szCs w:val="24"/>
    </w:rPr>
  </w:style>
  <w:style w:type="paragraph" w:styleId="a3">
    <w:name w:val="header"/>
    <w:basedOn w:val="a"/>
    <w:link w:val="Char"/>
    <w:uiPriority w:val="99"/>
    <w:unhideWhenUsed/>
    <w:rsid w:val="001B5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53D1"/>
    <w:rPr>
      <w:sz w:val="18"/>
      <w:szCs w:val="18"/>
    </w:rPr>
  </w:style>
  <w:style w:type="paragraph" w:styleId="a4">
    <w:name w:val="footer"/>
    <w:basedOn w:val="a"/>
    <w:link w:val="Char0"/>
    <w:uiPriority w:val="99"/>
    <w:unhideWhenUsed/>
    <w:rsid w:val="001B53D1"/>
    <w:pPr>
      <w:tabs>
        <w:tab w:val="center" w:pos="4153"/>
        <w:tab w:val="right" w:pos="8306"/>
      </w:tabs>
      <w:snapToGrid w:val="0"/>
      <w:jc w:val="left"/>
    </w:pPr>
    <w:rPr>
      <w:sz w:val="18"/>
      <w:szCs w:val="18"/>
    </w:rPr>
  </w:style>
  <w:style w:type="character" w:customStyle="1" w:styleId="Char0">
    <w:name w:val="页脚 Char"/>
    <w:basedOn w:val="a0"/>
    <w:link w:val="a4"/>
    <w:uiPriority w:val="99"/>
    <w:rsid w:val="001B53D1"/>
    <w:rPr>
      <w:sz w:val="18"/>
      <w:szCs w:val="18"/>
    </w:rPr>
  </w:style>
  <w:style w:type="paragraph" w:styleId="a5">
    <w:name w:val="Balloon Text"/>
    <w:basedOn w:val="a"/>
    <w:link w:val="Char1"/>
    <w:uiPriority w:val="99"/>
    <w:semiHidden/>
    <w:unhideWhenUsed/>
    <w:rsid w:val="001B53D1"/>
    <w:rPr>
      <w:sz w:val="18"/>
      <w:szCs w:val="18"/>
    </w:rPr>
  </w:style>
  <w:style w:type="character" w:customStyle="1" w:styleId="Char1">
    <w:name w:val="批注框文本 Char"/>
    <w:basedOn w:val="a0"/>
    <w:link w:val="a5"/>
    <w:uiPriority w:val="99"/>
    <w:semiHidden/>
    <w:rsid w:val="001B53D1"/>
    <w:rPr>
      <w:sz w:val="18"/>
      <w:szCs w:val="18"/>
    </w:rPr>
  </w:style>
  <w:style w:type="character" w:styleId="a6">
    <w:name w:val="annotation reference"/>
    <w:basedOn w:val="a0"/>
    <w:uiPriority w:val="99"/>
    <w:semiHidden/>
    <w:unhideWhenUsed/>
    <w:rsid w:val="00A8579F"/>
    <w:rPr>
      <w:sz w:val="21"/>
      <w:szCs w:val="21"/>
    </w:rPr>
  </w:style>
  <w:style w:type="paragraph" w:styleId="a7">
    <w:name w:val="annotation text"/>
    <w:basedOn w:val="a"/>
    <w:link w:val="Char2"/>
    <w:uiPriority w:val="99"/>
    <w:semiHidden/>
    <w:unhideWhenUsed/>
    <w:rsid w:val="00A8579F"/>
    <w:pPr>
      <w:jc w:val="left"/>
    </w:pPr>
  </w:style>
  <w:style w:type="character" w:customStyle="1" w:styleId="Char2">
    <w:name w:val="批注文字 Char"/>
    <w:basedOn w:val="a0"/>
    <w:link w:val="a7"/>
    <w:uiPriority w:val="99"/>
    <w:semiHidden/>
    <w:rsid w:val="00A8579F"/>
  </w:style>
  <w:style w:type="paragraph" w:styleId="a8">
    <w:name w:val="annotation subject"/>
    <w:basedOn w:val="a7"/>
    <w:next w:val="a7"/>
    <w:link w:val="Char3"/>
    <w:uiPriority w:val="99"/>
    <w:semiHidden/>
    <w:unhideWhenUsed/>
    <w:rsid w:val="00A8579F"/>
    <w:rPr>
      <w:b/>
      <w:bCs/>
    </w:rPr>
  </w:style>
  <w:style w:type="character" w:customStyle="1" w:styleId="Char3">
    <w:name w:val="批注主题 Char"/>
    <w:basedOn w:val="Char2"/>
    <w:link w:val="a8"/>
    <w:uiPriority w:val="99"/>
    <w:semiHidden/>
    <w:rsid w:val="00A8579F"/>
    <w:rPr>
      <w:b/>
      <w:bCs/>
    </w:rPr>
  </w:style>
  <w:style w:type="character" w:customStyle="1" w:styleId="apple-converted-space">
    <w:name w:val="apple-converted-space"/>
    <w:basedOn w:val="a0"/>
    <w:rsid w:val="00996AF3"/>
  </w:style>
  <w:style w:type="paragraph" w:styleId="a9">
    <w:name w:val="Revision"/>
    <w:hidden/>
    <w:uiPriority w:val="99"/>
    <w:semiHidden/>
    <w:rsid w:val="00EA51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3AF73-6A9B-4E6E-A714-28429C8B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4</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谢先斌</dc:creator>
  <cp:lastModifiedBy>ZHONGM</cp:lastModifiedBy>
  <cp:revision>2</cp:revision>
  <dcterms:created xsi:type="dcterms:W3CDTF">2024-12-08T16:00:00Z</dcterms:created>
  <dcterms:modified xsi:type="dcterms:W3CDTF">2024-12-08T16:00:00Z</dcterms:modified>
</cp:coreProperties>
</file>