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662" w:rsidRDefault="00631A29">
      <w:pPr>
        <w:spacing w:line="360" w:lineRule="auto"/>
        <w:jc w:val="center"/>
        <w:rPr>
          <w:rFonts w:asciiTheme="minorEastAsia" w:hAnsiTheme="minorEastAsia"/>
          <w:b/>
          <w:color w:val="000000" w:themeColor="text1"/>
          <w:sz w:val="28"/>
          <w:szCs w:val="28"/>
        </w:rPr>
      </w:pPr>
      <w:bookmarkStart w:id="0" w:name="_GoBack"/>
      <w:bookmarkStart w:id="1" w:name="OLE_LINK57"/>
      <w:bookmarkStart w:id="2" w:name="OLE_LINK58"/>
      <w:bookmarkEnd w:id="0"/>
      <w:r>
        <w:rPr>
          <w:rFonts w:asciiTheme="minorEastAsia" w:hAnsiTheme="minorEastAsia" w:hint="eastAsia"/>
          <w:b/>
          <w:color w:val="000000" w:themeColor="text1"/>
          <w:sz w:val="28"/>
          <w:szCs w:val="28"/>
        </w:rPr>
        <w:t>太平基金管理有限公司</w:t>
      </w:r>
    </w:p>
    <w:p w:rsidR="00817662" w:rsidRDefault="00631A29">
      <w:pPr>
        <w:spacing w:line="360" w:lineRule="auto"/>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关于旗下基金增加华夏银行股份有限公司为销售机构</w:t>
      </w:r>
    </w:p>
    <w:p w:rsidR="00817662" w:rsidRDefault="00631A29">
      <w:pPr>
        <w:spacing w:line="360" w:lineRule="auto"/>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的公告</w:t>
      </w:r>
    </w:p>
    <w:bookmarkEnd w:id="1"/>
    <w:bookmarkEnd w:id="2"/>
    <w:p w:rsidR="00817662" w:rsidRDefault="00817662">
      <w:pPr>
        <w:spacing w:line="360" w:lineRule="auto"/>
        <w:jc w:val="center"/>
        <w:rPr>
          <w:rFonts w:asciiTheme="minorEastAsia" w:hAnsiTheme="minorEastAsia"/>
          <w:b/>
          <w:color w:val="000000" w:themeColor="text1"/>
          <w:sz w:val="24"/>
          <w:szCs w:val="24"/>
        </w:rPr>
      </w:pPr>
    </w:p>
    <w:p w:rsidR="00817662" w:rsidRDefault="00631A29">
      <w:pPr>
        <w:spacing w:line="360" w:lineRule="auto"/>
        <w:ind w:firstLineChars="200" w:firstLine="480"/>
        <w:jc w:val="left"/>
        <w:rPr>
          <w:b/>
          <w:color w:val="000000" w:themeColor="text1"/>
          <w:sz w:val="32"/>
        </w:rPr>
      </w:pPr>
      <w:r>
        <w:rPr>
          <w:rFonts w:asciiTheme="minorEastAsia" w:hAnsiTheme="minorEastAsia" w:hint="eastAsia"/>
          <w:color w:val="000000" w:themeColor="text1"/>
          <w:sz w:val="24"/>
          <w:szCs w:val="24"/>
        </w:rPr>
        <w:t>为了更好地满足广大投资者的理财需求，根据太平基金管理有限公司（以下简称“本公司”）与华夏银行股份有限公司（以下简称“华夏银行”）签署的相关销售协议，自</w:t>
      </w:r>
      <w:r>
        <w:rPr>
          <w:rFonts w:asciiTheme="minorEastAsia" w:hAnsiTheme="minorEastAsia"/>
          <w:color w:val="000000" w:themeColor="text1"/>
          <w:sz w:val="24"/>
          <w:szCs w:val="24"/>
        </w:rPr>
        <w:t>2</w:t>
      </w:r>
      <w:r>
        <w:rPr>
          <w:rFonts w:asciiTheme="minorEastAsia" w:hAnsiTheme="minorEastAsia" w:hint="eastAsia"/>
          <w:color w:val="000000" w:themeColor="text1"/>
          <w:sz w:val="24"/>
          <w:szCs w:val="24"/>
        </w:rPr>
        <w:t>024</w:t>
      </w:r>
      <w:r>
        <w:rPr>
          <w:rFonts w:asciiTheme="minorEastAsia" w:hAnsiTheme="minorEastAsia"/>
          <w:color w:val="000000" w:themeColor="text1"/>
          <w:sz w:val="24"/>
          <w:szCs w:val="24"/>
        </w:rPr>
        <w:t>年12</w:t>
      </w:r>
      <w:r>
        <w:rPr>
          <w:rFonts w:asciiTheme="minorEastAsia" w:hAnsiTheme="minorEastAsia" w:hint="eastAsia"/>
          <w:color w:val="000000" w:themeColor="text1"/>
          <w:sz w:val="24"/>
          <w:szCs w:val="24"/>
        </w:rPr>
        <w:t>月</w:t>
      </w:r>
      <w:r>
        <w:rPr>
          <w:rFonts w:asciiTheme="minorEastAsia" w:hAnsiTheme="minorEastAsia"/>
          <w:color w:val="000000" w:themeColor="text1"/>
          <w:sz w:val="24"/>
          <w:szCs w:val="24"/>
        </w:rPr>
        <w:t>6</w:t>
      </w:r>
      <w:r>
        <w:rPr>
          <w:rFonts w:asciiTheme="minorEastAsia" w:hAnsiTheme="minorEastAsia" w:hint="eastAsia"/>
          <w:color w:val="000000" w:themeColor="text1"/>
          <w:sz w:val="24"/>
          <w:szCs w:val="24"/>
        </w:rPr>
        <w:t>日起，本公司增加华夏银行为销售机构，具体基金为：</w:t>
      </w:r>
    </w:p>
    <w:p w:rsidR="00817662" w:rsidRDefault="00631A2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太平日日金货币市场基金（基金简称：太平日日金；A类份额基金代码：003398，B类份额基金代码：003399）；</w:t>
      </w:r>
    </w:p>
    <w:p w:rsidR="00817662" w:rsidRDefault="00631A2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太平日日鑫货币市场基金（基金简称：太平日日鑫；A类份额基金代码：004330，B类份额基金代码：004331）；</w:t>
      </w:r>
    </w:p>
    <w:p w:rsidR="00817662" w:rsidRDefault="00631A2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太平恒久纯债债券型证券投资基金（基金简称：太平恒久纯债；基金代码：010476）</w:t>
      </w:r>
    </w:p>
    <w:p w:rsidR="00817662" w:rsidRDefault="00631A2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太平恒安三个月定期开放债券型证券投资基金（基金简称：太平恒安三个月定开债；基金代码：007545）；</w:t>
      </w:r>
    </w:p>
    <w:p w:rsidR="00817662" w:rsidRDefault="00631A2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太平恒睿纯债债券型证券投资基金（基金简称：太平恒睿纯债；基金代码：009118）；</w:t>
      </w:r>
    </w:p>
    <w:p w:rsidR="00817662" w:rsidRDefault="00631A2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太平恒兴纯债债券型证券投资基金（基金简称：太平恒兴纯债；基金代码：</w:t>
      </w:r>
      <w:r>
        <w:rPr>
          <w:rFonts w:asciiTheme="minorEastAsia" w:hAnsiTheme="minorEastAsia"/>
          <w:color w:val="000000" w:themeColor="text1"/>
          <w:sz w:val="24"/>
          <w:szCs w:val="24"/>
        </w:rPr>
        <w:t>014055</w:t>
      </w:r>
      <w:r>
        <w:rPr>
          <w:rFonts w:asciiTheme="minorEastAsia" w:hAnsiTheme="minorEastAsia" w:hint="eastAsia"/>
          <w:color w:val="000000" w:themeColor="text1"/>
          <w:sz w:val="24"/>
          <w:szCs w:val="24"/>
        </w:rPr>
        <w:t>）</w:t>
      </w:r>
    </w:p>
    <w:p w:rsidR="00817662" w:rsidRDefault="00631A2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太平中证同业存单AAA指数7天持有期证券投资基金（基金简称：太平中证同业存单AAA指数7天持有；基金代码：017563）</w:t>
      </w:r>
    </w:p>
    <w:p w:rsidR="00817662" w:rsidRDefault="00631A2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太平中债1-3年政策性金融债指数证券投资基金（基金简称：太平中债1-3年政策性金融债；A类份额：009087，C类份额：009088，D类份额：021597</w:t>
      </w:r>
      <w:r>
        <w:rPr>
          <w:rFonts w:asciiTheme="minorEastAsia" w:hAnsiTheme="minorEastAsia"/>
          <w:color w:val="000000" w:themeColor="text1"/>
          <w:sz w:val="24"/>
          <w:szCs w:val="24"/>
        </w:rPr>
        <w:t>）</w:t>
      </w:r>
    </w:p>
    <w:p w:rsidR="00817662" w:rsidRDefault="00631A2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太平恒庆利率债债券型证券投资基金</w:t>
      </w:r>
      <w:r>
        <w:rPr>
          <w:rFonts w:asciiTheme="minorEastAsia" w:hAnsiTheme="minorEastAsia" w:hint="eastAsia"/>
          <w:color w:val="000000" w:themeColor="text1"/>
          <w:sz w:val="24"/>
          <w:szCs w:val="24"/>
        </w:rPr>
        <w:tab/>
        <w:t>（基金简称：太平恒庆利率债；A类份额：</w:t>
      </w:r>
      <w:r>
        <w:rPr>
          <w:rFonts w:asciiTheme="minorEastAsia" w:hAnsiTheme="minorEastAsia"/>
          <w:color w:val="000000" w:themeColor="text1"/>
          <w:sz w:val="24"/>
          <w:szCs w:val="24"/>
        </w:rPr>
        <w:t>0</w:t>
      </w:r>
      <w:r>
        <w:rPr>
          <w:rFonts w:asciiTheme="minorEastAsia" w:hAnsiTheme="minorEastAsia" w:hint="eastAsia"/>
          <w:color w:val="000000" w:themeColor="text1"/>
          <w:sz w:val="24"/>
          <w:szCs w:val="24"/>
        </w:rPr>
        <w:t>22639，C类份额：</w:t>
      </w:r>
      <w:r>
        <w:rPr>
          <w:rFonts w:asciiTheme="minorEastAsia" w:hAnsiTheme="minorEastAsia"/>
          <w:color w:val="000000" w:themeColor="text1"/>
          <w:sz w:val="24"/>
          <w:szCs w:val="24"/>
        </w:rPr>
        <w:t>0</w:t>
      </w:r>
      <w:r>
        <w:rPr>
          <w:rFonts w:asciiTheme="minorEastAsia" w:hAnsiTheme="minorEastAsia" w:hint="eastAsia"/>
          <w:color w:val="000000" w:themeColor="text1"/>
          <w:sz w:val="24"/>
          <w:szCs w:val="24"/>
        </w:rPr>
        <w:t>22640）</w:t>
      </w:r>
    </w:p>
    <w:p w:rsidR="00817662" w:rsidRDefault="00817662">
      <w:pPr>
        <w:spacing w:line="360" w:lineRule="auto"/>
        <w:ind w:firstLine="601"/>
        <w:outlineLvl w:val="0"/>
        <w:rPr>
          <w:rFonts w:asciiTheme="minorEastAsia" w:hAnsiTheme="minorEastAsia"/>
          <w:color w:val="000000" w:themeColor="text1"/>
          <w:sz w:val="24"/>
          <w:szCs w:val="24"/>
        </w:rPr>
      </w:pPr>
    </w:p>
    <w:p w:rsidR="00817662" w:rsidRDefault="00817662">
      <w:pPr>
        <w:spacing w:line="360" w:lineRule="auto"/>
        <w:ind w:firstLine="601"/>
        <w:outlineLvl w:val="0"/>
        <w:rPr>
          <w:rFonts w:asciiTheme="minorEastAsia" w:hAnsiTheme="minorEastAsia"/>
          <w:color w:val="000000" w:themeColor="text1"/>
          <w:sz w:val="24"/>
          <w:szCs w:val="24"/>
        </w:rPr>
      </w:pPr>
    </w:p>
    <w:p w:rsidR="00817662" w:rsidRDefault="00631A2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 xml:space="preserve">现就有关事项公告如下： </w:t>
      </w:r>
    </w:p>
    <w:p w:rsidR="00817662" w:rsidRDefault="00817662">
      <w:pPr>
        <w:spacing w:line="360" w:lineRule="auto"/>
        <w:ind w:firstLine="601"/>
        <w:outlineLvl w:val="0"/>
        <w:rPr>
          <w:rFonts w:asciiTheme="minorEastAsia" w:hAnsiTheme="minorEastAsia"/>
          <w:color w:val="000000" w:themeColor="text1"/>
          <w:sz w:val="24"/>
          <w:szCs w:val="24"/>
        </w:rPr>
      </w:pPr>
    </w:p>
    <w:p w:rsidR="00817662" w:rsidRDefault="00631A29">
      <w:pPr>
        <w:spacing w:line="360" w:lineRule="auto"/>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一、适用业务范围</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2024年</w:t>
      </w:r>
      <w:r>
        <w:rPr>
          <w:rFonts w:asciiTheme="minorEastAsia" w:hAnsiTheme="minorEastAsia"/>
          <w:color w:val="000000" w:themeColor="text1"/>
          <w:sz w:val="24"/>
          <w:szCs w:val="24"/>
        </w:rPr>
        <w:t>12</w:t>
      </w:r>
      <w:r>
        <w:rPr>
          <w:rFonts w:asciiTheme="minorEastAsia" w:hAnsiTheme="minorEastAsia" w:hint="eastAsia"/>
          <w:color w:val="000000" w:themeColor="text1"/>
          <w:sz w:val="24"/>
          <w:szCs w:val="24"/>
        </w:rPr>
        <w:t>月</w:t>
      </w:r>
      <w:r>
        <w:rPr>
          <w:rFonts w:asciiTheme="minorEastAsia" w:hAnsiTheme="minorEastAsia"/>
          <w:color w:val="000000" w:themeColor="text1"/>
          <w:sz w:val="24"/>
          <w:szCs w:val="24"/>
        </w:rPr>
        <w:t>6</w:t>
      </w:r>
      <w:r>
        <w:rPr>
          <w:rFonts w:asciiTheme="minorEastAsia" w:hAnsiTheme="minorEastAsia" w:hint="eastAsia"/>
          <w:color w:val="000000" w:themeColor="text1"/>
          <w:sz w:val="24"/>
          <w:szCs w:val="24"/>
        </w:rPr>
        <w:t>日起，投资者可通过华夏银行相关渠道办理上述基金产品的认购、申购、赎回、转换、定期定额投资等相关销售业务。</w:t>
      </w:r>
    </w:p>
    <w:p w:rsidR="00817662" w:rsidRDefault="00817662">
      <w:pPr>
        <w:spacing w:line="360" w:lineRule="auto"/>
        <w:rPr>
          <w:rFonts w:asciiTheme="minorEastAsia" w:hAnsiTheme="minorEastAsia"/>
          <w:color w:val="000000" w:themeColor="text1"/>
          <w:sz w:val="24"/>
          <w:szCs w:val="24"/>
        </w:rPr>
      </w:pPr>
    </w:p>
    <w:p w:rsidR="00817662" w:rsidRDefault="00631A29">
      <w:pPr>
        <w:spacing w:line="360" w:lineRule="auto"/>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二、定期定额投资业务及其规则</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定期定额投资业务”是指投资者可通过基金管理人指定的销售机构提交申请，约定每期扣款时间、扣款金额及扣款方式，由销售机构于每期约定扣款日在投资者指定资金账户内自动完成扣款，并提交基金申购申请的一种长期投资方式。</w:t>
      </w:r>
    </w:p>
    <w:p w:rsidR="00817662" w:rsidRDefault="00631A29">
      <w:pPr>
        <w:spacing w:line="360" w:lineRule="auto"/>
        <w:ind w:firstLineChars="200" w:firstLine="482"/>
        <w:rPr>
          <w:rFonts w:asciiTheme="minorEastAsia" w:hAnsiTheme="minorEastAsia"/>
          <w:b/>
          <w:color w:val="000000" w:themeColor="text1"/>
          <w:sz w:val="24"/>
          <w:szCs w:val="24"/>
        </w:rPr>
      </w:pPr>
      <w:r>
        <w:rPr>
          <w:rFonts w:asciiTheme="minorEastAsia" w:hAnsiTheme="minorEastAsia"/>
          <w:b/>
          <w:color w:val="000000" w:themeColor="text1"/>
          <w:sz w:val="24"/>
          <w:szCs w:val="24"/>
        </w:rPr>
        <w:t>1、扣款日期和扣款金额</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投资者办理定期定额投资业务前，须指定一个有效资金账户作为每期固定扣款账户，并经办理本业务的销售机构认可。投资者须遵循华夏银行有关规定，并与华夏银行约定每期扣款日期及固定扣款金额。</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日日金、太平日日鑫、太平恒安三个月定开债、太平恒久纯债、太平恒睿纯债、太平恒兴纯债、太平中债1-3年政策性金融债、太平中证同业存单AAA指数7天持有、太平恒庆利率债产品的定期定额投资业务每期最低扣款金额以各基金最低申购金额为准（含申购费），华夏银行可在此最低金额基础之上，根据需要设置等于或高于各基金的最低扣款金额，具体以华夏银行的相关业务规则为准。投资者须指定一个有效资金账户作为每期固定扣款账户。若遇非基金交易日时，扣款是否顺延以华夏银行的具体规定为准。具体扣款方式按华夏银行的相关业务规则办理。</w:t>
      </w:r>
    </w:p>
    <w:p w:rsidR="00817662" w:rsidRDefault="00631A29">
      <w:pPr>
        <w:spacing w:line="360" w:lineRule="auto"/>
        <w:ind w:firstLineChars="200" w:firstLine="482"/>
        <w:rPr>
          <w:rFonts w:asciiTheme="minorEastAsia" w:hAnsiTheme="minorEastAsia"/>
          <w:b/>
          <w:color w:val="000000" w:themeColor="text1"/>
          <w:sz w:val="24"/>
          <w:szCs w:val="24"/>
        </w:rPr>
      </w:pPr>
      <w:r>
        <w:rPr>
          <w:rFonts w:asciiTheme="minorEastAsia" w:hAnsiTheme="minorEastAsia"/>
          <w:b/>
          <w:color w:val="000000" w:themeColor="text1"/>
          <w:sz w:val="24"/>
          <w:szCs w:val="24"/>
        </w:rPr>
        <w:t>2、交易确认</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定期定额投资业务遵循“未知价”和“金额申购”的原则，申购价格以基金申购申请日（T日）的基金份额净值为基准进行计算。基金申购申请日（T日）为定期定额投资业务每月实际扣款日（如遇非基金开放日则顺延至基金下一开放日），基金份额将在T+1工作日确认成功后直接计入投资者的基金账户内。基金份额确认查询起始日为T+2工作日，投资者可从T+2工作日起办理相关基金（在该基金已开放赎回业务的情况下）的赎回业务。</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投资者办理定期定额投资业务的变更和终止，须携带本人有效身份证件及相关凭证到原办理该业务网点申请办理，具体办理程序和事宜应遵循华夏银行的有关规定。</w:t>
      </w:r>
    </w:p>
    <w:p w:rsidR="00817662" w:rsidRDefault="00817662">
      <w:pPr>
        <w:spacing w:line="360" w:lineRule="auto"/>
        <w:ind w:firstLineChars="200" w:firstLine="480"/>
        <w:rPr>
          <w:rFonts w:asciiTheme="minorEastAsia" w:hAnsiTheme="minorEastAsia"/>
          <w:color w:val="000000" w:themeColor="text1"/>
          <w:sz w:val="24"/>
          <w:szCs w:val="24"/>
        </w:rPr>
      </w:pPr>
    </w:p>
    <w:p w:rsidR="00817662" w:rsidRDefault="00631A29">
      <w:pPr>
        <w:spacing w:line="360" w:lineRule="auto"/>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三、基金转换业务及其规则</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rsidR="00817662" w:rsidRDefault="00631A29">
      <w:pPr>
        <w:spacing w:line="360" w:lineRule="auto"/>
        <w:ind w:firstLineChars="196" w:firstLine="472"/>
        <w:rPr>
          <w:b/>
          <w:color w:val="000000" w:themeColor="text1"/>
          <w:sz w:val="24"/>
        </w:rPr>
      </w:pPr>
      <w:r>
        <w:rPr>
          <w:rFonts w:ascii="宋体" w:hAnsi="宋体"/>
          <w:b/>
          <w:bCs/>
          <w:color w:val="000000" w:themeColor="text1"/>
          <w:sz w:val="24"/>
        </w:rPr>
        <w:t>1</w:t>
      </w:r>
      <w:r>
        <w:rPr>
          <w:rFonts w:ascii="宋体" w:hAnsi="宋体" w:hint="eastAsia"/>
          <w:b/>
          <w:bCs/>
          <w:color w:val="000000" w:themeColor="text1"/>
          <w:sz w:val="24"/>
        </w:rPr>
        <w:t>、</w:t>
      </w:r>
      <w:r>
        <w:rPr>
          <w:rFonts w:ascii="宋体" w:hAnsi="宋体"/>
          <w:b/>
          <w:bCs/>
          <w:color w:val="000000" w:themeColor="text1"/>
          <w:sz w:val="24"/>
        </w:rPr>
        <w:t>转换费率</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基金转换费用由补差费和转出费两部分构成，具体收取情况视每次转换时两只基金的申购费率差异情况和转出基金的赎回费率而定。</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基金转换费用的具体计算公式如下：</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）转换费用=转出费</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补差费</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2</w:t>
      </w:r>
      <w:r>
        <w:rPr>
          <w:rFonts w:asciiTheme="minorEastAsia" w:hAnsiTheme="minorEastAsia" w:hint="eastAsia"/>
          <w:color w:val="000000" w:themeColor="text1"/>
          <w:sz w:val="24"/>
          <w:szCs w:val="24"/>
        </w:rPr>
        <w:t>）转出费</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转出金额×转出基金赎回费率</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（3）转出金额</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转出基金份额×转出基金当日基金份额净值</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4</w:t>
      </w:r>
      <w:r>
        <w:rPr>
          <w:rFonts w:asciiTheme="minorEastAsia" w:hAnsiTheme="minorEastAsia" w:hint="eastAsia"/>
          <w:color w:val="000000" w:themeColor="text1"/>
          <w:sz w:val="24"/>
          <w:szCs w:val="24"/>
        </w:rPr>
        <w:t>）补差费</w:t>
      </w:r>
      <w:r>
        <w:rPr>
          <w:rFonts w:asciiTheme="minorEastAsia" w:hAnsiTheme="minorEastAsia"/>
          <w:color w:val="000000" w:themeColor="text1"/>
          <w:sz w:val="24"/>
          <w:szCs w:val="24"/>
        </w:rPr>
        <w:t>=Max</w:t>
      </w:r>
      <w:r>
        <w:rPr>
          <w:rFonts w:asciiTheme="minorEastAsia" w:hAnsiTheme="minorEastAsia" w:hint="eastAsia"/>
          <w:color w:val="000000" w:themeColor="text1"/>
          <w:sz w:val="24"/>
          <w:szCs w:val="24"/>
        </w:rPr>
        <w:t>（｛转出净金额×转入基金的申购费率</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转入基金的申购费率</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｝－｛转出净金额×转出基金的申购费率</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转出基金的申购费率</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0</w:t>
      </w:r>
      <w:r>
        <w:rPr>
          <w:rFonts w:asciiTheme="minorEastAsia" w:hAnsiTheme="minorEastAsia" w:hint="eastAsia"/>
          <w:color w:val="000000" w:themeColor="text1"/>
          <w:sz w:val="24"/>
          <w:szCs w:val="24"/>
        </w:rPr>
        <w:t>）</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（5）转入净金额</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转出金额</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转换费用</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（6）转出净金额</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转出基金份额×转出基金当日基金份额净值×（</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－转出基金赎回费率）</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（7）转入份额</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转入净金额</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转入基金当日基金份额净值</w:t>
      </w:r>
    </w:p>
    <w:p w:rsidR="00817662" w:rsidRDefault="00631A29">
      <w:pPr>
        <w:spacing w:line="360" w:lineRule="auto"/>
        <w:ind w:firstLineChars="200" w:firstLine="482"/>
        <w:rPr>
          <w:rFonts w:asciiTheme="minorEastAsia" w:hAnsiTheme="minorEastAsia"/>
          <w:b/>
          <w:color w:val="000000" w:themeColor="text1"/>
          <w:sz w:val="24"/>
          <w:szCs w:val="24"/>
        </w:rPr>
      </w:pPr>
      <w:r>
        <w:rPr>
          <w:rFonts w:asciiTheme="minorEastAsia" w:hAnsiTheme="minorEastAsia"/>
          <w:b/>
          <w:color w:val="000000" w:themeColor="text1"/>
          <w:sz w:val="24"/>
          <w:szCs w:val="24"/>
        </w:rPr>
        <w:t>2、适用基金范围</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基金转换业务适用于本公司募集管理并且在本公司注册登记的下列基金，投资者可以在华夏银行申请办理下列基金的转换业务： </w:t>
      </w:r>
    </w:p>
    <w:p w:rsidR="00817662" w:rsidRDefault="00631A29">
      <w:pPr>
        <w:pStyle w:val="ab"/>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太平日日金货币市场基金（基金简称：太平日日金；A类份额基金代码：003398，B类份额基金代码：003399）；</w:t>
      </w:r>
    </w:p>
    <w:p w:rsidR="00817662" w:rsidRDefault="00631A29">
      <w:pPr>
        <w:pStyle w:val="ab"/>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太平日日鑫货币市场基金（基金简称：太平日日鑫；A类份额基金代码：004330，B类份额基金代码：004331）；</w:t>
      </w:r>
    </w:p>
    <w:p w:rsidR="00817662" w:rsidRDefault="00631A29">
      <w:pPr>
        <w:pStyle w:val="ab"/>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太平恒久纯债债券型证券投资基金（基金简称：太平恒久纯债；基金代码：010476）</w:t>
      </w:r>
    </w:p>
    <w:p w:rsidR="00817662" w:rsidRDefault="00631A29">
      <w:pPr>
        <w:pStyle w:val="ab"/>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太平恒安三个月定期开放债券型证券投资基金（基金简称：太平恒安三个月定开债；基金代码：007545）；</w:t>
      </w:r>
    </w:p>
    <w:p w:rsidR="00817662" w:rsidRDefault="00631A29">
      <w:pPr>
        <w:pStyle w:val="ab"/>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太平恒睿纯债债券型证券投资基金（基金简称：太平恒睿纯债；基金代码：009118）；</w:t>
      </w:r>
    </w:p>
    <w:p w:rsidR="00817662" w:rsidRDefault="00631A29">
      <w:pPr>
        <w:pStyle w:val="ab"/>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太平恒兴纯债债券型证券投资基金（基金简称：太平恒兴纯债；基金代码：</w:t>
      </w:r>
      <w:r>
        <w:rPr>
          <w:rFonts w:asciiTheme="minorEastAsia" w:hAnsiTheme="minorEastAsia"/>
          <w:color w:val="000000" w:themeColor="text1"/>
          <w:sz w:val="24"/>
          <w:szCs w:val="24"/>
        </w:rPr>
        <w:t>014055</w:t>
      </w:r>
      <w:r>
        <w:rPr>
          <w:rFonts w:asciiTheme="minorEastAsia" w:hAnsiTheme="minorEastAsia" w:hint="eastAsia"/>
          <w:color w:val="000000" w:themeColor="text1"/>
          <w:sz w:val="24"/>
          <w:szCs w:val="24"/>
        </w:rPr>
        <w:t>）</w:t>
      </w:r>
    </w:p>
    <w:p w:rsidR="00817662" w:rsidRDefault="00631A29">
      <w:pPr>
        <w:pStyle w:val="ab"/>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太平中证同业存单AAA指数7天持有期证券投资基金（基金简称：太平中证同业存单AAA指数7天持有；基金代码：017563）</w:t>
      </w:r>
    </w:p>
    <w:p w:rsidR="00817662" w:rsidRDefault="00631A29">
      <w:pPr>
        <w:pStyle w:val="ab"/>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太平中债1-3年政策性金融债指数证券投资基金（基金简称：太平中债1-3年政策性金融债；A类份额：009087，C类份额：009088，D类份额：021597</w:t>
      </w:r>
      <w:r>
        <w:rPr>
          <w:rFonts w:asciiTheme="minorEastAsia" w:hAnsiTheme="minorEastAsia"/>
          <w:color w:val="000000" w:themeColor="text1"/>
          <w:sz w:val="24"/>
          <w:szCs w:val="24"/>
        </w:rPr>
        <w:t>）</w:t>
      </w:r>
    </w:p>
    <w:p w:rsidR="00817662" w:rsidRDefault="00631A29">
      <w:pPr>
        <w:pStyle w:val="ab"/>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太平恒庆利率债债券型证券投资基金（基金简称：太平恒庆利率债；A类份额：</w:t>
      </w:r>
      <w:r>
        <w:rPr>
          <w:rFonts w:asciiTheme="minorEastAsia" w:hAnsiTheme="minorEastAsia"/>
          <w:color w:val="000000" w:themeColor="text1"/>
          <w:sz w:val="24"/>
          <w:szCs w:val="24"/>
        </w:rPr>
        <w:t>0</w:t>
      </w:r>
      <w:r>
        <w:rPr>
          <w:rFonts w:asciiTheme="minorEastAsia" w:hAnsiTheme="minorEastAsia" w:hint="eastAsia"/>
          <w:color w:val="000000" w:themeColor="text1"/>
          <w:sz w:val="24"/>
          <w:szCs w:val="24"/>
        </w:rPr>
        <w:t>22639，C类份额：</w:t>
      </w:r>
      <w:r>
        <w:rPr>
          <w:rFonts w:asciiTheme="minorEastAsia" w:hAnsiTheme="minorEastAsia"/>
          <w:color w:val="000000" w:themeColor="text1"/>
          <w:sz w:val="24"/>
          <w:szCs w:val="24"/>
        </w:rPr>
        <w:t>0</w:t>
      </w:r>
      <w:r>
        <w:rPr>
          <w:rFonts w:asciiTheme="minorEastAsia" w:hAnsiTheme="minorEastAsia" w:hint="eastAsia"/>
          <w:color w:val="000000" w:themeColor="text1"/>
          <w:sz w:val="24"/>
          <w:szCs w:val="24"/>
        </w:rPr>
        <w:t>22640）</w:t>
      </w:r>
    </w:p>
    <w:p w:rsidR="00817662" w:rsidRDefault="00817662">
      <w:pPr>
        <w:pStyle w:val="ab"/>
        <w:spacing w:line="360" w:lineRule="auto"/>
        <w:ind w:left="1021" w:firstLineChars="0" w:firstLine="0"/>
        <w:outlineLvl w:val="0"/>
        <w:rPr>
          <w:rFonts w:asciiTheme="minorEastAsia" w:hAnsiTheme="minorEastAsia"/>
          <w:color w:val="000000" w:themeColor="text1"/>
          <w:sz w:val="24"/>
          <w:szCs w:val="24"/>
        </w:rPr>
      </w:pPr>
    </w:p>
    <w:p w:rsidR="00817662" w:rsidRDefault="00631A29">
      <w:pPr>
        <w:spacing w:line="360" w:lineRule="auto"/>
        <w:ind w:firstLineChars="200" w:firstLine="482"/>
        <w:rPr>
          <w:rFonts w:asciiTheme="minorEastAsia" w:hAnsiTheme="minorEastAsia"/>
          <w:b/>
          <w:color w:val="000000" w:themeColor="text1"/>
          <w:sz w:val="24"/>
          <w:szCs w:val="24"/>
        </w:rPr>
      </w:pPr>
      <w:r>
        <w:rPr>
          <w:rFonts w:asciiTheme="minorEastAsia" w:hAnsiTheme="minorEastAsia"/>
          <w:b/>
          <w:color w:val="000000" w:themeColor="text1"/>
          <w:sz w:val="24"/>
          <w:szCs w:val="24"/>
        </w:rPr>
        <w:t>3、转换限额</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资者在办理转换业务时，单笔转换基金份额不得低于100份，销售机构有不同规定的，投资者在销售机构办理相关业务时，需遵循该销售机构的相关规定。单一投资者转换转入后持有的基金份额不得达到或超过基金总份额的50%。基金管理人可以依照相关法律法规以及基金合同的约定，暂停或者拒绝接受一定金额以上的转换转入申请。</w:t>
      </w:r>
    </w:p>
    <w:p w:rsidR="00817662" w:rsidRDefault="00631A29">
      <w:pPr>
        <w:spacing w:line="360" w:lineRule="auto"/>
        <w:ind w:firstLineChars="200" w:firstLine="482"/>
        <w:rPr>
          <w:rFonts w:asciiTheme="minorEastAsia" w:hAnsiTheme="minorEastAsia"/>
          <w:b/>
          <w:color w:val="000000" w:themeColor="text1"/>
          <w:sz w:val="24"/>
          <w:szCs w:val="24"/>
        </w:rPr>
      </w:pPr>
      <w:r>
        <w:rPr>
          <w:rFonts w:asciiTheme="minorEastAsia" w:hAnsiTheme="minorEastAsia"/>
          <w:b/>
          <w:color w:val="000000" w:themeColor="text1"/>
          <w:sz w:val="24"/>
          <w:szCs w:val="24"/>
        </w:rPr>
        <w:t>4、转换业务规则</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基金转换只能在同一销售机构办理，且该销售机构同时代理转出基金及转入基金的销售。</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基金转换，以申请当日基金份额净值为基础计算。投资者采用“份额转换”的原则提交申请，基金转换遵循“先进先出”的原则。</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投资者办理基金转换业务时，转出的基金必须处于可赎回状态，转入的基金必须处于可申购状态，已经冻结的基金份额不得申请基金转换。</w:t>
      </w:r>
    </w:p>
    <w:p w:rsidR="00817662" w:rsidRDefault="00631A29">
      <w:pPr>
        <w:spacing w:line="360" w:lineRule="auto"/>
        <w:ind w:firstLineChars="200" w:firstLine="482"/>
        <w:rPr>
          <w:rFonts w:asciiTheme="minorEastAsia" w:hAnsiTheme="minorEastAsia"/>
          <w:b/>
          <w:color w:val="000000" w:themeColor="text1"/>
          <w:sz w:val="24"/>
          <w:szCs w:val="24"/>
        </w:rPr>
      </w:pPr>
      <w:r>
        <w:rPr>
          <w:rFonts w:asciiTheme="minorEastAsia" w:hAnsiTheme="minorEastAsia"/>
          <w:b/>
          <w:color w:val="000000" w:themeColor="text1"/>
          <w:sz w:val="24"/>
          <w:szCs w:val="24"/>
        </w:rPr>
        <w:t>5、交易确认</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转入的基金持有期自该部分基金份额登记于注册登记系统之日起开始计算。转入的基金在赎回或转出时，按照自基金转入确认日起至该部分基金份额赎回或转出确认日止的持有时段所适用的赎回费率档次计算其所应支付的赎回费。基金转换后可赎回的时间为</w:t>
      </w:r>
      <w:r>
        <w:rPr>
          <w:rFonts w:asciiTheme="minorEastAsia" w:hAnsiTheme="minorEastAsia"/>
          <w:color w:val="000000" w:themeColor="text1"/>
          <w:sz w:val="24"/>
          <w:szCs w:val="24"/>
        </w:rPr>
        <w:t>T</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2</w:t>
      </w:r>
      <w:r>
        <w:rPr>
          <w:rFonts w:asciiTheme="minorEastAsia" w:hAnsiTheme="minorEastAsia" w:hint="eastAsia"/>
          <w:color w:val="000000" w:themeColor="text1"/>
          <w:sz w:val="24"/>
          <w:szCs w:val="24"/>
        </w:rPr>
        <w:t>日。</w:t>
      </w:r>
    </w:p>
    <w:p w:rsidR="00817662" w:rsidRDefault="00817662">
      <w:pPr>
        <w:spacing w:line="360" w:lineRule="auto"/>
        <w:ind w:firstLineChars="150" w:firstLine="360"/>
        <w:rPr>
          <w:rFonts w:asciiTheme="minorEastAsia" w:hAnsiTheme="minorEastAsia"/>
          <w:color w:val="000000" w:themeColor="text1"/>
          <w:sz w:val="24"/>
          <w:szCs w:val="24"/>
        </w:rPr>
      </w:pPr>
    </w:p>
    <w:p w:rsidR="00817662" w:rsidRDefault="00817662">
      <w:pPr>
        <w:spacing w:line="360" w:lineRule="auto"/>
        <w:ind w:firstLineChars="200" w:firstLine="480"/>
        <w:rPr>
          <w:rFonts w:asciiTheme="minorEastAsia" w:hAnsiTheme="minorEastAsia"/>
          <w:color w:val="000000" w:themeColor="text1"/>
          <w:sz w:val="24"/>
          <w:szCs w:val="24"/>
        </w:rPr>
      </w:pPr>
    </w:p>
    <w:p w:rsidR="00817662" w:rsidRDefault="00631A29">
      <w:pPr>
        <w:spacing w:line="360" w:lineRule="auto"/>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四、投资者可通过以下途径了解或咨询有关详情：</w:t>
      </w:r>
    </w:p>
    <w:p w:rsidR="00817662" w:rsidRDefault="00631A29">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1、华夏银行股份有限公司</w:t>
      </w:r>
    </w:p>
    <w:p w:rsidR="00817662" w:rsidRDefault="00631A29">
      <w:pPr>
        <w:spacing w:line="360" w:lineRule="auto"/>
        <w:ind w:firstLineChars="150" w:firstLine="3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客户服务电话：95577</w:t>
      </w:r>
    </w:p>
    <w:p w:rsidR="00817662" w:rsidRDefault="00631A29">
      <w:pPr>
        <w:spacing w:line="360" w:lineRule="auto"/>
        <w:ind w:firstLineChars="150" w:firstLine="3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公司网站：</w:t>
      </w:r>
      <w:r>
        <w:rPr>
          <w:rFonts w:asciiTheme="minorEastAsia" w:hAnsiTheme="minorEastAsia"/>
          <w:color w:val="000000" w:themeColor="text1"/>
          <w:sz w:val="24"/>
          <w:szCs w:val="24"/>
        </w:rPr>
        <w:t xml:space="preserve"> www.</w:t>
      </w:r>
      <w:r>
        <w:rPr>
          <w:rFonts w:asciiTheme="minorEastAsia" w:hAnsiTheme="minorEastAsia" w:hint="eastAsia"/>
          <w:color w:val="000000" w:themeColor="text1"/>
          <w:sz w:val="24"/>
          <w:szCs w:val="24"/>
        </w:rPr>
        <w:t>hxb</w:t>
      </w:r>
      <w:r>
        <w:rPr>
          <w:rFonts w:asciiTheme="minorEastAsia" w:hAnsiTheme="minorEastAsia"/>
          <w:color w:val="000000" w:themeColor="text1"/>
          <w:sz w:val="24"/>
          <w:szCs w:val="24"/>
        </w:rPr>
        <w:t>.com</w:t>
      </w:r>
      <w:r>
        <w:rPr>
          <w:rFonts w:asciiTheme="minorEastAsia" w:hAnsiTheme="minorEastAsia" w:hint="eastAsia"/>
          <w:color w:val="000000" w:themeColor="text1"/>
          <w:sz w:val="24"/>
          <w:szCs w:val="24"/>
        </w:rPr>
        <w:t>.cn</w:t>
      </w:r>
    </w:p>
    <w:p w:rsidR="00817662" w:rsidRDefault="00631A29">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2、太平基金管理有限公司</w:t>
      </w:r>
    </w:p>
    <w:p w:rsidR="00817662" w:rsidRDefault="00631A29">
      <w:pPr>
        <w:spacing w:line="360" w:lineRule="auto"/>
        <w:ind w:firstLineChars="150" w:firstLine="3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客户服务电话：400-028-8699或021-61560999</w:t>
      </w:r>
    </w:p>
    <w:p w:rsidR="00817662" w:rsidRDefault="00631A29">
      <w:pPr>
        <w:spacing w:line="360" w:lineRule="auto"/>
        <w:ind w:firstLineChars="150" w:firstLine="3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公司网站：</w:t>
      </w:r>
      <w:hyperlink r:id="rId8" w:history="1">
        <w:r>
          <w:rPr>
            <w:rFonts w:asciiTheme="minorEastAsia" w:hAnsiTheme="minorEastAsia" w:hint="eastAsia"/>
            <w:color w:val="000000" w:themeColor="text1"/>
            <w:sz w:val="24"/>
            <w:szCs w:val="24"/>
          </w:rPr>
          <w:t>www.taipingfund.com.cn</w:t>
        </w:r>
      </w:hyperlink>
    </w:p>
    <w:p w:rsidR="00817662" w:rsidRDefault="00817662">
      <w:pPr>
        <w:spacing w:line="360" w:lineRule="auto"/>
        <w:ind w:firstLineChars="150" w:firstLine="360"/>
        <w:rPr>
          <w:rFonts w:asciiTheme="minorEastAsia" w:hAnsiTheme="minorEastAsia"/>
          <w:color w:val="000000" w:themeColor="text1"/>
          <w:sz w:val="24"/>
          <w:szCs w:val="24"/>
        </w:rPr>
      </w:pPr>
    </w:p>
    <w:p w:rsidR="00817662" w:rsidRDefault="00631A29">
      <w:pPr>
        <w:spacing w:line="360" w:lineRule="auto"/>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六、重要提示</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1、投资者办理基金交易等相关业务前，敬请仔细阅读相关基金的基金合同、基金招募说明书及其更新、基金产品资料概要及其更新、提示及相关业务规则和操作指南等文件；</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2、上述申购、赎回、转换以及定期定额投资业务仅适用于处于正常申购期及处于特定开放日和开放时间的基金。</w:t>
      </w:r>
      <w:r>
        <w:rPr>
          <w:rFonts w:asciiTheme="minorEastAsia" w:hAnsiTheme="minorEastAsia" w:hint="eastAsia"/>
          <w:b/>
          <w:color w:val="000000" w:themeColor="text1"/>
          <w:sz w:val="24"/>
          <w:szCs w:val="24"/>
        </w:rPr>
        <w:t>对于处于基金募集期、封闭期、暂停申购等特殊期间或有其他特殊安排等的有关规定敬请详见对应基金的基金合同和招募说明书等相关法律文件及本公司发布的最新业务公告</w:t>
      </w:r>
      <w:r>
        <w:rPr>
          <w:rFonts w:asciiTheme="minorEastAsia" w:hAnsiTheme="minorEastAsia" w:hint="eastAsia"/>
          <w:color w:val="000000" w:themeColor="text1"/>
          <w:sz w:val="24"/>
          <w:szCs w:val="24"/>
        </w:rPr>
        <w:t xml:space="preserve">； </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3、本公告凡涉及在华夏银行办理认购、申购、转换或定期定额投资等业务的其他未明事项，敬请遵循华夏银行的具体安排和规定；</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4、本公告的最终解释权归本公司所有。</w:t>
      </w:r>
    </w:p>
    <w:p w:rsidR="00817662" w:rsidRDefault="00817662">
      <w:pPr>
        <w:spacing w:line="360" w:lineRule="auto"/>
        <w:ind w:firstLineChars="200" w:firstLine="480"/>
        <w:rPr>
          <w:rFonts w:asciiTheme="minorEastAsia" w:hAnsiTheme="minorEastAsia"/>
          <w:color w:val="000000" w:themeColor="text1"/>
          <w:sz w:val="24"/>
          <w:szCs w:val="24"/>
        </w:rPr>
      </w:pP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风险提示：</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817662" w:rsidRDefault="00631A2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特此公告。</w:t>
      </w:r>
    </w:p>
    <w:p w:rsidR="00817662" w:rsidRDefault="00817662">
      <w:pPr>
        <w:spacing w:line="360" w:lineRule="auto"/>
        <w:ind w:firstLineChars="200" w:firstLine="480"/>
        <w:rPr>
          <w:rFonts w:asciiTheme="minorEastAsia" w:hAnsiTheme="minorEastAsia"/>
          <w:color w:val="000000" w:themeColor="text1"/>
          <w:sz w:val="24"/>
          <w:szCs w:val="24"/>
        </w:rPr>
      </w:pPr>
    </w:p>
    <w:p w:rsidR="00817662" w:rsidRDefault="00631A29">
      <w:pPr>
        <w:spacing w:line="360" w:lineRule="auto"/>
        <w:ind w:right="220" w:firstLineChars="1850" w:firstLine="444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太平基金管理有限公司</w:t>
      </w:r>
    </w:p>
    <w:p w:rsidR="00817662" w:rsidRDefault="00631A29">
      <w:pPr>
        <w:spacing w:line="360" w:lineRule="auto"/>
        <w:ind w:right="220" w:firstLineChars="1950" w:firstLine="468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二〇二四年十二月</w:t>
      </w:r>
      <w:r w:rsidR="006A4A37">
        <w:rPr>
          <w:rFonts w:asciiTheme="minorEastAsia" w:hAnsiTheme="minorEastAsia" w:hint="eastAsia"/>
          <w:color w:val="000000" w:themeColor="text1"/>
          <w:sz w:val="24"/>
          <w:szCs w:val="24"/>
        </w:rPr>
        <w:t>六</w:t>
      </w:r>
      <w:r>
        <w:rPr>
          <w:rFonts w:asciiTheme="minorEastAsia" w:hAnsiTheme="minorEastAsia" w:hint="eastAsia"/>
          <w:color w:val="000000" w:themeColor="text1"/>
          <w:sz w:val="24"/>
          <w:szCs w:val="24"/>
        </w:rPr>
        <w:t>日</w:t>
      </w:r>
    </w:p>
    <w:sectPr w:rsidR="00817662" w:rsidSect="003213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A29" w:rsidRDefault="00631A29"/>
  </w:endnote>
  <w:endnote w:type="continuationSeparator" w:id="0">
    <w:p w:rsidR="00631A29" w:rsidRDefault="00631A29"/>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A29" w:rsidRDefault="00631A29"/>
  </w:footnote>
  <w:footnote w:type="continuationSeparator" w:id="0">
    <w:p w:rsidR="00631A29" w:rsidRDefault="00631A2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B5B80"/>
    <w:multiLevelType w:val="multilevel"/>
    <w:tmpl w:val="54BB5B80"/>
    <w:lvl w:ilvl="0">
      <w:start w:val="1"/>
      <w:numFmt w:val="decimal"/>
      <w:lvlText w:val="%1)"/>
      <w:lvlJc w:val="left"/>
      <w:pPr>
        <w:ind w:left="1021" w:hanging="420"/>
      </w:p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YyNzQwZDY1OGIzOWQzMDYzYTlhMjcxYjNkMmI3OWQifQ=="/>
  </w:docVars>
  <w:rsids>
    <w:rsidRoot w:val="00614280"/>
    <w:rsid w:val="00000A0A"/>
    <w:rsid w:val="00007804"/>
    <w:rsid w:val="000205AD"/>
    <w:rsid w:val="00022CCB"/>
    <w:rsid w:val="000268F7"/>
    <w:rsid w:val="000310C1"/>
    <w:rsid w:val="0004028B"/>
    <w:rsid w:val="00046C63"/>
    <w:rsid w:val="00054F97"/>
    <w:rsid w:val="00060205"/>
    <w:rsid w:val="00062332"/>
    <w:rsid w:val="0006625B"/>
    <w:rsid w:val="00077BDF"/>
    <w:rsid w:val="00085BF7"/>
    <w:rsid w:val="00097535"/>
    <w:rsid w:val="000A6F1F"/>
    <w:rsid w:val="000B0E35"/>
    <w:rsid w:val="000C785C"/>
    <w:rsid w:val="000D198E"/>
    <w:rsid w:val="000D702C"/>
    <w:rsid w:val="000E4994"/>
    <w:rsid w:val="000E6D9E"/>
    <w:rsid w:val="000E73B9"/>
    <w:rsid w:val="00102F3D"/>
    <w:rsid w:val="00105A16"/>
    <w:rsid w:val="00111BD6"/>
    <w:rsid w:val="00113860"/>
    <w:rsid w:val="00116EBF"/>
    <w:rsid w:val="001205BB"/>
    <w:rsid w:val="00132104"/>
    <w:rsid w:val="00140CE7"/>
    <w:rsid w:val="0014367A"/>
    <w:rsid w:val="0014409C"/>
    <w:rsid w:val="001472CD"/>
    <w:rsid w:val="001478B5"/>
    <w:rsid w:val="00157C10"/>
    <w:rsid w:val="00160FA9"/>
    <w:rsid w:val="001678A8"/>
    <w:rsid w:val="00172C1B"/>
    <w:rsid w:val="00176A8D"/>
    <w:rsid w:val="00187639"/>
    <w:rsid w:val="00187849"/>
    <w:rsid w:val="00190CCD"/>
    <w:rsid w:val="001A2FF5"/>
    <w:rsid w:val="001A5C67"/>
    <w:rsid w:val="001A7AAD"/>
    <w:rsid w:val="001D6EB4"/>
    <w:rsid w:val="001D7313"/>
    <w:rsid w:val="001E4FBD"/>
    <w:rsid w:val="001E6C9D"/>
    <w:rsid w:val="001E79E5"/>
    <w:rsid w:val="001F372A"/>
    <w:rsid w:val="002004A6"/>
    <w:rsid w:val="00202840"/>
    <w:rsid w:val="00202C49"/>
    <w:rsid w:val="00212D3A"/>
    <w:rsid w:val="00213ADF"/>
    <w:rsid w:val="0021411D"/>
    <w:rsid w:val="0021448A"/>
    <w:rsid w:val="00214817"/>
    <w:rsid w:val="00216EAB"/>
    <w:rsid w:val="002200D9"/>
    <w:rsid w:val="002254A8"/>
    <w:rsid w:val="002314EF"/>
    <w:rsid w:val="00241DD3"/>
    <w:rsid w:val="002430AA"/>
    <w:rsid w:val="002512B2"/>
    <w:rsid w:val="00253AD3"/>
    <w:rsid w:val="00254CBC"/>
    <w:rsid w:val="002600DE"/>
    <w:rsid w:val="00267478"/>
    <w:rsid w:val="00272EF3"/>
    <w:rsid w:val="00273FBA"/>
    <w:rsid w:val="00275346"/>
    <w:rsid w:val="00275B81"/>
    <w:rsid w:val="00282B66"/>
    <w:rsid w:val="002864CC"/>
    <w:rsid w:val="00286EB6"/>
    <w:rsid w:val="00292246"/>
    <w:rsid w:val="00293F5D"/>
    <w:rsid w:val="00297F27"/>
    <w:rsid w:val="002A15A5"/>
    <w:rsid w:val="002A5EFE"/>
    <w:rsid w:val="002A7338"/>
    <w:rsid w:val="002B58DC"/>
    <w:rsid w:val="002C0E0F"/>
    <w:rsid w:val="002C756E"/>
    <w:rsid w:val="002C75BA"/>
    <w:rsid w:val="002C7F61"/>
    <w:rsid w:val="002D3097"/>
    <w:rsid w:val="002E1DFF"/>
    <w:rsid w:val="002E7EE7"/>
    <w:rsid w:val="002F5387"/>
    <w:rsid w:val="002F731B"/>
    <w:rsid w:val="00300D65"/>
    <w:rsid w:val="00301225"/>
    <w:rsid w:val="003114B1"/>
    <w:rsid w:val="00311976"/>
    <w:rsid w:val="003204CF"/>
    <w:rsid w:val="00321304"/>
    <w:rsid w:val="00322311"/>
    <w:rsid w:val="00322E95"/>
    <w:rsid w:val="003246BA"/>
    <w:rsid w:val="00325D6F"/>
    <w:rsid w:val="00333341"/>
    <w:rsid w:val="00334F28"/>
    <w:rsid w:val="003446D7"/>
    <w:rsid w:val="003525F9"/>
    <w:rsid w:val="00360D90"/>
    <w:rsid w:val="00363E08"/>
    <w:rsid w:val="00364F94"/>
    <w:rsid w:val="0036684C"/>
    <w:rsid w:val="003704CB"/>
    <w:rsid w:val="00370B62"/>
    <w:rsid w:val="00375EF5"/>
    <w:rsid w:val="00377D7F"/>
    <w:rsid w:val="00377FA8"/>
    <w:rsid w:val="003914CC"/>
    <w:rsid w:val="00391604"/>
    <w:rsid w:val="003A13D0"/>
    <w:rsid w:val="003B5F21"/>
    <w:rsid w:val="003C2E74"/>
    <w:rsid w:val="003C5A5E"/>
    <w:rsid w:val="003C7FA7"/>
    <w:rsid w:val="003D44AA"/>
    <w:rsid w:val="003D73ED"/>
    <w:rsid w:val="003E1EF8"/>
    <w:rsid w:val="003E3812"/>
    <w:rsid w:val="003E59EA"/>
    <w:rsid w:val="003E5BFF"/>
    <w:rsid w:val="003F71E0"/>
    <w:rsid w:val="00401C3E"/>
    <w:rsid w:val="0040365E"/>
    <w:rsid w:val="0042038B"/>
    <w:rsid w:val="00426876"/>
    <w:rsid w:val="00442D1F"/>
    <w:rsid w:val="0045357F"/>
    <w:rsid w:val="00454899"/>
    <w:rsid w:val="004553F3"/>
    <w:rsid w:val="004614E4"/>
    <w:rsid w:val="00464B19"/>
    <w:rsid w:val="00465BB5"/>
    <w:rsid w:val="0047048C"/>
    <w:rsid w:val="00471365"/>
    <w:rsid w:val="00472D9F"/>
    <w:rsid w:val="00472E91"/>
    <w:rsid w:val="00474F2A"/>
    <w:rsid w:val="004774F6"/>
    <w:rsid w:val="00490B02"/>
    <w:rsid w:val="00491547"/>
    <w:rsid w:val="00493F9A"/>
    <w:rsid w:val="004A15E8"/>
    <w:rsid w:val="004A51D0"/>
    <w:rsid w:val="004C2DB9"/>
    <w:rsid w:val="004C526F"/>
    <w:rsid w:val="004C5930"/>
    <w:rsid w:val="004D1CA3"/>
    <w:rsid w:val="004E7CE5"/>
    <w:rsid w:val="004F352E"/>
    <w:rsid w:val="00504E96"/>
    <w:rsid w:val="005067A1"/>
    <w:rsid w:val="00511BE8"/>
    <w:rsid w:val="00516E34"/>
    <w:rsid w:val="00517496"/>
    <w:rsid w:val="00517D51"/>
    <w:rsid w:val="005226A8"/>
    <w:rsid w:val="00523899"/>
    <w:rsid w:val="00525E6E"/>
    <w:rsid w:val="005279D9"/>
    <w:rsid w:val="00531F8F"/>
    <w:rsid w:val="0053305A"/>
    <w:rsid w:val="00537333"/>
    <w:rsid w:val="00544EBB"/>
    <w:rsid w:val="00544F3E"/>
    <w:rsid w:val="0054526E"/>
    <w:rsid w:val="00552EF6"/>
    <w:rsid w:val="00563403"/>
    <w:rsid w:val="00571405"/>
    <w:rsid w:val="00576BFD"/>
    <w:rsid w:val="00577F47"/>
    <w:rsid w:val="00582F51"/>
    <w:rsid w:val="005852D3"/>
    <w:rsid w:val="005879FF"/>
    <w:rsid w:val="00587C1E"/>
    <w:rsid w:val="005907C2"/>
    <w:rsid w:val="005A50D9"/>
    <w:rsid w:val="005A7F99"/>
    <w:rsid w:val="005C1DA7"/>
    <w:rsid w:val="005C5921"/>
    <w:rsid w:val="005C5B83"/>
    <w:rsid w:val="005D0299"/>
    <w:rsid w:val="005D2B7F"/>
    <w:rsid w:val="005D62FE"/>
    <w:rsid w:val="005E3426"/>
    <w:rsid w:val="005F1D8D"/>
    <w:rsid w:val="00606B34"/>
    <w:rsid w:val="00614280"/>
    <w:rsid w:val="00620D59"/>
    <w:rsid w:val="00622415"/>
    <w:rsid w:val="0063184D"/>
    <w:rsid w:val="00631A29"/>
    <w:rsid w:val="00640492"/>
    <w:rsid w:val="00641574"/>
    <w:rsid w:val="00641DD0"/>
    <w:rsid w:val="00643D49"/>
    <w:rsid w:val="006447BA"/>
    <w:rsid w:val="00646F55"/>
    <w:rsid w:val="00654157"/>
    <w:rsid w:val="00661D88"/>
    <w:rsid w:val="00663982"/>
    <w:rsid w:val="006657C8"/>
    <w:rsid w:val="00667CEF"/>
    <w:rsid w:val="0067146A"/>
    <w:rsid w:val="00676350"/>
    <w:rsid w:val="00693951"/>
    <w:rsid w:val="00694670"/>
    <w:rsid w:val="006A4A37"/>
    <w:rsid w:val="006B5373"/>
    <w:rsid w:val="006C2B38"/>
    <w:rsid w:val="006C6F5A"/>
    <w:rsid w:val="006C7A9D"/>
    <w:rsid w:val="006D4062"/>
    <w:rsid w:val="006D4490"/>
    <w:rsid w:val="006E26F1"/>
    <w:rsid w:val="006E6B47"/>
    <w:rsid w:val="006F5FD6"/>
    <w:rsid w:val="007000D3"/>
    <w:rsid w:val="00702FC2"/>
    <w:rsid w:val="007034A4"/>
    <w:rsid w:val="00705562"/>
    <w:rsid w:val="007055F8"/>
    <w:rsid w:val="0070587E"/>
    <w:rsid w:val="00706267"/>
    <w:rsid w:val="007075C5"/>
    <w:rsid w:val="00711223"/>
    <w:rsid w:val="00715AD3"/>
    <w:rsid w:val="007163AC"/>
    <w:rsid w:val="007200D3"/>
    <w:rsid w:val="00720306"/>
    <w:rsid w:val="00721D68"/>
    <w:rsid w:val="0072486F"/>
    <w:rsid w:val="0073234A"/>
    <w:rsid w:val="007370B7"/>
    <w:rsid w:val="00737956"/>
    <w:rsid w:val="00741567"/>
    <w:rsid w:val="00741AE4"/>
    <w:rsid w:val="007458B1"/>
    <w:rsid w:val="00747D94"/>
    <w:rsid w:val="0075320E"/>
    <w:rsid w:val="00754131"/>
    <w:rsid w:val="007547A6"/>
    <w:rsid w:val="0075493F"/>
    <w:rsid w:val="00762CA4"/>
    <w:rsid w:val="00772E14"/>
    <w:rsid w:val="00774805"/>
    <w:rsid w:val="00774D66"/>
    <w:rsid w:val="00780B17"/>
    <w:rsid w:val="00780B86"/>
    <w:rsid w:val="00781796"/>
    <w:rsid w:val="007820A6"/>
    <w:rsid w:val="00785543"/>
    <w:rsid w:val="00786FDD"/>
    <w:rsid w:val="007873C0"/>
    <w:rsid w:val="007A2CBD"/>
    <w:rsid w:val="007A342A"/>
    <w:rsid w:val="007A6295"/>
    <w:rsid w:val="007A767E"/>
    <w:rsid w:val="007A778D"/>
    <w:rsid w:val="007C2495"/>
    <w:rsid w:val="007E09BF"/>
    <w:rsid w:val="007E14E0"/>
    <w:rsid w:val="007E59F6"/>
    <w:rsid w:val="007E7433"/>
    <w:rsid w:val="007F2F47"/>
    <w:rsid w:val="00800149"/>
    <w:rsid w:val="00810D69"/>
    <w:rsid w:val="00811759"/>
    <w:rsid w:val="00812DC7"/>
    <w:rsid w:val="00817662"/>
    <w:rsid w:val="00821B94"/>
    <w:rsid w:val="00823F7C"/>
    <w:rsid w:val="00830B46"/>
    <w:rsid w:val="0083395B"/>
    <w:rsid w:val="00835B17"/>
    <w:rsid w:val="00836FC1"/>
    <w:rsid w:val="00840657"/>
    <w:rsid w:val="00843594"/>
    <w:rsid w:val="00845F83"/>
    <w:rsid w:val="0085155C"/>
    <w:rsid w:val="0085500F"/>
    <w:rsid w:val="008652C9"/>
    <w:rsid w:val="00865457"/>
    <w:rsid w:val="00870E94"/>
    <w:rsid w:val="00872BF3"/>
    <w:rsid w:val="00881E65"/>
    <w:rsid w:val="00884C39"/>
    <w:rsid w:val="008969C2"/>
    <w:rsid w:val="008A429D"/>
    <w:rsid w:val="008A4CD1"/>
    <w:rsid w:val="008A59B8"/>
    <w:rsid w:val="008A710A"/>
    <w:rsid w:val="008B2EA7"/>
    <w:rsid w:val="008B7380"/>
    <w:rsid w:val="008C49B3"/>
    <w:rsid w:val="008D2970"/>
    <w:rsid w:val="008D415A"/>
    <w:rsid w:val="008D5E78"/>
    <w:rsid w:val="008E0B31"/>
    <w:rsid w:val="008E0CD0"/>
    <w:rsid w:val="008F0CA9"/>
    <w:rsid w:val="008F32D9"/>
    <w:rsid w:val="008F682C"/>
    <w:rsid w:val="008F71E3"/>
    <w:rsid w:val="00905A25"/>
    <w:rsid w:val="009101C5"/>
    <w:rsid w:val="00920249"/>
    <w:rsid w:val="00921954"/>
    <w:rsid w:val="00925975"/>
    <w:rsid w:val="00930DDF"/>
    <w:rsid w:val="009315BC"/>
    <w:rsid w:val="0093392D"/>
    <w:rsid w:val="009366A5"/>
    <w:rsid w:val="0094154B"/>
    <w:rsid w:val="0095084F"/>
    <w:rsid w:val="00951AB0"/>
    <w:rsid w:val="00951B46"/>
    <w:rsid w:val="009555BB"/>
    <w:rsid w:val="00961BD5"/>
    <w:rsid w:val="00963BE1"/>
    <w:rsid w:val="00967C93"/>
    <w:rsid w:val="009717C3"/>
    <w:rsid w:val="00972DDD"/>
    <w:rsid w:val="00983A9B"/>
    <w:rsid w:val="009858CA"/>
    <w:rsid w:val="00990AE8"/>
    <w:rsid w:val="009B6E37"/>
    <w:rsid w:val="009B74E4"/>
    <w:rsid w:val="009C082A"/>
    <w:rsid w:val="009C37E3"/>
    <w:rsid w:val="009C4534"/>
    <w:rsid w:val="009D2F36"/>
    <w:rsid w:val="009D4C9F"/>
    <w:rsid w:val="009D5317"/>
    <w:rsid w:val="009E0C1E"/>
    <w:rsid w:val="009F210B"/>
    <w:rsid w:val="009F5F64"/>
    <w:rsid w:val="009F6260"/>
    <w:rsid w:val="009F6366"/>
    <w:rsid w:val="00A00721"/>
    <w:rsid w:val="00A00BE1"/>
    <w:rsid w:val="00A0182D"/>
    <w:rsid w:val="00A02FF7"/>
    <w:rsid w:val="00A12C30"/>
    <w:rsid w:val="00A34222"/>
    <w:rsid w:val="00A34229"/>
    <w:rsid w:val="00A3727B"/>
    <w:rsid w:val="00A41D6C"/>
    <w:rsid w:val="00A41F18"/>
    <w:rsid w:val="00A46F5C"/>
    <w:rsid w:val="00A572E6"/>
    <w:rsid w:val="00A65941"/>
    <w:rsid w:val="00A670D8"/>
    <w:rsid w:val="00A70707"/>
    <w:rsid w:val="00A8540C"/>
    <w:rsid w:val="00A86D75"/>
    <w:rsid w:val="00A876F5"/>
    <w:rsid w:val="00A87A21"/>
    <w:rsid w:val="00A912AD"/>
    <w:rsid w:val="00A97BCE"/>
    <w:rsid w:val="00AA62F9"/>
    <w:rsid w:val="00AA7355"/>
    <w:rsid w:val="00AB4A40"/>
    <w:rsid w:val="00AB534C"/>
    <w:rsid w:val="00AB6818"/>
    <w:rsid w:val="00AC08D8"/>
    <w:rsid w:val="00AC0BA0"/>
    <w:rsid w:val="00AC197E"/>
    <w:rsid w:val="00AC45A7"/>
    <w:rsid w:val="00AC49DF"/>
    <w:rsid w:val="00AD5C64"/>
    <w:rsid w:val="00AD719E"/>
    <w:rsid w:val="00AD7CC4"/>
    <w:rsid w:val="00AE0D4C"/>
    <w:rsid w:val="00AE3FC1"/>
    <w:rsid w:val="00AF0CE8"/>
    <w:rsid w:val="00AF2CC5"/>
    <w:rsid w:val="00B06841"/>
    <w:rsid w:val="00B07E7C"/>
    <w:rsid w:val="00B15E67"/>
    <w:rsid w:val="00B16341"/>
    <w:rsid w:val="00B17B2E"/>
    <w:rsid w:val="00B2234C"/>
    <w:rsid w:val="00B32570"/>
    <w:rsid w:val="00B354C1"/>
    <w:rsid w:val="00B361B1"/>
    <w:rsid w:val="00B43DCF"/>
    <w:rsid w:val="00B5678F"/>
    <w:rsid w:val="00B6008B"/>
    <w:rsid w:val="00B70499"/>
    <w:rsid w:val="00B71395"/>
    <w:rsid w:val="00B73274"/>
    <w:rsid w:val="00B7710D"/>
    <w:rsid w:val="00B77138"/>
    <w:rsid w:val="00B80C6A"/>
    <w:rsid w:val="00B86DF5"/>
    <w:rsid w:val="00B87904"/>
    <w:rsid w:val="00BA00E2"/>
    <w:rsid w:val="00BA7977"/>
    <w:rsid w:val="00BB179C"/>
    <w:rsid w:val="00BB18F1"/>
    <w:rsid w:val="00BB4B19"/>
    <w:rsid w:val="00BD52CF"/>
    <w:rsid w:val="00BD6A79"/>
    <w:rsid w:val="00BE0239"/>
    <w:rsid w:val="00BE0941"/>
    <w:rsid w:val="00BE1EC2"/>
    <w:rsid w:val="00C0465B"/>
    <w:rsid w:val="00C07B8A"/>
    <w:rsid w:val="00C124AA"/>
    <w:rsid w:val="00C135EF"/>
    <w:rsid w:val="00C16034"/>
    <w:rsid w:val="00C31A0C"/>
    <w:rsid w:val="00C3206A"/>
    <w:rsid w:val="00C32464"/>
    <w:rsid w:val="00C32888"/>
    <w:rsid w:val="00C35D19"/>
    <w:rsid w:val="00C4143F"/>
    <w:rsid w:val="00C4480C"/>
    <w:rsid w:val="00C5545D"/>
    <w:rsid w:val="00C5608F"/>
    <w:rsid w:val="00C56F56"/>
    <w:rsid w:val="00C60F2A"/>
    <w:rsid w:val="00C66014"/>
    <w:rsid w:val="00C66189"/>
    <w:rsid w:val="00C725E2"/>
    <w:rsid w:val="00C852CA"/>
    <w:rsid w:val="00C916D5"/>
    <w:rsid w:val="00C930FC"/>
    <w:rsid w:val="00C93776"/>
    <w:rsid w:val="00C95F72"/>
    <w:rsid w:val="00CA268D"/>
    <w:rsid w:val="00CA5BB8"/>
    <w:rsid w:val="00CA6E67"/>
    <w:rsid w:val="00CB104D"/>
    <w:rsid w:val="00CB1557"/>
    <w:rsid w:val="00CB24B5"/>
    <w:rsid w:val="00CB4F50"/>
    <w:rsid w:val="00CB65D2"/>
    <w:rsid w:val="00CB6CE0"/>
    <w:rsid w:val="00CC1682"/>
    <w:rsid w:val="00CC273B"/>
    <w:rsid w:val="00CF4CAC"/>
    <w:rsid w:val="00D02BC1"/>
    <w:rsid w:val="00D046A6"/>
    <w:rsid w:val="00D250E9"/>
    <w:rsid w:val="00D25650"/>
    <w:rsid w:val="00D2769B"/>
    <w:rsid w:val="00D32D7A"/>
    <w:rsid w:val="00D343C2"/>
    <w:rsid w:val="00D37416"/>
    <w:rsid w:val="00D4113C"/>
    <w:rsid w:val="00D433CC"/>
    <w:rsid w:val="00D53055"/>
    <w:rsid w:val="00D5771D"/>
    <w:rsid w:val="00D6252A"/>
    <w:rsid w:val="00D63DA0"/>
    <w:rsid w:val="00D71F21"/>
    <w:rsid w:val="00D74206"/>
    <w:rsid w:val="00D75AF7"/>
    <w:rsid w:val="00D80396"/>
    <w:rsid w:val="00D83537"/>
    <w:rsid w:val="00D86772"/>
    <w:rsid w:val="00D871FE"/>
    <w:rsid w:val="00D915D4"/>
    <w:rsid w:val="00DA23CC"/>
    <w:rsid w:val="00DA3A09"/>
    <w:rsid w:val="00DA58D0"/>
    <w:rsid w:val="00DA6326"/>
    <w:rsid w:val="00DB6762"/>
    <w:rsid w:val="00DB6DBF"/>
    <w:rsid w:val="00DB7A65"/>
    <w:rsid w:val="00DC0985"/>
    <w:rsid w:val="00DC0CC4"/>
    <w:rsid w:val="00DD50BA"/>
    <w:rsid w:val="00DD5735"/>
    <w:rsid w:val="00DD5D8E"/>
    <w:rsid w:val="00DE019F"/>
    <w:rsid w:val="00DE2BDF"/>
    <w:rsid w:val="00DF5396"/>
    <w:rsid w:val="00DF7FC6"/>
    <w:rsid w:val="00E00157"/>
    <w:rsid w:val="00E022A6"/>
    <w:rsid w:val="00E02374"/>
    <w:rsid w:val="00E06254"/>
    <w:rsid w:val="00E0668F"/>
    <w:rsid w:val="00E07B3A"/>
    <w:rsid w:val="00E14D56"/>
    <w:rsid w:val="00E16028"/>
    <w:rsid w:val="00E16523"/>
    <w:rsid w:val="00E2245B"/>
    <w:rsid w:val="00E35A32"/>
    <w:rsid w:val="00E37BF1"/>
    <w:rsid w:val="00E406FB"/>
    <w:rsid w:val="00E479C8"/>
    <w:rsid w:val="00E52C68"/>
    <w:rsid w:val="00E544CF"/>
    <w:rsid w:val="00E54A6D"/>
    <w:rsid w:val="00E55797"/>
    <w:rsid w:val="00E64553"/>
    <w:rsid w:val="00E66B51"/>
    <w:rsid w:val="00E706C6"/>
    <w:rsid w:val="00E71AAC"/>
    <w:rsid w:val="00E7318B"/>
    <w:rsid w:val="00E8176B"/>
    <w:rsid w:val="00E94D9B"/>
    <w:rsid w:val="00EA489F"/>
    <w:rsid w:val="00EA5C17"/>
    <w:rsid w:val="00EB3168"/>
    <w:rsid w:val="00EB369A"/>
    <w:rsid w:val="00EC271E"/>
    <w:rsid w:val="00EC2A92"/>
    <w:rsid w:val="00EC783D"/>
    <w:rsid w:val="00ED0F92"/>
    <w:rsid w:val="00ED15A1"/>
    <w:rsid w:val="00ED2728"/>
    <w:rsid w:val="00EE0AA0"/>
    <w:rsid w:val="00EE1D7E"/>
    <w:rsid w:val="00EE3B95"/>
    <w:rsid w:val="00EE4E00"/>
    <w:rsid w:val="00EF0F38"/>
    <w:rsid w:val="00F04C5B"/>
    <w:rsid w:val="00F06FBF"/>
    <w:rsid w:val="00F109EE"/>
    <w:rsid w:val="00F10AC7"/>
    <w:rsid w:val="00F15B82"/>
    <w:rsid w:val="00F171FE"/>
    <w:rsid w:val="00F20536"/>
    <w:rsid w:val="00F222BA"/>
    <w:rsid w:val="00F25534"/>
    <w:rsid w:val="00F2600A"/>
    <w:rsid w:val="00F26D79"/>
    <w:rsid w:val="00F27FBD"/>
    <w:rsid w:val="00F312EB"/>
    <w:rsid w:val="00F42CC9"/>
    <w:rsid w:val="00F44265"/>
    <w:rsid w:val="00F45917"/>
    <w:rsid w:val="00F52388"/>
    <w:rsid w:val="00F55FB8"/>
    <w:rsid w:val="00F5715D"/>
    <w:rsid w:val="00F6344C"/>
    <w:rsid w:val="00F6439B"/>
    <w:rsid w:val="00F651DD"/>
    <w:rsid w:val="00F67E37"/>
    <w:rsid w:val="00F75BC2"/>
    <w:rsid w:val="00F96B21"/>
    <w:rsid w:val="00F97290"/>
    <w:rsid w:val="00FA026F"/>
    <w:rsid w:val="00FA6F2A"/>
    <w:rsid w:val="00FB20FC"/>
    <w:rsid w:val="00FB2B13"/>
    <w:rsid w:val="00FB33B8"/>
    <w:rsid w:val="00FB3EB6"/>
    <w:rsid w:val="00FB60D0"/>
    <w:rsid w:val="00FC44DD"/>
    <w:rsid w:val="00FD5B79"/>
    <w:rsid w:val="00FE78C4"/>
    <w:rsid w:val="00FF0F0C"/>
    <w:rsid w:val="00FF2077"/>
    <w:rsid w:val="00FF27A4"/>
    <w:rsid w:val="0FC95811"/>
    <w:rsid w:val="17BF68D5"/>
    <w:rsid w:val="39D018F6"/>
    <w:rsid w:val="3B22130B"/>
    <w:rsid w:val="3E7A174F"/>
    <w:rsid w:val="423A7D24"/>
    <w:rsid w:val="4B9A3C67"/>
    <w:rsid w:val="5BB65B49"/>
    <w:rsid w:val="64134338"/>
    <w:rsid w:val="75DE3C54"/>
    <w:rsid w:val="775349AC"/>
    <w:rsid w:val="7F8D29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3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321304"/>
    <w:pPr>
      <w:jc w:val="left"/>
    </w:pPr>
  </w:style>
  <w:style w:type="paragraph" w:styleId="a4">
    <w:name w:val="Balloon Text"/>
    <w:basedOn w:val="a"/>
    <w:link w:val="Char0"/>
    <w:uiPriority w:val="99"/>
    <w:semiHidden/>
    <w:unhideWhenUsed/>
    <w:qFormat/>
    <w:rsid w:val="00321304"/>
    <w:rPr>
      <w:sz w:val="18"/>
      <w:szCs w:val="18"/>
    </w:rPr>
  </w:style>
  <w:style w:type="paragraph" w:styleId="a5">
    <w:name w:val="footer"/>
    <w:basedOn w:val="a"/>
    <w:link w:val="Char1"/>
    <w:uiPriority w:val="99"/>
    <w:unhideWhenUsed/>
    <w:qFormat/>
    <w:rsid w:val="0032130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21304"/>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321304"/>
    <w:rPr>
      <w:b/>
      <w:bCs/>
    </w:rPr>
  </w:style>
  <w:style w:type="table" w:styleId="a8">
    <w:name w:val="Table Grid"/>
    <w:basedOn w:val="a1"/>
    <w:uiPriority w:val="59"/>
    <w:qFormat/>
    <w:rsid w:val="003213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321304"/>
    <w:rPr>
      <w:color w:val="0000FF" w:themeColor="hyperlink"/>
      <w:u w:val="single"/>
    </w:rPr>
  </w:style>
  <w:style w:type="character" w:styleId="aa">
    <w:name w:val="annotation reference"/>
    <w:basedOn w:val="a0"/>
    <w:uiPriority w:val="99"/>
    <w:semiHidden/>
    <w:unhideWhenUsed/>
    <w:qFormat/>
    <w:rsid w:val="00321304"/>
    <w:rPr>
      <w:sz w:val="21"/>
      <w:szCs w:val="21"/>
    </w:rPr>
  </w:style>
  <w:style w:type="character" w:customStyle="1" w:styleId="Char0">
    <w:name w:val="批注框文本 Char"/>
    <w:basedOn w:val="a0"/>
    <w:link w:val="a4"/>
    <w:uiPriority w:val="99"/>
    <w:semiHidden/>
    <w:qFormat/>
    <w:rsid w:val="00321304"/>
    <w:rPr>
      <w:sz w:val="18"/>
      <w:szCs w:val="18"/>
    </w:rPr>
  </w:style>
  <w:style w:type="paragraph" w:styleId="ab">
    <w:name w:val="List Paragraph"/>
    <w:basedOn w:val="a"/>
    <w:uiPriority w:val="34"/>
    <w:qFormat/>
    <w:rsid w:val="00321304"/>
    <w:pPr>
      <w:ind w:firstLineChars="200" w:firstLine="420"/>
    </w:pPr>
  </w:style>
  <w:style w:type="character" w:customStyle="1" w:styleId="Char">
    <w:name w:val="批注文字 Char"/>
    <w:basedOn w:val="a0"/>
    <w:link w:val="a3"/>
    <w:uiPriority w:val="99"/>
    <w:semiHidden/>
    <w:qFormat/>
    <w:rsid w:val="00321304"/>
  </w:style>
  <w:style w:type="character" w:customStyle="1" w:styleId="Char3">
    <w:name w:val="批注主题 Char"/>
    <w:basedOn w:val="Char"/>
    <w:link w:val="a7"/>
    <w:uiPriority w:val="99"/>
    <w:semiHidden/>
    <w:qFormat/>
    <w:rsid w:val="00321304"/>
    <w:rPr>
      <w:b/>
      <w:bCs/>
    </w:rPr>
  </w:style>
  <w:style w:type="character" w:customStyle="1" w:styleId="Char2">
    <w:name w:val="页眉 Char"/>
    <w:basedOn w:val="a0"/>
    <w:link w:val="a6"/>
    <w:uiPriority w:val="99"/>
    <w:qFormat/>
    <w:rsid w:val="00321304"/>
    <w:rPr>
      <w:sz w:val="18"/>
      <w:szCs w:val="18"/>
    </w:rPr>
  </w:style>
  <w:style w:type="character" w:customStyle="1" w:styleId="Char1">
    <w:name w:val="页脚 Char"/>
    <w:basedOn w:val="a0"/>
    <w:link w:val="a5"/>
    <w:uiPriority w:val="99"/>
    <w:qFormat/>
    <w:rsid w:val="00321304"/>
    <w:rPr>
      <w:sz w:val="18"/>
      <w:szCs w:val="18"/>
    </w:rPr>
  </w:style>
  <w:style w:type="paragraph" w:customStyle="1" w:styleId="1">
    <w:name w:val="修订1"/>
    <w:hidden/>
    <w:uiPriority w:val="99"/>
    <w:unhideWhenUsed/>
    <w:qFormat/>
    <w:rsid w:val="00321304"/>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0">
    <w:name w:val="批注框文本 Char"/>
    <w:basedOn w:val="a0"/>
    <w:link w:val="a4"/>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修订1"/>
    <w:hidden/>
    <w:uiPriority w:val="99"/>
    <w:unhideWhenUsed/>
    <w:qFormat/>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taipingfund.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448FE-EC41-4D60-A79F-4ECD7657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3150</Characters>
  <Application>Microsoft Office Word</Application>
  <DocSecurity>4</DocSecurity>
  <Lines>26</Lines>
  <Paragraphs>7</Paragraphs>
  <ScaleCrop>false</ScaleCrop>
  <Company>Microsoft</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肖钦文</dc:creator>
  <cp:lastModifiedBy>ZHONGM</cp:lastModifiedBy>
  <cp:revision>2</cp:revision>
  <cp:lastPrinted>2024-12-05T09:22:00Z</cp:lastPrinted>
  <dcterms:created xsi:type="dcterms:W3CDTF">2024-12-05T16:00:00Z</dcterms:created>
  <dcterms:modified xsi:type="dcterms:W3CDTF">2024-12-05T16:00:00Z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C56FEEF693E5489D8A9B52E516C23588_12</vt:lpwstr>
  </property>
</Properties>
</file>