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13" w:rsidRDefault="003A4734" w:rsidP="00F67514">
      <w:pPr>
        <w:jc w:val="center"/>
        <w:outlineLvl w:val="0"/>
        <w:rPr>
          <w:b/>
          <w:sz w:val="32"/>
          <w:szCs w:val="32"/>
        </w:rPr>
      </w:pPr>
      <w:r w:rsidRPr="00F756F9">
        <w:rPr>
          <w:rFonts w:hint="eastAsia"/>
          <w:b/>
          <w:sz w:val="32"/>
          <w:szCs w:val="32"/>
        </w:rPr>
        <w:t>关于</w:t>
      </w:r>
      <w:r w:rsidR="000F6A13">
        <w:rPr>
          <w:rFonts w:hint="eastAsia"/>
          <w:b/>
          <w:sz w:val="32"/>
          <w:szCs w:val="32"/>
        </w:rPr>
        <w:t>拟</w:t>
      </w:r>
      <w:r w:rsidRPr="00F756F9">
        <w:rPr>
          <w:rFonts w:hint="eastAsia"/>
          <w:b/>
          <w:sz w:val="32"/>
          <w:szCs w:val="32"/>
        </w:rPr>
        <w:t>召开</w:t>
      </w:r>
      <w:r w:rsidR="00A42367">
        <w:rPr>
          <w:rFonts w:hint="eastAsia"/>
          <w:b/>
          <w:sz w:val="32"/>
          <w:szCs w:val="32"/>
        </w:rPr>
        <w:t>东方红</w:t>
      </w:r>
      <w:r w:rsidR="00597A80">
        <w:rPr>
          <w:rFonts w:hint="eastAsia"/>
          <w:b/>
          <w:sz w:val="32"/>
          <w:szCs w:val="32"/>
        </w:rPr>
        <w:t>恒阳</w:t>
      </w:r>
      <w:r w:rsidR="00ED4487">
        <w:rPr>
          <w:rFonts w:hint="eastAsia"/>
          <w:b/>
          <w:sz w:val="32"/>
          <w:szCs w:val="32"/>
        </w:rPr>
        <w:t>五</w:t>
      </w:r>
      <w:r w:rsidR="00A42367">
        <w:rPr>
          <w:rFonts w:hint="eastAsia"/>
          <w:b/>
          <w:sz w:val="32"/>
          <w:szCs w:val="32"/>
        </w:rPr>
        <w:t>年定期开放混合型证券投资基金</w:t>
      </w:r>
      <w:r w:rsidR="00B36866" w:rsidRPr="00F756F9">
        <w:rPr>
          <w:rFonts w:hint="eastAsia"/>
          <w:b/>
          <w:sz w:val="32"/>
          <w:szCs w:val="32"/>
        </w:rPr>
        <w:t>基金份额持有人大会</w:t>
      </w:r>
      <w:r w:rsidR="000A2406">
        <w:rPr>
          <w:rFonts w:hint="eastAsia"/>
          <w:b/>
          <w:sz w:val="32"/>
          <w:szCs w:val="32"/>
        </w:rPr>
        <w:t>（通讯方式）</w:t>
      </w:r>
      <w:r w:rsidR="00B36866" w:rsidRPr="00F756F9">
        <w:rPr>
          <w:rFonts w:hint="eastAsia"/>
          <w:b/>
          <w:sz w:val="32"/>
          <w:szCs w:val="32"/>
        </w:rPr>
        <w:t>的</w:t>
      </w:r>
      <w:r w:rsidR="00C874C6">
        <w:rPr>
          <w:rFonts w:hint="eastAsia"/>
          <w:b/>
          <w:sz w:val="32"/>
          <w:szCs w:val="32"/>
        </w:rPr>
        <w:t>预</w:t>
      </w:r>
      <w:r w:rsidR="00B36866" w:rsidRPr="00F756F9">
        <w:rPr>
          <w:rFonts w:hint="eastAsia"/>
          <w:b/>
          <w:sz w:val="32"/>
          <w:szCs w:val="32"/>
        </w:rPr>
        <w:t>公告</w:t>
      </w:r>
      <w:r w:rsidR="002F1604">
        <w:rPr>
          <w:b/>
          <w:sz w:val="32"/>
          <w:szCs w:val="32"/>
        </w:rPr>
        <w:br/>
      </w:r>
    </w:p>
    <w:p w:rsidR="00D33331" w:rsidRPr="004957A7" w:rsidRDefault="00D33331" w:rsidP="00D33331">
      <w:pPr>
        <w:autoSpaceDE w:val="0"/>
        <w:autoSpaceDN w:val="0"/>
        <w:adjustRightInd w:val="0"/>
        <w:spacing w:line="360" w:lineRule="auto"/>
        <w:jc w:val="left"/>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一、召开会议基本情况</w:t>
      </w:r>
    </w:p>
    <w:p w:rsidR="00D33331" w:rsidRPr="00F756F9" w:rsidRDefault="00D33331"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hint="eastAsia"/>
          <w:kern w:val="0"/>
          <w:sz w:val="24"/>
          <w:szCs w:val="24"/>
        </w:rPr>
        <w:t>根据《中华人民共和国证券投资基金法》</w:t>
      </w:r>
      <w:r w:rsidR="00B779FF" w:rsidRPr="00F756F9">
        <w:rPr>
          <w:rFonts w:ascii="宋体" w:cs="宋体" w:hint="eastAsia"/>
          <w:kern w:val="0"/>
          <w:sz w:val="24"/>
          <w:szCs w:val="24"/>
        </w:rPr>
        <w:t>（以下简称《基金法》）</w:t>
      </w:r>
      <w:r w:rsidRPr="0096329D">
        <w:rPr>
          <w:rFonts w:ascii="宋体" w:cs="宋体" w:hint="eastAsia"/>
          <w:kern w:val="0"/>
          <w:sz w:val="24"/>
          <w:szCs w:val="24"/>
        </w:rPr>
        <w:t>、《</w:t>
      </w:r>
      <w:r w:rsidR="00C204E4">
        <w:rPr>
          <w:rFonts w:ascii="宋体" w:cs="宋体" w:hint="eastAsia"/>
          <w:kern w:val="0"/>
          <w:sz w:val="24"/>
          <w:szCs w:val="24"/>
        </w:rPr>
        <w:t>公开募集</w:t>
      </w:r>
      <w:r w:rsidRPr="0096329D">
        <w:rPr>
          <w:rFonts w:ascii="宋体" w:cs="宋体" w:hint="eastAsia"/>
          <w:kern w:val="0"/>
          <w:sz w:val="24"/>
          <w:szCs w:val="24"/>
        </w:rPr>
        <w:t>证券投资基金运作管理办法》</w:t>
      </w:r>
      <w:r w:rsidR="008F72D2">
        <w:rPr>
          <w:rFonts w:hint="eastAsia"/>
          <w:sz w:val="24"/>
          <w:szCs w:val="24"/>
        </w:rPr>
        <w:t>和</w:t>
      </w:r>
      <w:r w:rsidR="00DD4229" w:rsidRPr="0096329D">
        <w:rPr>
          <w:rFonts w:ascii="宋体" w:cs="宋体" w:hint="eastAsia"/>
          <w:kern w:val="0"/>
          <w:sz w:val="24"/>
          <w:szCs w:val="24"/>
        </w:rPr>
        <w:t>《</w:t>
      </w:r>
      <w:r w:rsidR="00AC25BC">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C25BC">
        <w:rPr>
          <w:rFonts w:ascii="宋体" w:cs="宋体" w:hint="eastAsia"/>
          <w:kern w:val="0"/>
          <w:sz w:val="24"/>
          <w:szCs w:val="24"/>
        </w:rPr>
        <w:t>年定期开放混合型证券投资基金</w:t>
      </w:r>
      <w:r w:rsidR="00DD4229" w:rsidRPr="008565B8">
        <w:rPr>
          <w:rFonts w:ascii="宋体" w:cs="宋体" w:hint="eastAsia"/>
          <w:kern w:val="0"/>
          <w:sz w:val="24"/>
          <w:szCs w:val="24"/>
        </w:rPr>
        <w:t>基金合同》</w:t>
      </w:r>
      <w:r w:rsidR="00B779FF" w:rsidRPr="00F756F9">
        <w:rPr>
          <w:rFonts w:ascii="宋体" w:cs="宋体" w:hint="eastAsia"/>
          <w:kern w:val="0"/>
          <w:sz w:val="24"/>
          <w:szCs w:val="24"/>
        </w:rPr>
        <w:t>（以下简称《基金合同》）</w:t>
      </w:r>
      <w:r w:rsidRPr="00F756F9">
        <w:rPr>
          <w:rFonts w:ascii="宋体" w:cs="宋体" w:hint="eastAsia"/>
          <w:kern w:val="0"/>
          <w:sz w:val="24"/>
          <w:szCs w:val="24"/>
        </w:rPr>
        <w:t>的有关规定，</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Pr="00F756F9">
        <w:rPr>
          <w:rFonts w:ascii="宋体" w:cs="宋体" w:hint="eastAsia"/>
          <w:kern w:val="0"/>
          <w:sz w:val="24"/>
          <w:szCs w:val="24"/>
        </w:rPr>
        <w:t>（以下简称</w:t>
      </w:r>
      <w:r w:rsidR="00FD3AB0" w:rsidRPr="00F756F9">
        <w:rPr>
          <w:rFonts w:ascii="宋体" w:cs="宋体" w:hint="eastAsia"/>
          <w:kern w:val="0"/>
          <w:sz w:val="24"/>
          <w:szCs w:val="24"/>
        </w:rPr>
        <w:t>本基金）的基金管理人</w:t>
      </w:r>
      <w:r w:rsidR="006D43F5">
        <w:rPr>
          <w:rFonts w:ascii="宋体" w:cs="宋体" w:hint="eastAsia"/>
          <w:kern w:val="0"/>
          <w:sz w:val="24"/>
          <w:szCs w:val="24"/>
        </w:rPr>
        <w:t>上海东方证券资产管理</w:t>
      </w:r>
      <w:r w:rsidRPr="00F756F9">
        <w:rPr>
          <w:rFonts w:ascii="宋体" w:cs="宋体" w:hint="eastAsia"/>
          <w:kern w:val="0"/>
          <w:sz w:val="24"/>
          <w:szCs w:val="24"/>
        </w:rPr>
        <w:t>有限公司（以下简称基金管理人）</w:t>
      </w:r>
      <w:r w:rsidR="000F6A13">
        <w:rPr>
          <w:rFonts w:ascii="宋体" w:cs="宋体" w:hint="eastAsia"/>
          <w:kern w:val="0"/>
          <w:sz w:val="24"/>
          <w:szCs w:val="24"/>
        </w:rPr>
        <w:t>提议</w:t>
      </w:r>
      <w:r w:rsidR="00BB6199">
        <w:rPr>
          <w:rFonts w:ascii="宋体" w:cs="宋体" w:hint="eastAsia"/>
          <w:kern w:val="0"/>
          <w:sz w:val="24"/>
          <w:szCs w:val="24"/>
        </w:rPr>
        <w:t>以通讯方式</w:t>
      </w:r>
      <w:r w:rsidRPr="00F756F9">
        <w:rPr>
          <w:rFonts w:ascii="宋体" w:cs="宋体" w:hint="eastAsia"/>
          <w:kern w:val="0"/>
          <w:sz w:val="24"/>
          <w:szCs w:val="24"/>
        </w:rPr>
        <w:t>召开本基金的基金份额持有人大会</w:t>
      </w:r>
      <w:r w:rsidR="000F6A13">
        <w:rPr>
          <w:rFonts w:ascii="宋体" w:cs="宋体" w:hint="eastAsia"/>
          <w:kern w:val="0"/>
          <w:sz w:val="24"/>
          <w:szCs w:val="24"/>
        </w:rPr>
        <w:t>。</w:t>
      </w:r>
    </w:p>
    <w:p w:rsidR="00C874C6" w:rsidRPr="00C874C6" w:rsidRDefault="00C874C6" w:rsidP="00C874C6">
      <w:pPr>
        <w:autoSpaceDE w:val="0"/>
        <w:autoSpaceDN w:val="0"/>
        <w:adjustRightInd w:val="0"/>
        <w:spacing w:line="360" w:lineRule="auto"/>
        <w:ind w:firstLineChars="200" w:firstLine="480"/>
        <w:rPr>
          <w:rFonts w:ascii="宋体" w:cs="宋体"/>
          <w:kern w:val="0"/>
          <w:sz w:val="24"/>
          <w:szCs w:val="24"/>
        </w:rPr>
      </w:pPr>
      <w:r w:rsidRPr="00C874C6">
        <w:rPr>
          <w:rFonts w:ascii="宋体" w:cs="宋体" w:hint="eastAsia"/>
          <w:kern w:val="0"/>
          <w:sz w:val="24"/>
          <w:szCs w:val="24"/>
        </w:rPr>
        <w:t>为维护基金份额持有人的合法权利，便利基金份额持有人参与本次大会，保障本次大会合法、有效、顺利召开，基金管理人就本次大会审议事项及基金份额持有人参与大会的相关安排特别预先公告。</w:t>
      </w:r>
    </w:p>
    <w:p w:rsidR="00D33331" w:rsidRPr="005E70BA" w:rsidRDefault="00C874C6" w:rsidP="00340485">
      <w:pPr>
        <w:autoSpaceDE w:val="0"/>
        <w:autoSpaceDN w:val="0"/>
        <w:adjustRightInd w:val="0"/>
        <w:spacing w:line="360" w:lineRule="auto"/>
        <w:ind w:firstLineChars="200" w:firstLine="480"/>
        <w:rPr>
          <w:rFonts w:ascii="宋体" w:cs="宋体"/>
          <w:kern w:val="0"/>
          <w:sz w:val="24"/>
          <w:szCs w:val="24"/>
          <w:shd w:val="pct15" w:color="auto" w:fill="FFFFFF"/>
        </w:rPr>
      </w:pPr>
      <w:r w:rsidRPr="00C874C6">
        <w:rPr>
          <w:rFonts w:ascii="宋体" w:cs="宋体" w:hint="eastAsia"/>
          <w:kern w:val="0"/>
          <w:sz w:val="24"/>
          <w:szCs w:val="24"/>
        </w:rPr>
        <w:t>本预公告内容仅为本基金对于基金份额持有人参与持有人大会的初步安排，基金管理人将依据相关法律法规的规定以及《基金合同》的约定，发布召开本基金基金份额持有人大会的正式会议通知，公告会议召开的具体时间、权益登记日、议事程序、表决方式等必要内容。基金管理人有权根据实际情况决定是否发布基金份额持有人大会的正式会议通知并召开基金份额持有人大会</w:t>
      </w:r>
      <w:r>
        <w:rPr>
          <w:rFonts w:ascii="宋体" w:cs="宋体" w:hint="eastAsia"/>
          <w:kern w:val="0"/>
          <w:sz w:val="24"/>
          <w:szCs w:val="24"/>
        </w:rPr>
        <w:t>。</w:t>
      </w:r>
    </w:p>
    <w:p w:rsidR="00CD7E36" w:rsidRPr="00CD7E36" w:rsidRDefault="00CD7E36"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二、会议审议事项</w:t>
      </w:r>
    </w:p>
    <w:p w:rsidR="00D33331" w:rsidRPr="00F756F9" w:rsidRDefault="003666BF" w:rsidP="00340485">
      <w:pPr>
        <w:autoSpaceDE w:val="0"/>
        <w:autoSpaceDN w:val="0"/>
        <w:adjustRightInd w:val="0"/>
        <w:spacing w:line="360" w:lineRule="auto"/>
        <w:ind w:firstLineChars="200" w:firstLine="480"/>
        <w:rPr>
          <w:rFonts w:ascii="宋体" w:cs="宋体"/>
          <w:kern w:val="0"/>
          <w:sz w:val="24"/>
          <w:szCs w:val="24"/>
        </w:rPr>
      </w:pPr>
      <w:r w:rsidRPr="00D64FC0">
        <w:rPr>
          <w:rFonts w:ascii="宋体" w:hAnsi="宋体" w:hint="eastAsia"/>
          <w:sz w:val="24"/>
          <w:szCs w:val="24"/>
        </w:rPr>
        <w:t>《关于</w:t>
      </w:r>
      <w:r w:rsidR="00A42367">
        <w:rPr>
          <w:rFonts w:ascii="宋体" w:hAnsi="宋体" w:hint="eastAsia"/>
          <w:sz w:val="24"/>
          <w:szCs w:val="24"/>
        </w:rPr>
        <w:t>东方红</w:t>
      </w:r>
      <w:r w:rsidR="00597A80">
        <w:rPr>
          <w:rFonts w:ascii="宋体" w:hAnsi="宋体" w:hint="eastAsia"/>
          <w:sz w:val="24"/>
          <w:szCs w:val="24"/>
        </w:rPr>
        <w:t>恒阳</w:t>
      </w:r>
      <w:r w:rsidR="00ED4487">
        <w:rPr>
          <w:rFonts w:ascii="宋体" w:hAnsi="宋体" w:hint="eastAsia"/>
          <w:sz w:val="24"/>
          <w:szCs w:val="24"/>
        </w:rPr>
        <w:t>五</w:t>
      </w:r>
      <w:r w:rsidR="00A42367">
        <w:rPr>
          <w:rFonts w:ascii="宋体" w:hAnsi="宋体" w:hint="eastAsia"/>
          <w:sz w:val="24"/>
          <w:szCs w:val="24"/>
        </w:rPr>
        <w:t>年定期开放混合型证券投资基金</w:t>
      </w:r>
      <w:r w:rsidR="00F67514" w:rsidRPr="00F67514">
        <w:rPr>
          <w:rFonts w:ascii="宋体" w:cs="宋体" w:hint="eastAsia"/>
          <w:kern w:val="0"/>
          <w:sz w:val="24"/>
          <w:szCs w:val="24"/>
        </w:rPr>
        <w:t>转型及修改基金合同有关事项的议案</w:t>
      </w:r>
      <w:r>
        <w:rPr>
          <w:rFonts w:ascii="宋体" w:cs="宋体" w:hint="eastAsia"/>
          <w:kern w:val="0"/>
          <w:sz w:val="24"/>
          <w:szCs w:val="24"/>
        </w:rPr>
        <w:t>》</w:t>
      </w:r>
      <w:r>
        <w:rPr>
          <w:rFonts w:ascii="宋体" w:hAnsi="宋体" w:hint="eastAsia"/>
          <w:sz w:val="24"/>
          <w:szCs w:val="24"/>
        </w:rPr>
        <w:t>（见附件一）</w:t>
      </w:r>
      <w:r w:rsidR="00D33331" w:rsidRPr="00F756F9">
        <w:rPr>
          <w:rFonts w:ascii="宋体" w:cs="宋体" w:hint="eastAsia"/>
          <w:kern w:val="0"/>
          <w:sz w:val="24"/>
          <w:szCs w:val="24"/>
        </w:rPr>
        <w:t>。</w:t>
      </w:r>
    </w:p>
    <w:p w:rsidR="00A7572C" w:rsidRPr="00F756F9" w:rsidRDefault="00A7572C"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D33331" w:rsidP="00340485">
      <w:pPr>
        <w:autoSpaceDE w:val="0"/>
        <w:autoSpaceDN w:val="0"/>
        <w:adjustRightInd w:val="0"/>
        <w:spacing w:line="360" w:lineRule="auto"/>
        <w:ind w:firstLineChars="200" w:firstLine="562"/>
        <w:outlineLvl w:val="1"/>
        <w:rPr>
          <w:rFonts w:ascii="宋体" w:cs="宋体"/>
          <w:b/>
          <w:kern w:val="0"/>
          <w:sz w:val="28"/>
          <w:szCs w:val="28"/>
        </w:rPr>
      </w:pPr>
      <w:r w:rsidRPr="00F756F9">
        <w:rPr>
          <w:rFonts w:ascii="宋体" w:cs="宋体" w:hint="eastAsia"/>
          <w:b/>
          <w:kern w:val="0"/>
          <w:sz w:val="28"/>
          <w:szCs w:val="28"/>
        </w:rPr>
        <w:t>三、基金份额持有人的权益登记日</w:t>
      </w:r>
    </w:p>
    <w:p w:rsidR="00D33331" w:rsidRDefault="00C874C6" w:rsidP="00340485">
      <w:pPr>
        <w:autoSpaceDE w:val="0"/>
        <w:autoSpaceDN w:val="0"/>
        <w:adjustRightInd w:val="0"/>
        <w:spacing w:line="360" w:lineRule="auto"/>
        <w:ind w:firstLineChars="200" w:firstLine="480"/>
        <w:rPr>
          <w:rFonts w:ascii="宋体" w:cs="宋体"/>
          <w:kern w:val="0"/>
          <w:sz w:val="24"/>
          <w:szCs w:val="24"/>
        </w:rPr>
      </w:pPr>
      <w:r w:rsidRPr="00C874C6">
        <w:rPr>
          <w:rFonts w:ascii="宋体" w:cs="宋体" w:hint="eastAsia"/>
          <w:kern w:val="0"/>
          <w:sz w:val="24"/>
          <w:szCs w:val="24"/>
        </w:rPr>
        <w:t>本次持有人大会的权益登记日将在</w:t>
      </w:r>
      <w:r w:rsidR="003E2C99">
        <w:rPr>
          <w:rFonts w:ascii="宋体" w:cs="宋体" w:hint="eastAsia"/>
          <w:kern w:val="0"/>
          <w:sz w:val="24"/>
          <w:szCs w:val="24"/>
        </w:rPr>
        <w:t>基金管理人届时发布的召开基金份额持有人大会的正式会议通知中公告</w:t>
      </w:r>
      <w:r w:rsidR="00D33331" w:rsidRPr="00F756F9">
        <w:rPr>
          <w:rFonts w:ascii="宋体" w:cs="宋体" w:hint="eastAsia"/>
          <w:kern w:val="0"/>
          <w:sz w:val="24"/>
          <w:szCs w:val="24"/>
        </w:rPr>
        <w:t>。</w:t>
      </w:r>
    </w:p>
    <w:p w:rsidR="00E027A1" w:rsidRPr="003D42AC" w:rsidRDefault="003E2C99"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lastRenderedPageBreak/>
        <w:t>四</w:t>
      </w:r>
      <w:r w:rsidR="00E027A1" w:rsidRPr="003D42AC">
        <w:rPr>
          <w:rFonts w:ascii="宋体" w:cs="宋体" w:hint="eastAsia"/>
          <w:b/>
          <w:kern w:val="0"/>
          <w:sz w:val="28"/>
          <w:szCs w:val="28"/>
        </w:rPr>
        <w:t>、授权</w:t>
      </w:r>
    </w:p>
    <w:p w:rsidR="00B1469C" w:rsidRDefault="00B1469C" w:rsidP="00340485">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t>为方便基金份额持有人参与本次大会并充分表达其意志，自本预公告发布之日起，基金份额持有人可以授权委托基金管理人、基金销售机构或其他符合法律法规规定的机构或个人等代理人参与大会并行使表决权，授权形式及程序应符合本预公告的规定。</w:t>
      </w: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（一）</w:t>
      </w:r>
      <w:r w:rsidR="00514A0E">
        <w:rPr>
          <w:rFonts w:ascii="宋体" w:cs="宋体" w:hint="eastAsia"/>
          <w:kern w:val="0"/>
          <w:sz w:val="24"/>
          <w:szCs w:val="24"/>
        </w:rPr>
        <w:t>纸质</w:t>
      </w:r>
      <w:r w:rsidRPr="003D42AC">
        <w:rPr>
          <w:rFonts w:ascii="宋体" w:cs="宋体" w:hint="eastAsia"/>
          <w:kern w:val="0"/>
          <w:sz w:val="24"/>
          <w:szCs w:val="24"/>
        </w:rPr>
        <w:t>方式授权</w:t>
      </w:r>
    </w:p>
    <w:p w:rsidR="0057001F" w:rsidRDefault="0042398C" w:rsidP="0057001F">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1</w:t>
      </w:r>
      <w:r w:rsidRPr="003D42AC">
        <w:rPr>
          <w:rFonts w:ascii="宋体" w:cs="宋体" w:hint="eastAsia"/>
          <w:kern w:val="0"/>
          <w:sz w:val="24"/>
          <w:szCs w:val="24"/>
        </w:rPr>
        <w:t>、</w:t>
      </w:r>
      <w:r w:rsidR="0057001F" w:rsidRPr="0057001F">
        <w:rPr>
          <w:rFonts w:ascii="宋体" w:cs="宋体"/>
          <w:kern w:val="0"/>
          <w:sz w:val="24"/>
          <w:szCs w:val="24"/>
        </w:rPr>
        <w:t>授权委托书样本</w:t>
      </w:r>
    </w:p>
    <w:p w:rsidR="0057001F" w:rsidRPr="0057001F" w:rsidRDefault="0057001F" w:rsidP="00D47433">
      <w:pPr>
        <w:autoSpaceDE w:val="0"/>
        <w:autoSpaceDN w:val="0"/>
        <w:adjustRightInd w:val="0"/>
        <w:spacing w:line="360" w:lineRule="auto"/>
        <w:ind w:firstLineChars="200" w:firstLine="480"/>
        <w:rPr>
          <w:rFonts w:ascii="宋体" w:cs="宋体"/>
          <w:kern w:val="0"/>
          <w:sz w:val="24"/>
          <w:szCs w:val="24"/>
        </w:rPr>
      </w:pPr>
      <w:r w:rsidRPr="0057001F">
        <w:rPr>
          <w:rFonts w:ascii="宋体" w:cs="宋体"/>
          <w:kern w:val="0"/>
          <w:sz w:val="24"/>
          <w:szCs w:val="24"/>
        </w:rPr>
        <w:t>基金份额持有人通过</w:t>
      </w:r>
      <w:r w:rsidR="00514A0E">
        <w:rPr>
          <w:rFonts w:ascii="宋体" w:cs="宋体"/>
          <w:kern w:val="0"/>
          <w:sz w:val="24"/>
          <w:szCs w:val="24"/>
        </w:rPr>
        <w:t>纸质</w:t>
      </w:r>
      <w:r w:rsidRPr="0057001F">
        <w:rPr>
          <w:rFonts w:ascii="宋体" w:cs="宋体"/>
          <w:kern w:val="0"/>
          <w:sz w:val="24"/>
          <w:szCs w:val="24"/>
        </w:rPr>
        <w:t>方式授权的，授权委托书的样本请见本公告附件</w:t>
      </w:r>
      <w:r w:rsidR="005F18C7">
        <w:rPr>
          <w:rFonts w:ascii="宋体" w:cs="宋体" w:hint="eastAsia"/>
          <w:kern w:val="0"/>
          <w:sz w:val="24"/>
          <w:szCs w:val="24"/>
        </w:rPr>
        <w:t>三</w:t>
      </w:r>
      <w:r w:rsidRPr="0057001F">
        <w:rPr>
          <w:rFonts w:ascii="宋体" w:cs="宋体"/>
          <w:kern w:val="0"/>
          <w:sz w:val="24"/>
          <w:szCs w:val="24"/>
        </w:rPr>
        <w:t>。基金份额持有人</w:t>
      </w:r>
      <w:r w:rsidRPr="00F756F9">
        <w:rPr>
          <w:rFonts w:ascii="宋体" w:cs="宋体" w:hint="eastAsia"/>
          <w:kern w:val="0"/>
          <w:sz w:val="24"/>
          <w:szCs w:val="24"/>
        </w:rPr>
        <w:t>可</w:t>
      </w:r>
      <w:r w:rsidR="003E34D1" w:rsidRPr="003E34D1">
        <w:rPr>
          <w:rFonts w:ascii="宋体" w:cs="宋体" w:hint="eastAsia"/>
          <w:kern w:val="0"/>
          <w:sz w:val="24"/>
          <w:szCs w:val="24"/>
        </w:rPr>
        <w:t>通过</w:t>
      </w:r>
      <w:r w:rsidRPr="00F756F9">
        <w:rPr>
          <w:rFonts w:ascii="宋体" w:cs="宋体" w:hint="eastAsia"/>
          <w:kern w:val="0"/>
          <w:sz w:val="24"/>
          <w:szCs w:val="24"/>
        </w:rPr>
        <w:t>本基金管理人网站</w:t>
      </w:r>
      <w:r w:rsidRPr="0096329D">
        <w:rPr>
          <w:rFonts w:ascii="宋体" w:cs="宋体" w:hint="eastAsia"/>
          <w:kern w:val="0"/>
          <w:sz w:val="24"/>
          <w:szCs w:val="24"/>
        </w:rPr>
        <w:t>（www.</w:t>
      </w:r>
      <w:r>
        <w:rPr>
          <w:rFonts w:ascii="宋体" w:cs="宋体" w:hint="eastAsia"/>
          <w:kern w:val="0"/>
          <w:sz w:val="24"/>
          <w:szCs w:val="24"/>
        </w:rPr>
        <w:t>dfham</w:t>
      </w:r>
      <w:r w:rsidRPr="0096329D">
        <w:rPr>
          <w:rFonts w:ascii="宋体" w:cs="宋体" w:hint="eastAsia"/>
          <w:kern w:val="0"/>
          <w:sz w:val="24"/>
          <w:szCs w:val="24"/>
        </w:rPr>
        <w:t>.com）</w:t>
      </w:r>
      <w:r w:rsidR="00E033DD" w:rsidRPr="00E033DD">
        <w:rPr>
          <w:rFonts w:ascii="宋体" w:cs="宋体" w:hint="eastAsia"/>
          <w:kern w:val="0"/>
          <w:sz w:val="24"/>
          <w:szCs w:val="24"/>
        </w:rPr>
        <w:t>及中国证监会基金电子披露网站（http://eid.csrc.gov.cn/fund）</w:t>
      </w:r>
      <w:r w:rsidR="003E34D1">
        <w:rPr>
          <w:rFonts w:ascii="宋体" w:cs="宋体" w:hint="eastAsia"/>
          <w:kern w:val="0"/>
          <w:sz w:val="24"/>
          <w:szCs w:val="24"/>
        </w:rPr>
        <w:t>下载</w:t>
      </w:r>
      <w:r w:rsidRPr="007C7C36">
        <w:rPr>
          <w:rFonts w:ascii="宋体" w:cs="宋体" w:hint="eastAsia"/>
          <w:kern w:val="0"/>
          <w:sz w:val="24"/>
          <w:szCs w:val="24"/>
        </w:rPr>
        <w:t>等</w:t>
      </w:r>
      <w:r>
        <w:rPr>
          <w:rFonts w:ascii="宋体" w:cs="宋体" w:hint="eastAsia"/>
          <w:kern w:val="0"/>
          <w:sz w:val="24"/>
          <w:szCs w:val="24"/>
        </w:rPr>
        <w:t>方式</w:t>
      </w:r>
      <w:r w:rsidRPr="0057001F">
        <w:rPr>
          <w:rFonts w:ascii="宋体" w:cs="宋体"/>
          <w:kern w:val="0"/>
          <w:sz w:val="24"/>
          <w:szCs w:val="24"/>
        </w:rPr>
        <w:t>获取授权委托书样本。</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14A0E">
        <w:rPr>
          <w:rFonts w:ascii="宋体" w:cs="宋体"/>
          <w:kern w:val="0"/>
          <w:sz w:val="24"/>
          <w:szCs w:val="24"/>
        </w:rPr>
        <w:t>纸质</w:t>
      </w:r>
      <w:r w:rsidRPr="0057001F">
        <w:rPr>
          <w:rFonts w:ascii="宋体" w:cs="宋体"/>
          <w:kern w:val="0"/>
          <w:sz w:val="24"/>
          <w:szCs w:val="24"/>
        </w:rPr>
        <w:t>授权所需提供的文件</w:t>
      </w:r>
    </w:p>
    <w:p w:rsidR="0057001F" w:rsidRPr="0057001F" w:rsidRDefault="0057001F"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Pr="0057001F">
        <w:rPr>
          <w:rFonts w:ascii="宋体" w:cs="宋体"/>
          <w:kern w:val="0"/>
          <w:sz w:val="24"/>
          <w:szCs w:val="24"/>
        </w:rPr>
        <w:t>个人基金份额持有人授权委托他人投票的，应由委托人填妥并签署授权委托书原件（授权委托书的格式可参考附件</w:t>
      </w:r>
      <w:r w:rsidR="00B1469C">
        <w:rPr>
          <w:rFonts w:ascii="宋体" w:cs="宋体" w:hint="eastAsia"/>
          <w:kern w:val="0"/>
          <w:sz w:val="24"/>
          <w:szCs w:val="24"/>
        </w:rPr>
        <w:t>三</w:t>
      </w:r>
      <w:r w:rsidRPr="0057001F">
        <w:rPr>
          <w:rFonts w:ascii="宋体" w:cs="宋体"/>
          <w:kern w:val="0"/>
          <w:sz w:val="24"/>
          <w:szCs w:val="24"/>
        </w:rPr>
        <w:t>的样本），并提供个人有效身份证件正反面复印件。如受托人为个人，还需提供受托人的有效身份证件正反面复印件；如受托人为机构，还需提供该受托人加盖公章的营业执照复印件（事业单位、社会团体或其他单位可使用加盖公章的事业单位法人登记证书、有权部门的批文、</w:t>
      </w:r>
      <w:r w:rsidR="00D47433">
        <w:rPr>
          <w:rFonts w:ascii="宋体" w:cs="宋体"/>
          <w:kern w:val="0"/>
          <w:sz w:val="24"/>
          <w:szCs w:val="24"/>
        </w:rPr>
        <w:t>开户证明或登记证书复印件等）</w:t>
      </w:r>
      <w:r w:rsidR="00D47433">
        <w:rPr>
          <w:rFonts w:ascii="宋体" w:cs="宋体" w:hint="eastAsia"/>
          <w:kern w:val="0"/>
          <w:sz w:val="24"/>
          <w:szCs w:val="24"/>
        </w:rPr>
        <w:t>。</w:t>
      </w:r>
    </w:p>
    <w:p w:rsidR="0057001F" w:rsidRPr="0057001F" w:rsidRDefault="00D4743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57001F" w:rsidRPr="0057001F">
        <w:rPr>
          <w:rFonts w:ascii="宋体" w:cs="宋体"/>
          <w:kern w:val="0"/>
          <w:sz w:val="24"/>
          <w:szCs w:val="24"/>
        </w:rPr>
        <w:t>机构基金份额持有人授权委托他人投票的，应由委托人填妥授权委托书原件（授权委托书的格式可参考附件</w:t>
      </w:r>
      <w:r w:rsidR="00B1469C">
        <w:rPr>
          <w:rFonts w:ascii="宋体" w:cs="宋体" w:hint="eastAsia"/>
          <w:kern w:val="0"/>
          <w:sz w:val="24"/>
          <w:szCs w:val="24"/>
        </w:rPr>
        <w:t>三</w:t>
      </w:r>
      <w:r w:rsidR="0057001F" w:rsidRPr="0057001F">
        <w:rPr>
          <w:rFonts w:ascii="宋体" w:cs="宋体"/>
          <w:kern w:val="0"/>
          <w:sz w:val="24"/>
          <w:szCs w:val="24"/>
        </w:rPr>
        <w:t>的样本）并在授权委托书上加盖该机构公章，并提供该机构持有人加盖公章的营业执照复印件（事业单位、社会团体或其他单位可使用加盖公章的事业单位法人登记证书、有权部门的批文、开户证明或登记证书复印件等）。如受托人为个人，还需提供受托人的有效身份证件正反面复印件；如受托人为机构，还需提供该受托人加盖公章的营业执照复印件（事业单位、社会团体或其他单位可使用加盖公章的事业单位法人登记证书、有权部门的批文、开户证明或登记证书复印件等）。</w:t>
      </w:r>
    </w:p>
    <w:p w:rsidR="0057001F" w:rsidRDefault="00D47433" w:rsidP="0057001F">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57001F" w:rsidRPr="0057001F">
        <w:rPr>
          <w:rFonts w:ascii="宋体" w:cs="宋体"/>
          <w:kern w:val="0"/>
          <w:sz w:val="24"/>
          <w:szCs w:val="24"/>
        </w:rPr>
        <w:t>以上各项中的公章、批文、开户证明、登记证书等，以基金管理人的认可为准。</w:t>
      </w:r>
    </w:p>
    <w:p w:rsidR="00D47433" w:rsidRDefault="00D47433" w:rsidP="0057001F">
      <w:pPr>
        <w:autoSpaceDE w:val="0"/>
        <w:autoSpaceDN w:val="0"/>
        <w:adjustRightInd w:val="0"/>
        <w:spacing w:line="360" w:lineRule="auto"/>
        <w:ind w:firstLineChars="200" w:firstLine="480"/>
        <w:rPr>
          <w:rFonts w:ascii="宋体" w:cs="宋体"/>
          <w:kern w:val="0"/>
          <w:sz w:val="24"/>
          <w:szCs w:val="24"/>
        </w:rPr>
      </w:pPr>
      <w:r w:rsidRPr="00D47433">
        <w:rPr>
          <w:rFonts w:ascii="宋体" w:cs="宋体" w:hint="eastAsia"/>
          <w:kern w:val="0"/>
          <w:sz w:val="24"/>
          <w:szCs w:val="24"/>
        </w:rPr>
        <w:t>3、</w:t>
      </w:r>
      <w:r w:rsidR="00514A0E">
        <w:rPr>
          <w:rFonts w:ascii="宋体" w:cs="宋体"/>
          <w:kern w:val="0"/>
          <w:sz w:val="24"/>
          <w:szCs w:val="24"/>
        </w:rPr>
        <w:t>纸质</w:t>
      </w:r>
      <w:r w:rsidRPr="00D47433">
        <w:rPr>
          <w:rFonts w:ascii="宋体" w:cs="宋体"/>
          <w:kern w:val="0"/>
          <w:sz w:val="24"/>
          <w:szCs w:val="24"/>
        </w:rPr>
        <w:t>授权文件的送达</w:t>
      </w:r>
    </w:p>
    <w:p w:rsidR="00B1469C" w:rsidRPr="00B1469C" w:rsidRDefault="00B1469C" w:rsidP="00B1469C">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lastRenderedPageBreak/>
        <w:t>基金份额持有人或其代理人可将填妥的纸面授权委托书、证明文件和所需的相关文件通过专人送交或邮寄的方式送达至以下地址：</w:t>
      </w:r>
    </w:p>
    <w:p w:rsidR="00B1469C" w:rsidRPr="00B1469C" w:rsidRDefault="00B1469C" w:rsidP="00B1469C">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t>基金管理人：上海东方证券资产管理有限公司</w:t>
      </w:r>
    </w:p>
    <w:p w:rsidR="00B1469C" w:rsidRPr="00B1469C" w:rsidRDefault="00B1469C" w:rsidP="00B1469C">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t>收件人：吴比</w:t>
      </w:r>
    </w:p>
    <w:p w:rsidR="00B1469C" w:rsidRPr="00B1469C" w:rsidRDefault="00B1469C" w:rsidP="00B1469C">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t>联系地址：上海市黄浦区外马路108号供销大厦7层</w:t>
      </w:r>
    </w:p>
    <w:p w:rsidR="00B1469C" w:rsidRPr="00B1469C" w:rsidRDefault="00B1469C" w:rsidP="00B1469C">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t>投票咨询电话：4009200808（免长途通话费）</w:t>
      </w:r>
    </w:p>
    <w:p w:rsidR="00B1469C" w:rsidRPr="00B1469C" w:rsidRDefault="00B1469C" w:rsidP="00B1469C">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t>会议议案咨询电话：4009200808（免长途通话费）</w:t>
      </w:r>
    </w:p>
    <w:p w:rsidR="00B1469C" w:rsidRPr="00B1469C" w:rsidRDefault="00B1469C" w:rsidP="00B1469C">
      <w:pPr>
        <w:autoSpaceDE w:val="0"/>
        <w:autoSpaceDN w:val="0"/>
        <w:adjustRightInd w:val="0"/>
        <w:spacing w:line="360" w:lineRule="auto"/>
        <w:ind w:firstLineChars="200" w:firstLine="480"/>
        <w:rPr>
          <w:rFonts w:ascii="宋体" w:cs="宋体"/>
          <w:kern w:val="0"/>
          <w:sz w:val="24"/>
          <w:szCs w:val="24"/>
        </w:rPr>
      </w:pPr>
      <w:r w:rsidRPr="00B1469C">
        <w:rPr>
          <w:rFonts w:ascii="宋体" w:cs="宋体" w:hint="eastAsia"/>
          <w:kern w:val="0"/>
          <w:sz w:val="24"/>
          <w:szCs w:val="24"/>
        </w:rPr>
        <w:t>邮政编码：200010</w:t>
      </w:r>
    </w:p>
    <w:p w:rsidR="00DF6EB6" w:rsidRDefault="00AF06D9" w:rsidP="002C2368">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请在信封表面注明：“东方红恒阳五年</w:t>
      </w:r>
      <w:r w:rsidR="00B1469C" w:rsidRPr="00B1469C">
        <w:rPr>
          <w:rFonts w:ascii="宋体" w:cs="宋体" w:hint="eastAsia"/>
          <w:kern w:val="0"/>
          <w:sz w:val="24"/>
          <w:szCs w:val="24"/>
        </w:rPr>
        <w:t>定期开放混合型证券投资基金基金份额持有人大会授权专用”。</w:t>
      </w:r>
    </w:p>
    <w:p w:rsidR="00D47433" w:rsidRPr="0057001F" w:rsidRDefault="00D47433" w:rsidP="002E4FC5">
      <w:pPr>
        <w:autoSpaceDE w:val="0"/>
        <w:autoSpaceDN w:val="0"/>
        <w:adjustRightInd w:val="0"/>
        <w:spacing w:line="360" w:lineRule="auto"/>
        <w:ind w:firstLineChars="200" w:firstLine="480"/>
        <w:rPr>
          <w:rFonts w:ascii="宋体" w:cs="宋体"/>
          <w:kern w:val="0"/>
          <w:sz w:val="24"/>
          <w:szCs w:val="24"/>
        </w:rPr>
      </w:pPr>
    </w:p>
    <w:p w:rsidR="00E027A1"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（二）</w:t>
      </w:r>
      <w:r w:rsidR="004C6B29" w:rsidRPr="003D42AC">
        <w:rPr>
          <w:rFonts w:ascii="宋体" w:cs="宋体" w:hint="eastAsia"/>
          <w:kern w:val="0"/>
          <w:sz w:val="24"/>
          <w:szCs w:val="24"/>
        </w:rPr>
        <w:t>录音电话</w:t>
      </w:r>
      <w:r w:rsidR="004C6B29">
        <w:rPr>
          <w:rFonts w:ascii="宋体" w:cs="宋体" w:hint="eastAsia"/>
          <w:kern w:val="0"/>
          <w:sz w:val="24"/>
          <w:szCs w:val="24"/>
        </w:rPr>
        <w:t>方式</w:t>
      </w:r>
      <w:r w:rsidR="004C6B29" w:rsidRPr="003D42A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A7AC7" w:rsidRDefault="0006449A" w:rsidP="00630C57">
      <w:pPr>
        <w:autoSpaceDE w:val="0"/>
        <w:autoSpaceDN w:val="0"/>
        <w:adjustRightInd w:val="0"/>
        <w:spacing w:line="360" w:lineRule="auto"/>
        <w:ind w:firstLineChars="200" w:firstLine="480"/>
        <w:rPr>
          <w:rFonts w:ascii="宋体" w:cs="宋体"/>
          <w:kern w:val="0"/>
          <w:sz w:val="24"/>
          <w:szCs w:val="24"/>
        </w:rPr>
      </w:pPr>
      <w:r w:rsidRPr="0006449A">
        <w:rPr>
          <w:rFonts w:ascii="宋体" w:cs="宋体" w:hint="eastAsia"/>
          <w:kern w:val="0"/>
          <w:sz w:val="24"/>
          <w:szCs w:val="24"/>
        </w:rPr>
        <w:t>1、基金份额持有人</w:t>
      </w:r>
      <w:r w:rsidR="002A7AC7" w:rsidRPr="002A7AC7">
        <w:rPr>
          <w:rFonts w:ascii="宋体" w:cs="宋体"/>
          <w:kern w:val="0"/>
          <w:sz w:val="24"/>
          <w:szCs w:val="24"/>
        </w:rPr>
        <w:t>可拨打基金管理人或基金销售机构客户服务电话，并按提示确认身份后授权</w:t>
      </w:r>
      <w:r w:rsidR="003E34D1" w:rsidRPr="003E34D1">
        <w:rPr>
          <w:rFonts w:ascii="宋体" w:cs="宋体"/>
          <w:kern w:val="0"/>
          <w:sz w:val="24"/>
          <w:szCs w:val="24"/>
        </w:rPr>
        <w:t>基金管理人或基金销售机构</w:t>
      </w:r>
      <w:r w:rsidR="003E34D1" w:rsidRPr="003E34D1">
        <w:rPr>
          <w:rFonts w:ascii="宋体" w:cs="宋体" w:hint="eastAsia"/>
          <w:kern w:val="0"/>
          <w:sz w:val="24"/>
          <w:szCs w:val="24"/>
        </w:rPr>
        <w:t>行使表决权</w:t>
      </w:r>
      <w:r w:rsidR="004901BE">
        <w:rPr>
          <w:rFonts w:ascii="宋体" w:cs="宋体" w:hint="eastAsia"/>
          <w:kern w:val="0"/>
          <w:sz w:val="24"/>
          <w:szCs w:val="24"/>
        </w:rPr>
        <w:t>，实际以基金管理人和各销售机构</w:t>
      </w:r>
      <w:r w:rsidR="00957D16">
        <w:rPr>
          <w:rFonts w:ascii="宋体" w:cs="宋体" w:hint="eastAsia"/>
          <w:kern w:val="0"/>
          <w:sz w:val="24"/>
          <w:szCs w:val="24"/>
        </w:rPr>
        <w:t>具体情况为准</w:t>
      </w:r>
      <w:r w:rsidR="002A7AC7" w:rsidRPr="002A7AC7">
        <w:rPr>
          <w:rFonts w:ascii="宋体" w:cs="宋体"/>
          <w:kern w:val="0"/>
          <w:sz w:val="24"/>
          <w:szCs w:val="24"/>
        </w:rPr>
        <w:t>。基金管理人及基金销售机构的呼叫中心也可主动与</w:t>
      </w:r>
      <w:r w:rsidR="002A7AC7">
        <w:rPr>
          <w:rFonts w:ascii="宋体" w:cs="宋体" w:hint="eastAsia"/>
          <w:kern w:val="0"/>
          <w:sz w:val="24"/>
          <w:szCs w:val="24"/>
        </w:rPr>
        <w:t>基金份额</w:t>
      </w:r>
      <w:r w:rsidR="002A7AC7" w:rsidRPr="002A7AC7">
        <w:rPr>
          <w:rFonts w:ascii="宋体" w:cs="宋体"/>
          <w:kern w:val="0"/>
          <w:sz w:val="24"/>
          <w:szCs w:val="24"/>
        </w:rPr>
        <w:t>持有人取得联系，在通话过程中以回答提问方式核实</w:t>
      </w:r>
      <w:r w:rsidR="002A7AC7">
        <w:rPr>
          <w:rFonts w:ascii="宋体" w:cs="宋体" w:hint="eastAsia"/>
          <w:kern w:val="0"/>
          <w:sz w:val="24"/>
          <w:szCs w:val="24"/>
        </w:rPr>
        <w:t>基金份额</w:t>
      </w:r>
      <w:r w:rsidR="002A7AC7" w:rsidRPr="002A7AC7">
        <w:rPr>
          <w:rFonts w:ascii="宋体" w:cs="宋体"/>
          <w:kern w:val="0"/>
          <w:sz w:val="24"/>
          <w:szCs w:val="24"/>
        </w:rPr>
        <w:t>持有人身份后，</w:t>
      </w:r>
      <w:r w:rsidR="003E34D1" w:rsidRPr="003E34D1">
        <w:rPr>
          <w:rFonts w:ascii="宋体" w:cs="宋体"/>
          <w:kern w:val="0"/>
          <w:sz w:val="24"/>
          <w:szCs w:val="24"/>
        </w:rPr>
        <w:t>基金管理人及基金销售机构</w:t>
      </w:r>
      <w:r w:rsidR="002A7AC7" w:rsidRPr="002A7AC7">
        <w:rPr>
          <w:rFonts w:ascii="宋体" w:cs="宋体"/>
          <w:kern w:val="0"/>
          <w:sz w:val="24"/>
          <w:szCs w:val="24"/>
        </w:rPr>
        <w:t>根据</w:t>
      </w:r>
      <w:r w:rsidR="002A7AC7">
        <w:rPr>
          <w:rFonts w:ascii="宋体" w:cs="宋体" w:hint="eastAsia"/>
          <w:kern w:val="0"/>
          <w:sz w:val="24"/>
          <w:szCs w:val="24"/>
        </w:rPr>
        <w:t>基金份额</w:t>
      </w:r>
      <w:r w:rsidR="002A7AC7" w:rsidRPr="002A7AC7">
        <w:rPr>
          <w:rFonts w:ascii="宋体" w:cs="宋体"/>
          <w:kern w:val="0"/>
          <w:sz w:val="24"/>
          <w:szCs w:val="24"/>
        </w:rPr>
        <w:t>持有人意愿进行授权记录并</w:t>
      </w:r>
      <w:r w:rsidR="003E34D1">
        <w:rPr>
          <w:rFonts w:ascii="宋体" w:cs="宋体" w:hint="eastAsia"/>
          <w:kern w:val="0"/>
          <w:sz w:val="24"/>
          <w:szCs w:val="24"/>
        </w:rPr>
        <w:t>获得</w:t>
      </w:r>
      <w:r w:rsidR="002A7AC7" w:rsidRPr="002A7AC7">
        <w:rPr>
          <w:rFonts w:ascii="宋体" w:cs="宋体"/>
          <w:kern w:val="0"/>
          <w:sz w:val="24"/>
          <w:szCs w:val="24"/>
        </w:rPr>
        <w:t>授权。为保护基金份额持有人利益，整个通话过程将被录音。</w:t>
      </w:r>
    </w:p>
    <w:p w:rsidR="0006449A" w:rsidRPr="0006449A" w:rsidRDefault="00B1469C"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sidR="0006449A" w:rsidRPr="0006449A">
        <w:rPr>
          <w:rFonts w:ascii="宋体" w:cs="宋体" w:hint="eastAsia"/>
          <w:kern w:val="0"/>
          <w:sz w:val="24"/>
          <w:szCs w:val="24"/>
        </w:rPr>
        <w:t>、</w:t>
      </w:r>
      <w:r w:rsidR="0006449A" w:rsidRPr="0006449A">
        <w:rPr>
          <w:rFonts w:ascii="宋体" w:cs="宋体"/>
          <w:kern w:val="0"/>
          <w:sz w:val="24"/>
          <w:szCs w:val="24"/>
        </w:rPr>
        <w:t>基金份额持有人通过电话授权基金管理人</w:t>
      </w:r>
      <w:r w:rsidR="00014DA3">
        <w:rPr>
          <w:rFonts w:ascii="宋体" w:cs="宋体" w:hint="eastAsia"/>
          <w:kern w:val="0"/>
          <w:sz w:val="24"/>
          <w:szCs w:val="24"/>
        </w:rPr>
        <w:t>或基金销售机构</w:t>
      </w:r>
      <w:r w:rsidR="0006449A" w:rsidRPr="0006449A">
        <w:rPr>
          <w:rFonts w:ascii="宋体" w:cs="宋体"/>
          <w:kern w:val="0"/>
          <w:sz w:val="24"/>
          <w:szCs w:val="24"/>
        </w:rPr>
        <w:t>进行投票</w:t>
      </w:r>
      <w:r w:rsidR="008B192B">
        <w:rPr>
          <w:rFonts w:ascii="宋体" w:cs="宋体" w:hint="eastAsia"/>
          <w:kern w:val="0"/>
          <w:sz w:val="24"/>
          <w:szCs w:val="24"/>
        </w:rPr>
        <w:t>的</w:t>
      </w:r>
      <w:r w:rsidR="0006449A" w:rsidRPr="0006449A">
        <w:rPr>
          <w:rFonts w:ascii="宋体" w:cs="宋体"/>
          <w:kern w:val="0"/>
          <w:sz w:val="24"/>
          <w:szCs w:val="24"/>
        </w:rPr>
        <w:t>方式仅</w:t>
      </w:r>
      <w:r w:rsidR="0006449A" w:rsidRPr="0006449A">
        <w:rPr>
          <w:rFonts w:ascii="宋体" w:cs="宋体" w:hint="eastAsia"/>
          <w:kern w:val="0"/>
          <w:sz w:val="24"/>
          <w:szCs w:val="24"/>
        </w:rPr>
        <w:t>适用于</w:t>
      </w:r>
      <w:r w:rsidR="007A3031">
        <w:rPr>
          <w:rFonts w:ascii="宋体" w:cs="宋体" w:hint="eastAsia"/>
          <w:kern w:val="0"/>
          <w:sz w:val="24"/>
          <w:szCs w:val="24"/>
        </w:rPr>
        <w:t>个人投资者</w:t>
      </w:r>
      <w:r w:rsidR="0006449A" w:rsidRPr="0006449A">
        <w:rPr>
          <w:rFonts w:ascii="宋体" w:cs="宋体" w:hint="eastAsia"/>
          <w:kern w:val="0"/>
          <w:sz w:val="24"/>
          <w:szCs w:val="24"/>
        </w:rPr>
        <w:t>。</w:t>
      </w:r>
    </w:p>
    <w:p w:rsidR="00014DA3" w:rsidRDefault="00014DA3" w:rsidP="00340485">
      <w:pPr>
        <w:autoSpaceDE w:val="0"/>
        <w:autoSpaceDN w:val="0"/>
        <w:adjustRightInd w:val="0"/>
        <w:spacing w:line="360" w:lineRule="auto"/>
        <w:ind w:firstLineChars="200" w:firstLine="480"/>
        <w:rPr>
          <w:rFonts w:ascii="宋体" w:cs="宋体"/>
          <w:kern w:val="0"/>
          <w:sz w:val="24"/>
          <w:szCs w:val="24"/>
        </w:rPr>
      </w:pPr>
    </w:p>
    <w:p w:rsidR="000C5C17" w:rsidRDefault="00014DA3" w:rsidP="00340485">
      <w:pPr>
        <w:autoSpaceDE w:val="0"/>
        <w:autoSpaceDN w:val="0"/>
        <w:adjustRightInd w:val="0"/>
        <w:spacing w:line="360" w:lineRule="auto"/>
        <w:ind w:firstLineChars="200" w:firstLine="480"/>
        <w:outlineLvl w:val="2"/>
        <w:rPr>
          <w:rFonts w:ascii="宋体" w:cs="宋体"/>
          <w:kern w:val="0"/>
          <w:sz w:val="24"/>
          <w:szCs w:val="24"/>
        </w:rPr>
      </w:pPr>
      <w:r>
        <w:rPr>
          <w:rFonts w:ascii="宋体" w:cs="宋体" w:hint="eastAsia"/>
          <w:kern w:val="0"/>
          <w:sz w:val="24"/>
          <w:szCs w:val="24"/>
        </w:rPr>
        <w:t>（三）网络方式</w:t>
      </w:r>
      <w:r w:rsidR="0059632C">
        <w:rPr>
          <w:rFonts w:ascii="宋体" w:cs="宋体" w:hint="eastAsia"/>
          <w:kern w:val="0"/>
          <w:sz w:val="24"/>
          <w:szCs w:val="24"/>
        </w:rPr>
        <w:t>授权</w:t>
      </w:r>
      <w:r w:rsidR="00691FC8" w:rsidRPr="00652051">
        <w:rPr>
          <w:rFonts w:ascii="宋体" w:cs="宋体" w:hint="eastAsia"/>
          <w:kern w:val="0"/>
          <w:sz w:val="24"/>
          <w:szCs w:val="24"/>
        </w:rPr>
        <w:t>（仅适用于个人投资者）</w:t>
      </w:r>
    </w:p>
    <w:p w:rsidR="002F23E8" w:rsidRPr="002F23E8" w:rsidRDefault="007030E3" w:rsidP="00630C57">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002F23E8" w:rsidRPr="002F23E8">
        <w:rPr>
          <w:rFonts w:ascii="宋体" w:cs="宋体"/>
          <w:kern w:val="0"/>
          <w:sz w:val="24"/>
          <w:szCs w:val="24"/>
        </w:rPr>
        <w:t>基金管理人可在基金管理人官网</w:t>
      </w:r>
      <w:r w:rsidR="002A7AC7" w:rsidRPr="002A7AC7">
        <w:rPr>
          <w:rFonts w:ascii="宋体" w:cs="宋体" w:hint="eastAsia"/>
          <w:kern w:val="0"/>
          <w:sz w:val="24"/>
          <w:szCs w:val="24"/>
        </w:rPr>
        <w:t>（</w:t>
      </w:r>
      <w:r w:rsidR="002A7AC7" w:rsidRPr="002A7AC7">
        <w:rPr>
          <w:rFonts w:ascii="宋体" w:cs="宋体"/>
          <w:kern w:val="0"/>
          <w:sz w:val="24"/>
          <w:szCs w:val="24"/>
        </w:rPr>
        <w:t>www.</w:t>
      </w:r>
      <w:r w:rsidR="002A7AC7" w:rsidRPr="002A7AC7">
        <w:rPr>
          <w:rFonts w:ascii="宋体" w:cs="宋体" w:hint="eastAsia"/>
          <w:kern w:val="0"/>
          <w:sz w:val="24"/>
          <w:szCs w:val="24"/>
        </w:rPr>
        <w:t>dfham</w:t>
      </w:r>
      <w:r w:rsidR="002A7AC7" w:rsidRPr="002A7AC7">
        <w:rPr>
          <w:rFonts w:ascii="宋体" w:cs="宋体"/>
          <w:kern w:val="0"/>
          <w:sz w:val="24"/>
          <w:szCs w:val="24"/>
        </w:rPr>
        <w:t>.com</w:t>
      </w:r>
      <w:r w:rsidR="002A7AC7" w:rsidRPr="002A7AC7">
        <w:rPr>
          <w:rFonts w:ascii="宋体" w:cs="宋体" w:hint="eastAsia"/>
          <w:kern w:val="0"/>
          <w:sz w:val="24"/>
          <w:szCs w:val="24"/>
        </w:rPr>
        <w:t>）、官方微信平台（dfh_zcgl）、东方红资产管理APP</w:t>
      </w:r>
      <w:r w:rsidR="002F23E8" w:rsidRPr="002F23E8">
        <w:rPr>
          <w:rFonts w:ascii="宋体" w:cs="宋体"/>
          <w:kern w:val="0"/>
          <w:sz w:val="24"/>
          <w:szCs w:val="24"/>
        </w:rPr>
        <w:t>等官方平台设立网络授权专区，基金份额持有人可</w:t>
      </w:r>
      <w:r w:rsidR="003E34D1" w:rsidRPr="003E34D1">
        <w:rPr>
          <w:rFonts w:ascii="宋体" w:cs="宋体" w:hint="eastAsia"/>
          <w:kern w:val="0"/>
          <w:sz w:val="24"/>
          <w:szCs w:val="24"/>
        </w:rPr>
        <w:t>通过网络授权专区，或登录网址</w:t>
      </w:r>
      <w:r w:rsidR="006544E5" w:rsidRPr="006544E5">
        <w:rPr>
          <w:rFonts w:ascii="宋体" w:cs="宋体"/>
          <w:kern w:val="0"/>
          <w:sz w:val="24"/>
          <w:szCs w:val="24"/>
        </w:rPr>
        <w:t>https://dfham.com/s/y</w:t>
      </w:r>
      <w:r w:rsidR="003E34D1" w:rsidRPr="003E34D1">
        <w:rPr>
          <w:rFonts w:ascii="宋体" w:cs="宋体" w:hint="eastAsia"/>
          <w:kern w:val="0"/>
          <w:sz w:val="24"/>
          <w:szCs w:val="24"/>
        </w:rPr>
        <w:t>，</w:t>
      </w:r>
      <w:r w:rsidR="002F23E8" w:rsidRPr="002F23E8">
        <w:rPr>
          <w:rFonts w:ascii="宋体" w:cs="宋体"/>
          <w:kern w:val="0"/>
          <w:sz w:val="24"/>
          <w:szCs w:val="24"/>
        </w:rPr>
        <w:t>按提示进行网络授权操作，授权基金管理人代为行使表决权。基金份额持有人通过基金管理人官网或其他官方平台网络</w:t>
      </w:r>
      <w:r w:rsidR="002F23E8" w:rsidRPr="008764B2">
        <w:rPr>
          <w:rFonts w:ascii="宋体" w:cs="宋体"/>
          <w:kern w:val="0"/>
          <w:sz w:val="24"/>
          <w:szCs w:val="24"/>
        </w:rPr>
        <w:t>授权专区进行授权的</w:t>
      </w:r>
      <w:r w:rsidR="002F23E8" w:rsidRPr="002F23E8">
        <w:rPr>
          <w:rFonts w:ascii="宋体" w:cs="宋体"/>
          <w:kern w:val="0"/>
          <w:sz w:val="24"/>
          <w:szCs w:val="24"/>
        </w:rPr>
        <w:t>，基金管理人将核实基金份额持有人的身份，确保基金份额持有人权益。</w:t>
      </w:r>
    </w:p>
    <w:p w:rsidR="002F23E8" w:rsidRDefault="002A7AC7" w:rsidP="002F23E8">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2F23E8" w:rsidRPr="002F23E8">
        <w:rPr>
          <w:rFonts w:ascii="宋体" w:cs="宋体"/>
          <w:kern w:val="0"/>
          <w:sz w:val="24"/>
          <w:szCs w:val="24"/>
        </w:rPr>
        <w:t>本基金销售机构可在其指定网站或网络平台设立网络授权专区，基金份额持有人可按网页提示进行网络授权操作，授权基金管理人或基金销售机构代为行使表决权。基金份额持有人通过基金销售机构指定网站或网络平台进行授权的，基金销售机构将核实基金份额持有人的身份，确保基金份额持有人权益。</w:t>
      </w:r>
    </w:p>
    <w:p w:rsidR="00691FC8" w:rsidRDefault="005F18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3</w:t>
      </w:r>
      <w:r w:rsidR="002A7AC7">
        <w:rPr>
          <w:rFonts w:ascii="宋体" w:cs="宋体" w:hint="eastAsia"/>
          <w:kern w:val="0"/>
          <w:sz w:val="24"/>
          <w:szCs w:val="24"/>
        </w:rPr>
        <w:t>、</w:t>
      </w:r>
      <w:r w:rsidR="0059632C" w:rsidRPr="0006449A">
        <w:rPr>
          <w:rFonts w:ascii="宋体" w:cs="宋体"/>
          <w:kern w:val="0"/>
          <w:sz w:val="24"/>
          <w:szCs w:val="24"/>
        </w:rPr>
        <w:t>基金份额持有人通过</w:t>
      </w:r>
      <w:r w:rsidR="0059632C">
        <w:rPr>
          <w:rFonts w:ascii="宋体" w:cs="宋体" w:hint="eastAsia"/>
          <w:kern w:val="0"/>
          <w:sz w:val="24"/>
          <w:szCs w:val="24"/>
        </w:rPr>
        <w:t>网络</w:t>
      </w:r>
      <w:r w:rsidR="0059632C" w:rsidRPr="0006449A">
        <w:rPr>
          <w:rFonts w:ascii="宋体" w:cs="宋体"/>
          <w:kern w:val="0"/>
          <w:sz w:val="24"/>
          <w:szCs w:val="24"/>
        </w:rPr>
        <w:t>授权</w:t>
      </w:r>
      <w:r w:rsidR="00AD3586" w:rsidRPr="0006449A">
        <w:rPr>
          <w:rFonts w:ascii="宋体" w:cs="宋体"/>
          <w:kern w:val="0"/>
          <w:sz w:val="24"/>
          <w:szCs w:val="24"/>
        </w:rPr>
        <w:t>基金管理人</w:t>
      </w:r>
      <w:r w:rsidR="00AD3586">
        <w:rPr>
          <w:rFonts w:ascii="宋体" w:cs="宋体" w:hint="eastAsia"/>
          <w:kern w:val="0"/>
          <w:sz w:val="24"/>
          <w:szCs w:val="24"/>
        </w:rPr>
        <w:t>或基金销售机构</w:t>
      </w:r>
      <w:r w:rsidR="00AD16B5" w:rsidRPr="00AD16B5">
        <w:rPr>
          <w:rFonts w:ascii="宋体" w:cs="宋体" w:hint="eastAsia"/>
          <w:kern w:val="0"/>
          <w:sz w:val="24"/>
          <w:szCs w:val="24"/>
        </w:rPr>
        <w:t>进行投票</w:t>
      </w:r>
      <w:r w:rsidR="008B192B">
        <w:rPr>
          <w:rFonts w:ascii="宋体" w:cs="宋体" w:hint="eastAsia"/>
          <w:kern w:val="0"/>
          <w:sz w:val="24"/>
          <w:szCs w:val="24"/>
        </w:rPr>
        <w:t>的</w:t>
      </w:r>
      <w:r w:rsidR="0059632C" w:rsidRPr="0006449A">
        <w:rPr>
          <w:rFonts w:ascii="宋体" w:cs="宋体"/>
          <w:kern w:val="0"/>
          <w:sz w:val="24"/>
          <w:szCs w:val="24"/>
        </w:rPr>
        <w:t>方式仅</w:t>
      </w:r>
      <w:r w:rsidR="0059632C" w:rsidRPr="0006449A">
        <w:rPr>
          <w:rFonts w:ascii="宋体" w:cs="宋体" w:hint="eastAsia"/>
          <w:kern w:val="0"/>
          <w:sz w:val="24"/>
          <w:szCs w:val="24"/>
        </w:rPr>
        <w:t>适用于</w:t>
      </w:r>
      <w:r w:rsidR="0059632C">
        <w:rPr>
          <w:rFonts w:ascii="宋体" w:cs="宋体" w:hint="eastAsia"/>
          <w:kern w:val="0"/>
          <w:sz w:val="24"/>
          <w:szCs w:val="24"/>
        </w:rPr>
        <w:t>个人投资者</w:t>
      </w:r>
      <w:r w:rsidR="0059632C" w:rsidRPr="0006449A">
        <w:rPr>
          <w:rFonts w:ascii="宋体" w:cs="宋体" w:hint="eastAsia"/>
          <w:kern w:val="0"/>
          <w:sz w:val="24"/>
          <w:szCs w:val="24"/>
        </w:rPr>
        <w:t>。</w:t>
      </w:r>
    </w:p>
    <w:p w:rsidR="00691FC8" w:rsidRPr="00420652" w:rsidRDefault="00691FC8" w:rsidP="00340485">
      <w:pPr>
        <w:autoSpaceDE w:val="0"/>
        <w:autoSpaceDN w:val="0"/>
        <w:adjustRightInd w:val="0"/>
        <w:spacing w:line="360" w:lineRule="auto"/>
        <w:ind w:firstLineChars="200" w:firstLine="480"/>
        <w:rPr>
          <w:rFonts w:ascii="宋体" w:cs="宋体"/>
          <w:kern w:val="0"/>
          <w:sz w:val="24"/>
          <w:szCs w:val="24"/>
        </w:rPr>
      </w:pPr>
    </w:p>
    <w:p w:rsidR="00691FC8" w:rsidRDefault="00691FC8" w:rsidP="00340485">
      <w:pPr>
        <w:autoSpaceDE w:val="0"/>
        <w:autoSpaceDN w:val="0"/>
        <w:adjustRightInd w:val="0"/>
        <w:spacing w:line="360" w:lineRule="auto"/>
        <w:ind w:firstLineChars="200" w:firstLine="480"/>
        <w:outlineLvl w:val="2"/>
        <w:rPr>
          <w:rFonts w:ascii="宋体" w:cs="宋体"/>
          <w:kern w:val="0"/>
          <w:sz w:val="24"/>
          <w:szCs w:val="24"/>
        </w:rPr>
      </w:pPr>
      <w:r w:rsidRPr="00691FC8">
        <w:rPr>
          <w:rFonts w:ascii="宋体" w:cs="宋体" w:hint="eastAsia"/>
          <w:kern w:val="0"/>
          <w:sz w:val="24"/>
          <w:szCs w:val="24"/>
        </w:rPr>
        <w:t>（四）短信授权（仅适用于个人投资者）</w:t>
      </w:r>
    </w:p>
    <w:p w:rsidR="002A7AC7" w:rsidRDefault="002A7A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w:t>
      </w:r>
      <w:r w:rsidR="00691FC8" w:rsidRPr="00691FC8">
        <w:rPr>
          <w:rFonts w:ascii="宋体" w:cs="宋体" w:hint="eastAsia"/>
          <w:kern w:val="0"/>
          <w:sz w:val="24"/>
          <w:szCs w:val="24"/>
        </w:rPr>
        <w:t>基金管理人和基金销售机构可通过短信平台向预留手机号码的</w:t>
      </w:r>
      <w:r>
        <w:rPr>
          <w:rFonts w:ascii="宋体" w:cs="宋体" w:hint="eastAsia"/>
          <w:kern w:val="0"/>
          <w:sz w:val="24"/>
          <w:szCs w:val="24"/>
        </w:rPr>
        <w:t>基金份额</w:t>
      </w:r>
      <w:r w:rsidR="00691FC8" w:rsidRPr="00691FC8">
        <w:rPr>
          <w:rFonts w:ascii="宋体" w:cs="宋体" w:hint="eastAsia"/>
          <w:kern w:val="0"/>
          <w:sz w:val="24"/>
          <w:szCs w:val="24"/>
        </w:rPr>
        <w:t>持有人发送征集授权短信，基金份额持有人根据征集授权短信的提示以回复短信表明授权意见</w:t>
      </w:r>
      <w:r w:rsidR="003E34D1" w:rsidRPr="003E34D1">
        <w:rPr>
          <w:rFonts w:ascii="宋体" w:cs="宋体" w:hint="eastAsia"/>
          <w:kern w:val="0"/>
          <w:sz w:val="24"/>
          <w:szCs w:val="24"/>
        </w:rPr>
        <w:t>，未回复意见的视为未授权</w:t>
      </w:r>
      <w:r w:rsidR="00691FC8" w:rsidRPr="00691FC8">
        <w:rPr>
          <w:rFonts w:ascii="宋体" w:cs="宋体" w:hint="eastAsia"/>
          <w:kern w:val="0"/>
          <w:sz w:val="24"/>
          <w:szCs w:val="24"/>
        </w:rPr>
        <w:t>。</w:t>
      </w:r>
    </w:p>
    <w:p w:rsidR="00691FC8" w:rsidRPr="00691FC8" w:rsidRDefault="005F18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sidR="00691FC8">
        <w:rPr>
          <w:rFonts w:ascii="宋体" w:cs="宋体" w:hint="eastAsia"/>
          <w:kern w:val="0"/>
          <w:sz w:val="24"/>
          <w:szCs w:val="24"/>
        </w:rPr>
        <w:t>、</w:t>
      </w:r>
      <w:r w:rsidR="002A7AC7">
        <w:rPr>
          <w:rFonts w:ascii="宋体" w:cs="宋体" w:hint="eastAsia"/>
          <w:kern w:val="0"/>
          <w:sz w:val="24"/>
          <w:szCs w:val="24"/>
        </w:rPr>
        <w:t>基金份额</w:t>
      </w:r>
      <w:r w:rsidR="00691FC8" w:rsidRPr="00691FC8">
        <w:rPr>
          <w:rFonts w:ascii="宋体" w:cs="宋体" w:hint="eastAsia"/>
          <w:kern w:val="0"/>
          <w:sz w:val="24"/>
          <w:szCs w:val="24"/>
        </w:rPr>
        <w:t>持有人原预留手机号码已变更或已不再实际使用的，可选择其他方式进行授权。</w:t>
      </w:r>
    </w:p>
    <w:p w:rsidR="00691FC8" w:rsidRPr="00691FC8" w:rsidRDefault="005F18C7" w:rsidP="00340485">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3</w:t>
      </w:r>
      <w:r w:rsidR="00691FC8">
        <w:rPr>
          <w:rFonts w:ascii="宋体" w:cs="宋体" w:hint="eastAsia"/>
          <w:kern w:val="0"/>
          <w:sz w:val="24"/>
          <w:szCs w:val="24"/>
        </w:rPr>
        <w:t>、</w:t>
      </w:r>
      <w:r w:rsidR="00691FC8" w:rsidRPr="00691FC8">
        <w:rPr>
          <w:rFonts w:ascii="宋体" w:cs="宋体" w:hint="eastAsia"/>
          <w:kern w:val="0"/>
          <w:sz w:val="24"/>
          <w:szCs w:val="24"/>
        </w:rPr>
        <w:t>基金份额持有人通过短信授权</w:t>
      </w:r>
      <w:r w:rsidR="001B005A" w:rsidRPr="0006449A">
        <w:rPr>
          <w:rFonts w:ascii="宋体" w:cs="宋体"/>
          <w:kern w:val="0"/>
          <w:sz w:val="24"/>
          <w:szCs w:val="24"/>
        </w:rPr>
        <w:t>基金管理人</w:t>
      </w:r>
      <w:r w:rsidR="001B005A">
        <w:rPr>
          <w:rFonts w:ascii="宋体" w:cs="宋体" w:hint="eastAsia"/>
          <w:kern w:val="0"/>
          <w:sz w:val="24"/>
          <w:szCs w:val="24"/>
        </w:rPr>
        <w:t>或基金销售机构</w:t>
      </w:r>
      <w:r w:rsidR="001B005A" w:rsidRPr="00AD16B5">
        <w:rPr>
          <w:rFonts w:ascii="宋体" w:cs="宋体" w:hint="eastAsia"/>
          <w:kern w:val="0"/>
          <w:sz w:val="24"/>
          <w:szCs w:val="24"/>
        </w:rPr>
        <w:t>进行投票</w:t>
      </w:r>
      <w:r w:rsidR="00691FC8" w:rsidRPr="00691FC8">
        <w:rPr>
          <w:rFonts w:ascii="宋体" w:cs="宋体" w:hint="eastAsia"/>
          <w:kern w:val="0"/>
          <w:sz w:val="24"/>
          <w:szCs w:val="24"/>
        </w:rPr>
        <w:t>的方式仅适用于个人</w:t>
      </w:r>
      <w:r w:rsidR="002A7AC7">
        <w:rPr>
          <w:rFonts w:ascii="宋体" w:cs="宋体" w:hint="eastAsia"/>
          <w:kern w:val="0"/>
          <w:sz w:val="24"/>
          <w:szCs w:val="24"/>
        </w:rPr>
        <w:t>投资</w:t>
      </w:r>
      <w:r w:rsidR="003E34D1">
        <w:rPr>
          <w:rFonts w:ascii="宋体" w:cs="宋体" w:hint="eastAsia"/>
          <w:kern w:val="0"/>
          <w:sz w:val="24"/>
          <w:szCs w:val="24"/>
        </w:rPr>
        <w:t>者</w:t>
      </w:r>
      <w:r w:rsidR="00691FC8" w:rsidRPr="00691FC8">
        <w:rPr>
          <w:rFonts w:ascii="宋体" w:cs="宋体" w:hint="eastAsia"/>
          <w:kern w:val="0"/>
          <w:sz w:val="24"/>
          <w:szCs w:val="24"/>
        </w:rPr>
        <w:t>。</w:t>
      </w:r>
    </w:p>
    <w:p w:rsidR="00691FC8" w:rsidRPr="008A038B" w:rsidRDefault="00691FC8" w:rsidP="00340485">
      <w:pPr>
        <w:autoSpaceDE w:val="0"/>
        <w:autoSpaceDN w:val="0"/>
        <w:adjustRightInd w:val="0"/>
        <w:spacing w:line="360" w:lineRule="auto"/>
        <w:ind w:firstLineChars="200" w:firstLine="480"/>
        <w:rPr>
          <w:rFonts w:ascii="宋体" w:cs="宋体"/>
          <w:kern w:val="0"/>
          <w:sz w:val="24"/>
          <w:szCs w:val="24"/>
        </w:rPr>
      </w:pPr>
    </w:p>
    <w:p w:rsidR="0042398C" w:rsidRPr="003D42AC" w:rsidRDefault="0042398C" w:rsidP="00340485">
      <w:pPr>
        <w:autoSpaceDE w:val="0"/>
        <w:autoSpaceDN w:val="0"/>
        <w:adjustRightInd w:val="0"/>
        <w:spacing w:line="360" w:lineRule="auto"/>
        <w:ind w:firstLineChars="200" w:firstLine="480"/>
        <w:outlineLvl w:val="2"/>
        <w:rPr>
          <w:rFonts w:ascii="宋体" w:cs="宋体"/>
          <w:kern w:val="0"/>
          <w:sz w:val="24"/>
          <w:szCs w:val="24"/>
        </w:rPr>
      </w:pPr>
      <w:r w:rsidRPr="003D42AC">
        <w:rPr>
          <w:rFonts w:ascii="宋体" w:cs="宋体" w:hint="eastAsia"/>
          <w:kern w:val="0"/>
          <w:sz w:val="24"/>
          <w:szCs w:val="24"/>
        </w:rPr>
        <w:t>（</w:t>
      </w:r>
      <w:r w:rsidR="00691FC8">
        <w:rPr>
          <w:rFonts w:ascii="宋体" w:cs="宋体" w:hint="eastAsia"/>
          <w:kern w:val="0"/>
          <w:sz w:val="24"/>
          <w:szCs w:val="24"/>
        </w:rPr>
        <w:t>五</w:t>
      </w:r>
      <w:r w:rsidRPr="003D42AC">
        <w:rPr>
          <w:rFonts w:ascii="宋体" w:cs="宋体" w:hint="eastAsia"/>
          <w:kern w:val="0"/>
          <w:sz w:val="24"/>
          <w:szCs w:val="24"/>
        </w:rPr>
        <w:t>）授权效力确定规则</w:t>
      </w:r>
    </w:p>
    <w:p w:rsidR="0044416D" w:rsidRDefault="0044416D" w:rsidP="003872EC">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1、</w:t>
      </w:r>
      <w:r w:rsidR="000F6A13" w:rsidRPr="000F6A13">
        <w:rPr>
          <w:rFonts w:ascii="宋体" w:cs="宋体" w:hint="eastAsia"/>
          <w:kern w:val="0"/>
          <w:sz w:val="24"/>
          <w:szCs w:val="24"/>
        </w:rPr>
        <w:t>在本次大会正式召集后，如基金份额持有人在投票表决起止时间内</w:t>
      </w:r>
      <w:r w:rsidRPr="00E57464">
        <w:rPr>
          <w:rFonts w:ascii="宋体" w:cs="宋体"/>
          <w:kern w:val="0"/>
          <w:sz w:val="24"/>
          <w:szCs w:val="24"/>
        </w:rPr>
        <w:t>送达了有效表决票</w:t>
      </w:r>
      <w:r w:rsidRPr="003D42AC">
        <w:rPr>
          <w:rFonts w:ascii="宋体" w:cs="宋体" w:hint="eastAsia"/>
          <w:kern w:val="0"/>
          <w:sz w:val="24"/>
          <w:szCs w:val="24"/>
        </w:rPr>
        <w:t>，又存在有效</w:t>
      </w:r>
      <w:r w:rsidR="00514A0E">
        <w:rPr>
          <w:rFonts w:ascii="宋体" w:cs="宋体" w:hint="eastAsia"/>
          <w:kern w:val="0"/>
          <w:sz w:val="24"/>
          <w:szCs w:val="24"/>
        </w:rPr>
        <w:t>纸质</w:t>
      </w:r>
      <w:r w:rsidRPr="003D42AC">
        <w:rPr>
          <w:rFonts w:ascii="宋体" w:cs="宋体" w:hint="eastAsia"/>
          <w:kern w:val="0"/>
          <w:sz w:val="24"/>
          <w:szCs w:val="24"/>
        </w:rPr>
        <w:t>授权或有效的其他方式授权的，</w:t>
      </w:r>
      <w:r w:rsidR="007A3031">
        <w:rPr>
          <w:rFonts w:ascii="宋体" w:cs="宋体" w:hint="eastAsia"/>
          <w:kern w:val="0"/>
          <w:sz w:val="24"/>
          <w:szCs w:val="24"/>
        </w:rPr>
        <w:t>除另有规定外，</w:t>
      </w:r>
      <w:r w:rsidRPr="003D42AC">
        <w:rPr>
          <w:rFonts w:ascii="宋体" w:cs="宋体" w:hint="eastAsia"/>
          <w:kern w:val="0"/>
          <w:sz w:val="24"/>
          <w:szCs w:val="24"/>
        </w:rPr>
        <w:t>以其</w:t>
      </w:r>
      <w:r>
        <w:rPr>
          <w:rFonts w:ascii="宋体" w:cs="宋体" w:hint="eastAsia"/>
          <w:kern w:val="0"/>
          <w:sz w:val="24"/>
          <w:szCs w:val="24"/>
        </w:rPr>
        <w:t>送达</w:t>
      </w:r>
      <w:r w:rsidRPr="003D42AC">
        <w:rPr>
          <w:rFonts w:ascii="宋体" w:cs="宋体" w:hint="eastAsia"/>
          <w:kern w:val="0"/>
          <w:sz w:val="24"/>
          <w:szCs w:val="24"/>
        </w:rPr>
        <w:t>的</w:t>
      </w:r>
      <w:r>
        <w:rPr>
          <w:rFonts w:ascii="宋体" w:cs="宋体" w:hint="eastAsia"/>
          <w:kern w:val="0"/>
          <w:sz w:val="24"/>
          <w:szCs w:val="24"/>
        </w:rPr>
        <w:t>有效表决票</w:t>
      </w:r>
      <w:r w:rsidRPr="003D42AC">
        <w:rPr>
          <w:rFonts w:ascii="宋体" w:cs="宋体" w:hint="eastAsia"/>
          <w:kern w:val="0"/>
          <w:sz w:val="24"/>
          <w:szCs w:val="24"/>
        </w:rPr>
        <w:t>为准。</w:t>
      </w:r>
      <w:r w:rsidR="003872EC">
        <w:rPr>
          <w:rFonts w:ascii="宋体" w:cs="宋体" w:hint="eastAsia"/>
          <w:kern w:val="0"/>
          <w:sz w:val="24"/>
          <w:szCs w:val="24"/>
        </w:rPr>
        <w:t>相关授权均视为无效。</w:t>
      </w:r>
    </w:p>
    <w:p w:rsidR="00894D98" w:rsidRDefault="00894D98" w:rsidP="005A2BF4">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2</w:t>
      </w:r>
      <w:r w:rsidRPr="003D42AC">
        <w:rPr>
          <w:rFonts w:ascii="宋体" w:cs="宋体" w:hint="eastAsia"/>
          <w:kern w:val="0"/>
          <w:sz w:val="24"/>
          <w:szCs w:val="24"/>
        </w:rPr>
        <w:t>、同一基金份额存在有效的</w:t>
      </w:r>
      <w:r w:rsidR="00514A0E">
        <w:rPr>
          <w:rFonts w:ascii="宋体" w:cs="宋体" w:hint="eastAsia"/>
          <w:kern w:val="0"/>
          <w:sz w:val="24"/>
          <w:szCs w:val="24"/>
        </w:rPr>
        <w:t>纸质</w:t>
      </w:r>
      <w:r w:rsidRPr="003D42AC">
        <w:rPr>
          <w:rFonts w:ascii="宋体" w:cs="宋体" w:hint="eastAsia"/>
          <w:kern w:val="0"/>
          <w:sz w:val="24"/>
          <w:szCs w:val="24"/>
        </w:rPr>
        <w:t>授权和有效的其他方式授权的，</w:t>
      </w:r>
      <w:r w:rsidR="005A2BF4">
        <w:rPr>
          <w:rFonts w:ascii="宋体" w:cs="宋体" w:hint="eastAsia"/>
          <w:kern w:val="0"/>
          <w:sz w:val="24"/>
          <w:szCs w:val="24"/>
        </w:rPr>
        <w:t>不论授权时间先后，均</w:t>
      </w:r>
      <w:r w:rsidRPr="003D42AC">
        <w:rPr>
          <w:rFonts w:ascii="宋体" w:cs="宋体" w:hint="eastAsia"/>
          <w:kern w:val="0"/>
          <w:sz w:val="24"/>
          <w:szCs w:val="24"/>
        </w:rPr>
        <w:t>以有效的</w:t>
      </w:r>
      <w:r w:rsidR="00514A0E">
        <w:rPr>
          <w:rFonts w:ascii="宋体" w:cs="宋体" w:hint="eastAsia"/>
          <w:kern w:val="0"/>
          <w:sz w:val="24"/>
          <w:szCs w:val="24"/>
        </w:rPr>
        <w:t>纸质</w:t>
      </w:r>
      <w:r w:rsidRPr="003D42AC">
        <w:rPr>
          <w:rFonts w:ascii="宋体" w:cs="宋体" w:hint="eastAsia"/>
          <w:kern w:val="0"/>
          <w:sz w:val="24"/>
          <w:szCs w:val="24"/>
        </w:rPr>
        <w:t>授权为准。</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3</w:t>
      </w:r>
      <w:r w:rsidRPr="003D42AC">
        <w:rPr>
          <w:rFonts w:ascii="宋体" w:cs="宋体" w:hint="eastAsia"/>
          <w:kern w:val="0"/>
          <w:sz w:val="24"/>
          <w:szCs w:val="24"/>
        </w:rPr>
        <w:t>、同一基金份额存在多次</w:t>
      </w:r>
      <w:r w:rsidR="00514A0E">
        <w:rPr>
          <w:rFonts w:ascii="宋体" w:cs="宋体" w:hint="eastAsia"/>
          <w:kern w:val="0"/>
          <w:sz w:val="24"/>
          <w:szCs w:val="24"/>
        </w:rPr>
        <w:t>纸质</w:t>
      </w:r>
      <w:r w:rsidRPr="003D42AC">
        <w:rPr>
          <w:rFonts w:ascii="宋体" w:cs="宋体" w:hint="eastAsia"/>
          <w:kern w:val="0"/>
          <w:sz w:val="24"/>
          <w:szCs w:val="24"/>
        </w:rPr>
        <w:t>授权的，以</w:t>
      </w:r>
      <w:r>
        <w:rPr>
          <w:rFonts w:ascii="宋体" w:cs="宋体" w:hint="eastAsia"/>
          <w:kern w:val="0"/>
          <w:sz w:val="24"/>
          <w:szCs w:val="24"/>
        </w:rPr>
        <w:t>代理人</w:t>
      </w:r>
      <w:r w:rsidRPr="003D42AC">
        <w:rPr>
          <w:rFonts w:ascii="宋体" w:cs="宋体" w:hint="eastAsia"/>
          <w:kern w:val="0"/>
          <w:sz w:val="24"/>
          <w:szCs w:val="24"/>
        </w:rPr>
        <w:t>收到的最后一次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授权为准</w:t>
      </w:r>
      <w:r>
        <w:rPr>
          <w:rFonts w:ascii="宋体" w:cs="宋体" w:hint="eastAsia"/>
          <w:kern w:val="0"/>
          <w:sz w:val="24"/>
          <w:szCs w:val="24"/>
        </w:rPr>
        <w:t>。</w:t>
      </w:r>
      <w:r w:rsidRPr="003D42AC">
        <w:rPr>
          <w:rFonts w:ascii="宋体" w:cs="宋体" w:hint="eastAsia"/>
          <w:kern w:val="0"/>
          <w:sz w:val="24"/>
          <w:szCs w:val="24"/>
        </w:rPr>
        <w:t>如最后时间收到的</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授权有多次，不能确定最后一次</w:t>
      </w:r>
      <w:r w:rsidR="008A038B">
        <w:rPr>
          <w:rFonts w:ascii="宋体" w:cs="宋体" w:hint="eastAsia"/>
          <w:kern w:val="0"/>
          <w:sz w:val="24"/>
          <w:szCs w:val="24"/>
        </w:rPr>
        <w:t>有效</w:t>
      </w:r>
      <w:r w:rsidR="00514A0E">
        <w:rPr>
          <w:rFonts w:ascii="宋体" w:cs="宋体" w:hint="eastAsia"/>
          <w:kern w:val="0"/>
          <w:sz w:val="24"/>
          <w:szCs w:val="24"/>
        </w:rPr>
        <w:t>纸质</w:t>
      </w:r>
      <w:r w:rsidRPr="003D42AC">
        <w:rPr>
          <w:rFonts w:ascii="宋体" w:cs="宋体" w:hint="eastAsia"/>
          <w:kern w:val="0"/>
          <w:sz w:val="24"/>
          <w:szCs w:val="24"/>
        </w:rPr>
        <w:t>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0D102F" w:rsidRPr="000D102F">
        <w:rPr>
          <w:rFonts w:ascii="宋体" w:cs="宋体" w:hint="eastAsia"/>
          <w:kern w:val="0"/>
          <w:sz w:val="24"/>
          <w:szCs w:val="24"/>
        </w:rPr>
        <w:t>以一致的授权表示为准</w:t>
      </w:r>
      <w:r>
        <w:rPr>
          <w:rFonts w:ascii="宋体" w:cs="宋体" w:hint="eastAsia"/>
          <w:kern w:val="0"/>
          <w:sz w:val="24"/>
          <w:szCs w:val="24"/>
        </w:rPr>
        <w:t>；</w:t>
      </w:r>
      <w:r w:rsidRPr="004D1032">
        <w:rPr>
          <w:rFonts w:ascii="宋体" w:cs="宋体" w:hint="eastAsia"/>
          <w:kern w:val="0"/>
          <w:sz w:val="24"/>
          <w:szCs w:val="24"/>
        </w:rPr>
        <w:t>若多次授权同一</w:t>
      </w:r>
      <w:r>
        <w:rPr>
          <w:rFonts w:ascii="宋体" w:cs="宋体" w:hint="eastAsia"/>
          <w:kern w:val="0"/>
          <w:sz w:val="24"/>
          <w:szCs w:val="24"/>
        </w:rPr>
        <w:t>代理人</w:t>
      </w:r>
      <w:r w:rsidRPr="004D1032">
        <w:rPr>
          <w:rFonts w:ascii="宋体" w:cs="宋体" w:hint="eastAsia"/>
          <w:kern w:val="0"/>
          <w:sz w:val="24"/>
          <w:szCs w:val="24"/>
        </w:rPr>
        <w:t>但授权表示不一致的，视为</w:t>
      </w:r>
      <w:r w:rsidRPr="004D1032">
        <w:rPr>
          <w:rFonts w:ascii="宋体" w:cs="宋体"/>
          <w:kern w:val="0"/>
          <w:sz w:val="24"/>
          <w:szCs w:val="24"/>
        </w:rPr>
        <w:t>委托人授权</w:t>
      </w:r>
      <w:r>
        <w:rPr>
          <w:rFonts w:ascii="宋体" w:cs="宋体"/>
          <w:kern w:val="0"/>
          <w:sz w:val="24"/>
          <w:szCs w:val="24"/>
        </w:rPr>
        <w:t>代理人</w:t>
      </w:r>
      <w:r>
        <w:rPr>
          <w:rFonts w:ascii="宋体" w:cs="宋体" w:hint="eastAsia"/>
          <w:kern w:val="0"/>
          <w:sz w:val="24"/>
          <w:szCs w:val="24"/>
        </w:rPr>
        <w:t>投</w:t>
      </w:r>
      <w:r>
        <w:rPr>
          <w:rFonts w:ascii="宋体" w:cs="宋体"/>
          <w:kern w:val="0"/>
          <w:sz w:val="24"/>
          <w:szCs w:val="24"/>
        </w:rPr>
        <w:t>弃权票</w:t>
      </w:r>
      <w:r>
        <w:rPr>
          <w:rFonts w:ascii="宋体" w:cs="宋体" w:hint="eastAsia"/>
          <w:kern w:val="0"/>
          <w:sz w:val="24"/>
          <w:szCs w:val="24"/>
        </w:rPr>
        <w:t>；</w:t>
      </w:r>
      <w:r w:rsidRPr="004D1032">
        <w:rPr>
          <w:rFonts w:ascii="宋体" w:cs="宋体" w:hint="eastAsia"/>
          <w:kern w:val="0"/>
          <w:sz w:val="24"/>
          <w:szCs w:val="24"/>
        </w:rPr>
        <w:t>若授权不同</w:t>
      </w:r>
      <w:r>
        <w:rPr>
          <w:rFonts w:ascii="宋体" w:cs="宋体" w:hint="eastAsia"/>
          <w:kern w:val="0"/>
          <w:sz w:val="24"/>
          <w:szCs w:val="24"/>
        </w:rPr>
        <w:t>代理人</w:t>
      </w:r>
      <w:r w:rsidRPr="004D1032">
        <w:rPr>
          <w:rFonts w:ascii="宋体" w:cs="宋体" w:hint="eastAsia"/>
          <w:kern w:val="0"/>
          <w:sz w:val="24"/>
          <w:szCs w:val="24"/>
        </w:rPr>
        <w:t>且授权表示不一致的，视为授权无效。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4</w:t>
      </w:r>
      <w:r w:rsidRPr="003D42AC">
        <w:rPr>
          <w:rFonts w:ascii="宋体" w:cs="宋体" w:hint="eastAsia"/>
          <w:kern w:val="0"/>
          <w:sz w:val="24"/>
          <w:szCs w:val="24"/>
        </w:rPr>
        <w:t>、同一基金份额只存在</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有效的其他方式授权时，以有效的该种授权方式为准</w:t>
      </w:r>
      <w:r>
        <w:rPr>
          <w:rFonts w:ascii="宋体" w:cs="宋体" w:hint="eastAsia"/>
          <w:kern w:val="0"/>
          <w:sz w:val="24"/>
          <w:szCs w:val="24"/>
        </w:rPr>
        <w:t>。</w:t>
      </w:r>
      <w:r w:rsidRPr="003D42AC">
        <w:rPr>
          <w:rFonts w:ascii="宋体" w:cs="宋体" w:hint="eastAsia"/>
          <w:kern w:val="0"/>
          <w:sz w:val="24"/>
          <w:szCs w:val="24"/>
        </w:rPr>
        <w:t>多次以</w:t>
      </w:r>
      <w:r w:rsidR="00514A0E">
        <w:rPr>
          <w:rFonts w:ascii="宋体" w:cs="宋体" w:hint="eastAsia"/>
          <w:kern w:val="0"/>
          <w:sz w:val="24"/>
          <w:szCs w:val="24"/>
        </w:rPr>
        <w:t>纸质</w:t>
      </w:r>
      <w:r>
        <w:rPr>
          <w:rFonts w:ascii="宋体" w:cs="宋体" w:hint="eastAsia"/>
          <w:kern w:val="0"/>
          <w:sz w:val="24"/>
          <w:szCs w:val="24"/>
        </w:rPr>
        <w:t>授权以外的</w:t>
      </w:r>
      <w:r w:rsidRPr="003D42AC">
        <w:rPr>
          <w:rFonts w:ascii="宋体" w:cs="宋体" w:hint="eastAsia"/>
          <w:kern w:val="0"/>
          <w:sz w:val="24"/>
          <w:szCs w:val="24"/>
        </w:rPr>
        <w:t>其他方式</w:t>
      </w:r>
      <w:r w:rsidR="005B3BB6">
        <w:rPr>
          <w:rFonts w:ascii="宋体" w:cs="宋体" w:hint="eastAsia"/>
          <w:kern w:val="0"/>
          <w:sz w:val="24"/>
          <w:szCs w:val="24"/>
        </w:rPr>
        <w:t>进行有效</w:t>
      </w:r>
      <w:r w:rsidRPr="003D42AC">
        <w:rPr>
          <w:rFonts w:ascii="宋体" w:cs="宋体" w:hint="eastAsia"/>
          <w:kern w:val="0"/>
          <w:sz w:val="24"/>
          <w:szCs w:val="24"/>
        </w:rPr>
        <w:t>授权的，以时间在最后的授权为准</w:t>
      </w:r>
      <w:r>
        <w:rPr>
          <w:rFonts w:ascii="宋体" w:cs="宋体" w:hint="eastAsia"/>
          <w:kern w:val="0"/>
          <w:sz w:val="24"/>
          <w:szCs w:val="24"/>
        </w:rPr>
        <w:t>。如</w:t>
      </w:r>
      <w:r w:rsidRPr="003D42AC">
        <w:rPr>
          <w:rFonts w:ascii="宋体" w:cs="宋体" w:hint="eastAsia"/>
          <w:kern w:val="0"/>
          <w:sz w:val="24"/>
          <w:szCs w:val="24"/>
        </w:rPr>
        <w:t>最后时间收到的</w:t>
      </w:r>
      <w:r w:rsidR="00114F34">
        <w:rPr>
          <w:rFonts w:ascii="宋体" w:cs="宋体" w:hint="eastAsia"/>
          <w:kern w:val="0"/>
          <w:sz w:val="24"/>
          <w:szCs w:val="24"/>
        </w:rPr>
        <w:t>有效</w:t>
      </w:r>
      <w:r w:rsidRPr="003D42AC">
        <w:rPr>
          <w:rFonts w:ascii="宋体" w:cs="宋体" w:hint="eastAsia"/>
          <w:kern w:val="0"/>
          <w:sz w:val="24"/>
          <w:szCs w:val="24"/>
        </w:rPr>
        <w:t>授权委托有多次，不能确定最后一次授权的</w:t>
      </w:r>
      <w:r>
        <w:rPr>
          <w:rFonts w:ascii="宋体" w:cs="宋体" w:hint="eastAsia"/>
          <w:kern w:val="0"/>
          <w:sz w:val="24"/>
          <w:szCs w:val="24"/>
        </w:rPr>
        <w:t>，按以下原则处理：若多次授权的</w:t>
      </w:r>
      <w:r w:rsidRPr="003D42AC">
        <w:rPr>
          <w:rFonts w:ascii="宋体" w:cs="宋体" w:hint="eastAsia"/>
          <w:kern w:val="0"/>
          <w:sz w:val="24"/>
          <w:szCs w:val="24"/>
        </w:rPr>
        <w:t>授权</w:t>
      </w:r>
      <w:r>
        <w:rPr>
          <w:rFonts w:ascii="宋体" w:cs="宋体" w:hint="eastAsia"/>
          <w:kern w:val="0"/>
          <w:sz w:val="24"/>
          <w:szCs w:val="24"/>
        </w:rPr>
        <w:t>表示一致</w:t>
      </w:r>
      <w:r w:rsidRPr="003D42AC">
        <w:rPr>
          <w:rFonts w:ascii="宋体" w:cs="宋体" w:hint="eastAsia"/>
          <w:kern w:val="0"/>
          <w:sz w:val="24"/>
          <w:szCs w:val="24"/>
        </w:rPr>
        <w:t>的，</w:t>
      </w:r>
      <w:r w:rsidR="005B3BB6" w:rsidRPr="000D102F">
        <w:rPr>
          <w:rFonts w:ascii="宋体" w:cs="宋体" w:hint="eastAsia"/>
          <w:kern w:val="0"/>
          <w:sz w:val="24"/>
          <w:szCs w:val="24"/>
        </w:rPr>
        <w:t>以一致的授权表示为准</w:t>
      </w:r>
      <w:r>
        <w:rPr>
          <w:rFonts w:ascii="宋体" w:cs="宋体" w:hint="eastAsia"/>
          <w:kern w:val="0"/>
          <w:sz w:val="24"/>
          <w:szCs w:val="24"/>
        </w:rPr>
        <w:t>；若多次授权同一代理人但</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sidRPr="004D1032">
        <w:rPr>
          <w:rFonts w:ascii="宋体" w:cs="宋体" w:hint="eastAsia"/>
          <w:kern w:val="0"/>
          <w:sz w:val="24"/>
          <w:szCs w:val="24"/>
        </w:rPr>
        <w:t>视为委</w:t>
      </w:r>
      <w:r w:rsidRPr="004D1032">
        <w:rPr>
          <w:rFonts w:ascii="宋体" w:cs="宋体"/>
          <w:kern w:val="0"/>
          <w:sz w:val="24"/>
          <w:szCs w:val="24"/>
        </w:rPr>
        <w:t>托人授权</w:t>
      </w:r>
      <w:r>
        <w:rPr>
          <w:rFonts w:ascii="宋体" w:cs="宋体"/>
          <w:kern w:val="0"/>
          <w:sz w:val="24"/>
          <w:szCs w:val="24"/>
        </w:rPr>
        <w:t>代理人</w:t>
      </w:r>
      <w:r>
        <w:rPr>
          <w:rFonts w:ascii="宋体" w:cs="宋体" w:hint="eastAsia"/>
          <w:kern w:val="0"/>
          <w:sz w:val="24"/>
          <w:szCs w:val="24"/>
        </w:rPr>
        <w:t>投弃权票；若授权不同代理人且</w:t>
      </w:r>
      <w:r w:rsidRPr="003D42AC">
        <w:rPr>
          <w:rFonts w:ascii="宋体" w:cs="宋体" w:hint="eastAsia"/>
          <w:kern w:val="0"/>
          <w:sz w:val="24"/>
          <w:szCs w:val="24"/>
        </w:rPr>
        <w:t>授权</w:t>
      </w:r>
      <w:r>
        <w:rPr>
          <w:rFonts w:ascii="宋体" w:cs="宋体" w:hint="eastAsia"/>
          <w:kern w:val="0"/>
          <w:sz w:val="24"/>
          <w:szCs w:val="24"/>
        </w:rPr>
        <w:t>表示</w:t>
      </w:r>
      <w:r w:rsidRPr="003D42AC">
        <w:rPr>
          <w:rFonts w:ascii="宋体" w:cs="宋体" w:hint="eastAsia"/>
          <w:kern w:val="0"/>
          <w:sz w:val="24"/>
          <w:szCs w:val="24"/>
        </w:rPr>
        <w:t>不一致的，</w:t>
      </w:r>
      <w:r>
        <w:rPr>
          <w:rFonts w:ascii="宋体" w:cs="宋体" w:hint="eastAsia"/>
          <w:kern w:val="0"/>
          <w:sz w:val="24"/>
          <w:szCs w:val="24"/>
        </w:rPr>
        <w:t>视为授权无效。</w:t>
      </w:r>
    </w:p>
    <w:p w:rsidR="00894D98" w:rsidRDefault="00894D98" w:rsidP="00340485">
      <w:pPr>
        <w:autoSpaceDE w:val="0"/>
        <w:autoSpaceDN w:val="0"/>
        <w:adjustRightInd w:val="0"/>
        <w:spacing w:line="360" w:lineRule="auto"/>
        <w:ind w:firstLineChars="200" w:firstLine="480"/>
        <w:rPr>
          <w:rFonts w:ascii="宋体" w:cs="宋体"/>
          <w:kern w:val="0"/>
          <w:sz w:val="24"/>
          <w:szCs w:val="24"/>
        </w:rPr>
      </w:pPr>
      <w:r w:rsidRPr="003D42AC">
        <w:rPr>
          <w:rFonts w:ascii="宋体" w:cs="宋体"/>
          <w:kern w:val="0"/>
          <w:sz w:val="24"/>
          <w:szCs w:val="24"/>
        </w:rPr>
        <w:t>5</w:t>
      </w:r>
      <w:r w:rsidRPr="003D42AC">
        <w:rPr>
          <w:rFonts w:ascii="宋体" w:cs="宋体" w:hint="eastAsia"/>
          <w:kern w:val="0"/>
          <w:sz w:val="24"/>
          <w:szCs w:val="24"/>
        </w:rPr>
        <w:t>、如果委托人在授权委托书中明确其表决意见的，以委托人的表决意见为准；如果授权委托书中未明确委托人的表决意见的，即视为授权</w:t>
      </w:r>
      <w:r>
        <w:rPr>
          <w:rFonts w:ascii="宋体" w:cs="宋体" w:hint="eastAsia"/>
          <w:kern w:val="0"/>
          <w:sz w:val="24"/>
          <w:szCs w:val="24"/>
        </w:rPr>
        <w:t>代理人</w:t>
      </w:r>
      <w:r w:rsidRPr="003D42AC">
        <w:rPr>
          <w:rFonts w:ascii="宋体" w:cs="宋体" w:hint="eastAsia"/>
          <w:kern w:val="0"/>
          <w:sz w:val="24"/>
          <w:szCs w:val="24"/>
        </w:rPr>
        <w:t>按照</w:t>
      </w:r>
      <w:r>
        <w:rPr>
          <w:rFonts w:ascii="宋体" w:cs="宋体" w:hint="eastAsia"/>
          <w:kern w:val="0"/>
          <w:sz w:val="24"/>
          <w:szCs w:val="24"/>
        </w:rPr>
        <w:t>代理人</w:t>
      </w:r>
      <w:r w:rsidRPr="003D42AC">
        <w:rPr>
          <w:rFonts w:ascii="宋体" w:cs="宋体" w:hint="eastAsia"/>
          <w:kern w:val="0"/>
          <w:sz w:val="24"/>
          <w:szCs w:val="24"/>
        </w:rPr>
        <w:t>的意志全权行使表决权；</w:t>
      </w:r>
      <w:r w:rsidRPr="004D1032">
        <w:rPr>
          <w:rFonts w:ascii="宋体" w:cs="宋体" w:hint="eastAsia"/>
          <w:kern w:val="0"/>
          <w:sz w:val="24"/>
          <w:szCs w:val="24"/>
        </w:rPr>
        <w:t>如委托人在同一授权委托表示中表达多种表决意见的，视为委托人授权</w:t>
      </w:r>
      <w:r>
        <w:rPr>
          <w:rFonts w:ascii="宋体" w:cs="宋体" w:hint="eastAsia"/>
          <w:kern w:val="0"/>
          <w:sz w:val="24"/>
          <w:szCs w:val="24"/>
        </w:rPr>
        <w:t>代理人投弃权票</w:t>
      </w:r>
      <w:r w:rsidRPr="004D1032">
        <w:rPr>
          <w:rFonts w:ascii="宋体" w:cs="宋体" w:hint="eastAsia"/>
          <w:kern w:val="0"/>
          <w:sz w:val="24"/>
          <w:szCs w:val="24"/>
        </w:rPr>
        <w:t>。</w:t>
      </w:r>
    </w:p>
    <w:p w:rsidR="002A7AC7" w:rsidRDefault="002A7AC7" w:rsidP="002A7AC7">
      <w:pPr>
        <w:autoSpaceDE w:val="0"/>
        <w:autoSpaceDN w:val="0"/>
        <w:adjustRightInd w:val="0"/>
        <w:spacing w:line="360" w:lineRule="auto"/>
        <w:ind w:firstLineChars="200" w:firstLine="480"/>
        <w:rPr>
          <w:rFonts w:ascii="宋体" w:cs="宋体"/>
          <w:kern w:val="0"/>
          <w:sz w:val="24"/>
          <w:szCs w:val="24"/>
        </w:rPr>
      </w:pPr>
      <w:r w:rsidRPr="002A7AC7">
        <w:rPr>
          <w:rFonts w:ascii="宋体" w:cs="宋体"/>
          <w:kern w:val="0"/>
          <w:sz w:val="24"/>
          <w:szCs w:val="24"/>
        </w:rPr>
        <w:t>6、基金份额持有人的授权意见代表基金份额持有人在权益登记日所持全部基金份额的授权意见。</w:t>
      </w:r>
      <w:r w:rsidR="003E34D1" w:rsidRPr="003E34D1">
        <w:rPr>
          <w:rFonts w:ascii="宋体" w:cs="宋体" w:hint="eastAsia"/>
          <w:kern w:val="0"/>
          <w:sz w:val="24"/>
          <w:szCs w:val="24"/>
        </w:rPr>
        <w:t>投资者在权益登记日未持有本基金基金份额的，授权无效。</w:t>
      </w:r>
    </w:p>
    <w:p w:rsidR="00435CDB" w:rsidRPr="002A7AC7" w:rsidRDefault="00435CDB" w:rsidP="002A7AC7">
      <w:pPr>
        <w:autoSpaceDE w:val="0"/>
        <w:autoSpaceDN w:val="0"/>
        <w:adjustRightInd w:val="0"/>
        <w:spacing w:line="360" w:lineRule="auto"/>
        <w:ind w:firstLineChars="200" w:firstLine="480"/>
        <w:rPr>
          <w:rFonts w:ascii="宋体" w:cs="宋体"/>
          <w:kern w:val="0"/>
          <w:sz w:val="24"/>
          <w:szCs w:val="24"/>
        </w:rPr>
      </w:pPr>
      <w:r w:rsidRPr="00435CDB">
        <w:rPr>
          <w:rFonts w:ascii="宋体" w:cs="宋体" w:hint="eastAsia"/>
          <w:kern w:val="0"/>
          <w:sz w:val="24"/>
          <w:szCs w:val="24"/>
        </w:rPr>
        <w:t>7、本次基金份额持有人大会接受基金份额持有人授权的截止时间以本次大会的正式会议通知所公告的授权截止时间为准；</w:t>
      </w:r>
      <w:r w:rsidR="0010111B" w:rsidRPr="0010111B">
        <w:rPr>
          <w:rFonts w:ascii="宋体" w:cs="宋体" w:hint="eastAsia"/>
          <w:kern w:val="0"/>
          <w:sz w:val="24"/>
          <w:szCs w:val="24"/>
        </w:rPr>
        <w:t>如基金管理人根据正式会议通知的规定决定延迟投票表决截止时间的，则相关授权截止时间相应延迟</w:t>
      </w:r>
      <w:r w:rsidR="0010111B">
        <w:rPr>
          <w:rFonts w:ascii="宋体" w:cs="宋体" w:hint="eastAsia"/>
          <w:kern w:val="0"/>
          <w:sz w:val="24"/>
          <w:szCs w:val="24"/>
        </w:rPr>
        <w:t>。</w:t>
      </w:r>
      <w:r w:rsidRPr="00435CDB">
        <w:rPr>
          <w:rFonts w:ascii="宋体" w:cs="宋体" w:hint="eastAsia"/>
          <w:kern w:val="0"/>
          <w:sz w:val="24"/>
          <w:szCs w:val="24"/>
        </w:rPr>
        <w:t>基金份额持有人纸面授权的时间以本预公告规定的收件人收到纸面授权委托书的时间为准，通过其他非纸面方式的授权时间以系统记录时间为准。</w:t>
      </w:r>
    </w:p>
    <w:p w:rsidR="002A7AC7" w:rsidRPr="003D42AC" w:rsidRDefault="00435CDB" w:rsidP="002A7AC7">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8</w:t>
      </w:r>
      <w:r w:rsidR="002A7AC7" w:rsidRPr="002A7AC7">
        <w:rPr>
          <w:rFonts w:ascii="宋体" w:cs="宋体"/>
          <w:kern w:val="0"/>
          <w:sz w:val="24"/>
          <w:szCs w:val="24"/>
        </w:rPr>
        <w:t>、上述授权有效期自授权之日起至本次基金份额持有人大会</w:t>
      </w:r>
      <w:r w:rsidR="002A7AC7" w:rsidRPr="002A7AC7">
        <w:rPr>
          <w:rFonts w:ascii="宋体" w:cs="宋体" w:hint="eastAsia"/>
          <w:kern w:val="0"/>
          <w:sz w:val="24"/>
          <w:szCs w:val="24"/>
        </w:rPr>
        <w:t>会议结束</w:t>
      </w:r>
      <w:r w:rsidR="002A7AC7" w:rsidRPr="002A7AC7">
        <w:rPr>
          <w:rFonts w:ascii="宋体" w:cs="宋体"/>
          <w:kern w:val="0"/>
          <w:sz w:val="24"/>
          <w:szCs w:val="24"/>
        </w:rPr>
        <w:t>之日止；但如果本基金根据本公告</w:t>
      </w:r>
      <w:r w:rsidR="00776910">
        <w:rPr>
          <w:rFonts w:ascii="宋体" w:cs="宋体" w:hint="eastAsia"/>
          <w:kern w:val="0"/>
          <w:sz w:val="24"/>
          <w:szCs w:val="24"/>
        </w:rPr>
        <w:t>“</w:t>
      </w:r>
      <w:r w:rsidR="0086728B">
        <w:rPr>
          <w:rFonts w:ascii="宋体" w:cs="宋体" w:hint="eastAsia"/>
          <w:kern w:val="0"/>
          <w:sz w:val="24"/>
          <w:szCs w:val="24"/>
        </w:rPr>
        <w:t>六</w:t>
      </w:r>
      <w:r w:rsidR="002A7AC7" w:rsidRPr="002A7AC7">
        <w:rPr>
          <w:rFonts w:ascii="宋体" w:cs="宋体"/>
          <w:kern w:val="0"/>
          <w:sz w:val="24"/>
          <w:szCs w:val="24"/>
        </w:rPr>
        <w:t>、</w:t>
      </w:r>
      <w:r w:rsidR="00776910" w:rsidRPr="00776910">
        <w:rPr>
          <w:rFonts w:ascii="宋体" w:cs="宋体" w:hint="eastAsia"/>
          <w:kern w:val="0"/>
          <w:sz w:val="24"/>
          <w:szCs w:val="24"/>
        </w:rPr>
        <w:t>二次召集基金份额持有人大会</w:t>
      </w:r>
      <w:r w:rsidR="00776910">
        <w:rPr>
          <w:rFonts w:ascii="宋体" w:cs="宋体" w:hint="eastAsia"/>
          <w:kern w:val="0"/>
          <w:sz w:val="24"/>
          <w:szCs w:val="24"/>
        </w:rPr>
        <w:t>”</w:t>
      </w:r>
      <w:r w:rsidR="002A7AC7" w:rsidRPr="002A7AC7">
        <w:rPr>
          <w:rFonts w:ascii="宋体" w:cs="宋体"/>
          <w:kern w:val="0"/>
          <w:sz w:val="24"/>
          <w:szCs w:val="24"/>
        </w:rPr>
        <w:t>章节的规定就相同审议事项重新召集持有人大会的，上述授权继续有效。</w:t>
      </w:r>
    </w:p>
    <w:p w:rsidR="00E027A1" w:rsidRPr="003D42AC" w:rsidRDefault="00E027A1" w:rsidP="00340485">
      <w:pPr>
        <w:autoSpaceDE w:val="0"/>
        <w:autoSpaceDN w:val="0"/>
        <w:adjustRightInd w:val="0"/>
        <w:spacing w:line="360" w:lineRule="auto"/>
        <w:ind w:firstLineChars="200" w:firstLine="480"/>
        <w:rPr>
          <w:rFonts w:ascii="宋体" w:cs="宋体"/>
          <w:kern w:val="0"/>
          <w:sz w:val="24"/>
          <w:szCs w:val="24"/>
        </w:rPr>
      </w:pPr>
    </w:p>
    <w:p w:rsidR="00F0623D" w:rsidRPr="00F756F9" w:rsidRDefault="0086728B" w:rsidP="0086728B">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五</w:t>
      </w:r>
      <w:r w:rsidR="00D33331" w:rsidRPr="00F756F9">
        <w:rPr>
          <w:rFonts w:ascii="宋体" w:cs="宋体" w:hint="eastAsia"/>
          <w:b/>
          <w:kern w:val="0"/>
          <w:sz w:val="28"/>
          <w:szCs w:val="28"/>
        </w:rPr>
        <w:t>、</w:t>
      </w:r>
      <w:r>
        <w:rPr>
          <w:rFonts w:ascii="宋体" w:cs="宋体" w:hint="eastAsia"/>
          <w:b/>
          <w:kern w:val="0"/>
          <w:sz w:val="28"/>
          <w:szCs w:val="28"/>
        </w:rPr>
        <w:t>表决</w:t>
      </w:r>
    </w:p>
    <w:p w:rsidR="00D33331" w:rsidRPr="00F756F9" w:rsidRDefault="0086728B" w:rsidP="00340485">
      <w:pPr>
        <w:autoSpaceDE w:val="0"/>
        <w:autoSpaceDN w:val="0"/>
        <w:adjustRightInd w:val="0"/>
        <w:spacing w:line="360" w:lineRule="auto"/>
        <w:ind w:firstLineChars="200" w:firstLine="480"/>
        <w:rPr>
          <w:rFonts w:ascii="宋体" w:cs="宋体"/>
          <w:kern w:val="0"/>
          <w:sz w:val="24"/>
          <w:szCs w:val="24"/>
        </w:rPr>
      </w:pPr>
      <w:r w:rsidRPr="0086728B">
        <w:rPr>
          <w:rFonts w:ascii="宋体" w:cs="宋体" w:hint="eastAsia"/>
          <w:kern w:val="0"/>
          <w:sz w:val="24"/>
          <w:szCs w:val="24"/>
        </w:rPr>
        <w:t>表决方式及具体表决时间以基金份额持有人大会正式会议通知为准。</w:t>
      </w:r>
    </w:p>
    <w:p w:rsidR="00F0623D" w:rsidRPr="00F756F9" w:rsidRDefault="00F0623D" w:rsidP="00340485">
      <w:pPr>
        <w:autoSpaceDE w:val="0"/>
        <w:autoSpaceDN w:val="0"/>
        <w:adjustRightInd w:val="0"/>
        <w:spacing w:line="360" w:lineRule="auto"/>
        <w:rPr>
          <w:rFonts w:ascii="宋体" w:cs="宋体"/>
          <w:b/>
          <w:kern w:val="0"/>
          <w:sz w:val="28"/>
          <w:szCs w:val="28"/>
        </w:rPr>
      </w:pPr>
    </w:p>
    <w:p w:rsidR="00A63036" w:rsidRPr="00F756F9" w:rsidRDefault="0086728B"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六</w:t>
      </w:r>
      <w:r w:rsidR="00A63036" w:rsidRPr="00F756F9">
        <w:rPr>
          <w:rFonts w:ascii="宋体" w:cs="宋体" w:hint="eastAsia"/>
          <w:b/>
          <w:kern w:val="0"/>
          <w:sz w:val="28"/>
          <w:szCs w:val="28"/>
        </w:rPr>
        <w:t>、</w:t>
      </w:r>
      <w:r w:rsidR="00BE4FD4" w:rsidRPr="00BE4FD4">
        <w:rPr>
          <w:rFonts w:ascii="宋体" w:cs="宋体" w:hint="eastAsia"/>
          <w:b/>
          <w:kern w:val="0"/>
          <w:sz w:val="28"/>
          <w:szCs w:val="28"/>
        </w:rPr>
        <w:t>二次召集基金份额持有人大会</w:t>
      </w:r>
    </w:p>
    <w:p w:rsidR="00435CDB" w:rsidRDefault="00BE4FD4" w:rsidP="00630C57">
      <w:pPr>
        <w:autoSpaceDE w:val="0"/>
        <w:autoSpaceDN w:val="0"/>
        <w:adjustRightInd w:val="0"/>
        <w:spacing w:line="360" w:lineRule="auto"/>
        <w:ind w:firstLineChars="200" w:firstLine="480"/>
        <w:rPr>
          <w:rFonts w:ascii="宋体" w:cs="宋体"/>
          <w:kern w:val="0"/>
          <w:sz w:val="24"/>
          <w:szCs w:val="24"/>
        </w:rPr>
      </w:pPr>
      <w:r w:rsidRPr="00BE4FD4">
        <w:rPr>
          <w:rFonts w:ascii="宋体" w:cs="宋体" w:hint="eastAsia"/>
          <w:kern w:val="0"/>
          <w:sz w:val="24"/>
          <w:szCs w:val="24"/>
        </w:rPr>
        <w:t>根据《基金法》及《基金合同》的规定，本次持有人大会需要本人直接出具</w:t>
      </w:r>
      <w:r w:rsidR="00A11D5A">
        <w:rPr>
          <w:rFonts w:ascii="宋体" w:cs="宋体" w:hint="eastAsia"/>
          <w:kern w:val="0"/>
          <w:sz w:val="24"/>
          <w:szCs w:val="24"/>
        </w:rPr>
        <w:t>表决意见或授权他人代表出具表决</w:t>
      </w:r>
      <w:r w:rsidRPr="00BE4FD4">
        <w:rPr>
          <w:rFonts w:ascii="宋体" w:cs="宋体" w:hint="eastAsia"/>
          <w:kern w:val="0"/>
          <w:sz w:val="24"/>
          <w:szCs w:val="24"/>
        </w:rPr>
        <w:t>意见的基金份额持有人所代表的本基金基金份额占权益登记日基金总份额的50%以上（含50%）</w:t>
      </w:r>
      <w:r w:rsidR="003E34D1" w:rsidRPr="003E34D1">
        <w:rPr>
          <w:rFonts w:ascii="宋体" w:cs="宋体" w:hint="eastAsia"/>
          <w:kern w:val="0"/>
          <w:sz w:val="24"/>
          <w:szCs w:val="24"/>
        </w:rPr>
        <w:t>方可召开</w:t>
      </w:r>
      <w:r w:rsidRPr="00BE4FD4">
        <w:rPr>
          <w:rFonts w:ascii="宋体" w:cs="宋体" w:hint="eastAsia"/>
          <w:kern w:val="0"/>
          <w:sz w:val="24"/>
          <w:szCs w:val="24"/>
        </w:rPr>
        <w:t>。如果本次基金份额持有人大会不符合前述要求而不能够成功召开，本基金管理人可在</w:t>
      </w:r>
      <w:r w:rsidR="003E34D1" w:rsidRPr="003E34D1">
        <w:rPr>
          <w:rFonts w:ascii="宋体" w:cs="宋体" w:hint="eastAsia"/>
          <w:kern w:val="0"/>
          <w:sz w:val="24"/>
          <w:szCs w:val="24"/>
        </w:rPr>
        <w:t>《基金合同》</w:t>
      </w:r>
      <w:r w:rsidRPr="00BE4FD4">
        <w:rPr>
          <w:rFonts w:ascii="宋体" w:cs="宋体" w:hint="eastAsia"/>
          <w:kern w:val="0"/>
          <w:sz w:val="24"/>
          <w:szCs w:val="24"/>
        </w:rPr>
        <w:t>规定时间内就同一议案重新召集基金份额持有人大会。</w:t>
      </w:r>
    </w:p>
    <w:p w:rsidR="00F71023" w:rsidRDefault="0070315C" w:rsidP="00630C57">
      <w:pPr>
        <w:autoSpaceDE w:val="0"/>
        <w:autoSpaceDN w:val="0"/>
        <w:adjustRightInd w:val="0"/>
        <w:spacing w:line="360" w:lineRule="auto"/>
        <w:ind w:firstLineChars="200" w:firstLine="480"/>
        <w:rPr>
          <w:rFonts w:ascii="宋体" w:cs="宋体"/>
          <w:kern w:val="0"/>
          <w:sz w:val="24"/>
          <w:szCs w:val="24"/>
        </w:rPr>
      </w:pPr>
      <w:r w:rsidRPr="0070315C">
        <w:rPr>
          <w:rFonts w:ascii="宋体" w:cs="宋体" w:hint="eastAsia"/>
          <w:kern w:val="0"/>
          <w:sz w:val="24"/>
          <w:szCs w:val="24"/>
        </w:rPr>
        <w:t>重新召集基金份额持有人大会时，对于授权而言，除非授权文件另有载明，本次基金份额持有人大会授权期间基金份额持有人已作出的各类授权依然有效，但如果基金份额持有人重新作出授权，则以最新授权为准，详细说明见届时发布的重新召集基金份额持有</w:t>
      </w:r>
      <w:r>
        <w:rPr>
          <w:rFonts w:ascii="宋体" w:cs="宋体" w:hint="eastAsia"/>
          <w:kern w:val="0"/>
          <w:sz w:val="24"/>
          <w:szCs w:val="24"/>
        </w:rPr>
        <w:t>人大会的通知</w:t>
      </w:r>
      <w:r w:rsidR="00BE4FD4" w:rsidRPr="00BE4FD4">
        <w:rPr>
          <w:rFonts w:ascii="宋体" w:cs="宋体" w:hint="eastAsia"/>
          <w:kern w:val="0"/>
          <w:sz w:val="24"/>
          <w:szCs w:val="24"/>
        </w:rPr>
        <w:t>。</w:t>
      </w:r>
    </w:p>
    <w:p w:rsidR="00CC10E3" w:rsidRPr="00F756F9" w:rsidRDefault="00CC10E3" w:rsidP="00340485">
      <w:pPr>
        <w:autoSpaceDE w:val="0"/>
        <w:autoSpaceDN w:val="0"/>
        <w:adjustRightInd w:val="0"/>
        <w:spacing w:line="360" w:lineRule="auto"/>
        <w:ind w:firstLine="420"/>
        <w:rPr>
          <w:rFonts w:ascii="宋体" w:cs="宋体"/>
          <w:b/>
          <w:kern w:val="0"/>
          <w:sz w:val="28"/>
          <w:szCs w:val="28"/>
        </w:rPr>
      </w:pPr>
    </w:p>
    <w:p w:rsidR="00F0623D" w:rsidRPr="00F756F9" w:rsidRDefault="0086728B"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七</w:t>
      </w:r>
      <w:r w:rsidR="003C31C0" w:rsidRPr="00F756F9">
        <w:rPr>
          <w:rFonts w:ascii="宋体" w:cs="宋体" w:hint="eastAsia"/>
          <w:b/>
          <w:kern w:val="0"/>
          <w:sz w:val="28"/>
          <w:szCs w:val="28"/>
        </w:rPr>
        <w:t>、本次大会相关机构</w:t>
      </w:r>
    </w:p>
    <w:p w:rsidR="003C31C0" w:rsidRPr="00F756F9" w:rsidRDefault="003C31C0" w:rsidP="00340485">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0021697B" w:rsidRPr="00F756F9">
        <w:rPr>
          <w:rFonts w:ascii="宋体" w:cs="宋体" w:hint="eastAsia"/>
          <w:kern w:val="0"/>
          <w:sz w:val="24"/>
          <w:szCs w:val="24"/>
        </w:rPr>
        <w:t>、召集人（基金管理人）：</w:t>
      </w:r>
      <w:r w:rsidR="002068F4">
        <w:rPr>
          <w:rFonts w:ascii="宋体" w:cs="宋体" w:hint="eastAsia"/>
          <w:kern w:val="0"/>
          <w:sz w:val="24"/>
          <w:szCs w:val="24"/>
        </w:rPr>
        <w:t>上海东方证券资产</w:t>
      </w:r>
      <w:r w:rsidR="00431D23" w:rsidRPr="00F756F9">
        <w:rPr>
          <w:rFonts w:ascii="宋体" w:cs="宋体" w:hint="eastAsia"/>
          <w:kern w:val="0"/>
          <w:sz w:val="24"/>
          <w:szCs w:val="24"/>
        </w:rPr>
        <w:t>管理有限公司</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持有人大会专线/客服电话：</w:t>
      </w:r>
      <w:r w:rsidR="002068F4" w:rsidRPr="00B9368A">
        <w:rPr>
          <w:rFonts w:ascii="宋体" w:cs="宋体" w:hint="eastAsia"/>
          <w:kern w:val="0"/>
          <w:sz w:val="24"/>
          <w:szCs w:val="24"/>
        </w:rPr>
        <w:t>4009200808</w:t>
      </w:r>
      <w:r w:rsidR="00894D98">
        <w:rPr>
          <w:rFonts w:ascii="宋体" w:cs="宋体" w:hint="eastAsia"/>
          <w:kern w:val="0"/>
          <w:sz w:val="24"/>
          <w:szCs w:val="24"/>
        </w:rPr>
        <w:t>（免长途通话费）</w:t>
      </w:r>
    </w:p>
    <w:p w:rsidR="00DD2AFE" w:rsidRPr="00B9368A" w:rsidRDefault="002B244A"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联系人：</w:t>
      </w:r>
      <w:r w:rsidR="002068F4" w:rsidRPr="00B9368A">
        <w:rPr>
          <w:rFonts w:ascii="宋体" w:cs="宋体" w:hint="eastAsia"/>
          <w:kern w:val="0"/>
          <w:sz w:val="24"/>
          <w:szCs w:val="24"/>
        </w:rPr>
        <w:t>吴比</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传真：</w:t>
      </w:r>
      <w:r w:rsidR="00025696" w:rsidRPr="00B9368A">
        <w:rPr>
          <w:rFonts w:ascii="宋体" w:cs="宋体" w:hint="eastAsia"/>
          <w:kern w:val="0"/>
          <w:sz w:val="24"/>
          <w:szCs w:val="24"/>
        </w:rPr>
        <w:t>0</w:t>
      </w:r>
      <w:r w:rsidR="002068F4" w:rsidRPr="00B9368A">
        <w:rPr>
          <w:rFonts w:ascii="宋体" w:cs="宋体" w:hint="eastAsia"/>
          <w:kern w:val="0"/>
          <w:sz w:val="24"/>
          <w:szCs w:val="24"/>
        </w:rPr>
        <w:t>21</w:t>
      </w:r>
      <w:r w:rsidR="00025696" w:rsidRPr="00B9368A">
        <w:rPr>
          <w:rFonts w:ascii="宋体" w:cs="宋体" w:hint="eastAsia"/>
          <w:kern w:val="0"/>
          <w:sz w:val="24"/>
          <w:szCs w:val="24"/>
        </w:rPr>
        <w:t>-</w:t>
      </w:r>
      <w:r w:rsidR="002068F4" w:rsidRPr="00B9368A">
        <w:rPr>
          <w:rFonts w:ascii="宋体" w:cs="宋体" w:hint="eastAsia"/>
          <w:kern w:val="0"/>
          <w:sz w:val="24"/>
          <w:szCs w:val="24"/>
        </w:rPr>
        <w:t>63326981</w:t>
      </w:r>
    </w:p>
    <w:p w:rsidR="00DD2AFE" w:rsidRPr="00B9368A"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网址：</w:t>
      </w:r>
      <w:r w:rsidR="003A4734" w:rsidRPr="00B9368A">
        <w:rPr>
          <w:rFonts w:ascii="宋体" w:cs="宋体" w:hint="eastAsia"/>
          <w:kern w:val="0"/>
          <w:sz w:val="24"/>
          <w:szCs w:val="24"/>
        </w:rPr>
        <w:t>www.</w:t>
      </w:r>
      <w:r w:rsidR="002068F4" w:rsidRPr="00B9368A">
        <w:rPr>
          <w:rFonts w:ascii="宋体" w:cs="宋体" w:hint="eastAsia"/>
          <w:kern w:val="0"/>
          <w:sz w:val="24"/>
          <w:szCs w:val="24"/>
        </w:rPr>
        <w:t>dfham</w:t>
      </w:r>
      <w:r w:rsidR="003A4734" w:rsidRPr="00B9368A">
        <w:rPr>
          <w:rFonts w:ascii="宋体" w:cs="宋体" w:hint="eastAsia"/>
          <w:kern w:val="0"/>
          <w:sz w:val="24"/>
          <w:szCs w:val="24"/>
        </w:rPr>
        <w:t>.com</w:t>
      </w:r>
    </w:p>
    <w:p w:rsidR="00DD2AFE" w:rsidRPr="00964067" w:rsidRDefault="00DD2AFE" w:rsidP="00340485">
      <w:pPr>
        <w:autoSpaceDE w:val="0"/>
        <w:autoSpaceDN w:val="0"/>
        <w:adjustRightInd w:val="0"/>
        <w:spacing w:line="360" w:lineRule="auto"/>
        <w:ind w:firstLineChars="200" w:firstLine="480"/>
        <w:rPr>
          <w:rFonts w:ascii="宋体" w:cs="宋体"/>
          <w:kern w:val="0"/>
          <w:sz w:val="24"/>
          <w:szCs w:val="24"/>
        </w:rPr>
      </w:pPr>
      <w:r w:rsidRPr="00B9368A">
        <w:rPr>
          <w:rFonts w:ascii="宋体" w:cs="宋体" w:hint="eastAsia"/>
          <w:kern w:val="0"/>
          <w:sz w:val="24"/>
          <w:szCs w:val="24"/>
        </w:rPr>
        <w:t>电子邮件：</w:t>
      </w:r>
      <w:r w:rsidR="008275AD" w:rsidRPr="00F40281">
        <w:rPr>
          <w:rFonts w:ascii="宋体" w:cs="宋体" w:hint="eastAsia"/>
          <w:kern w:val="0"/>
          <w:sz w:val="24"/>
          <w:szCs w:val="24"/>
        </w:rPr>
        <w:t>service@dfham.com</w:t>
      </w:r>
    </w:p>
    <w:p w:rsidR="003C31C0" w:rsidRPr="00312302" w:rsidRDefault="003C31C0"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kern w:val="0"/>
          <w:sz w:val="24"/>
          <w:szCs w:val="24"/>
        </w:rPr>
        <w:t>2</w:t>
      </w:r>
      <w:r w:rsidRPr="00D36274">
        <w:rPr>
          <w:rFonts w:ascii="宋体" w:cs="宋体" w:hint="eastAsia"/>
          <w:kern w:val="0"/>
          <w:sz w:val="24"/>
          <w:szCs w:val="24"/>
        </w:rPr>
        <w:t>、</w:t>
      </w:r>
      <w:r w:rsidR="00742ADF">
        <w:rPr>
          <w:rFonts w:ascii="宋体" w:cs="宋体" w:hint="eastAsia"/>
          <w:kern w:val="0"/>
          <w:sz w:val="24"/>
          <w:szCs w:val="24"/>
        </w:rPr>
        <w:t>基金托管人</w:t>
      </w:r>
      <w:r w:rsidRPr="00D36274">
        <w:rPr>
          <w:rFonts w:ascii="宋体" w:cs="宋体" w:hint="eastAsia"/>
          <w:kern w:val="0"/>
          <w:sz w:val="24"/>
          <w:szCs w:val="24"/>
        </w:rPr>
        <w:t>：</w:t>
      </w:r>
      <w:r w:rsidR="003A1D15">
        <w:rPr>
          <w:rFonts w:ascii="宋体" w:cs="宋体" w:hint="eastAsia"/>
          <w:kern w:val="0"/>
          <w:sz w:val="24"/>
          <w:szCs w:val="24"/>
        </w:rPr>
        <w:t>招商</w:t>
      </w:r>
      <w:r w:rsidR="00FD4CAB">
        <w:rPr>
          <w:rFonts w:ascii="宋体" w:cs="宋体" w:hint="eastAsia"/>
          <w:kern w:val="0"/>
          <w:sz w:val="24"/>
          <w:szCs w:val="24"/>
        </w:rPr>
        <w:t>银行股份有限公司</w:t>
      </w:r>
    </w:p>
    <w:p w:rsidR="00671544" w:rsidRPr="00671544" w:rsidRDefault="00671544" w:rsidP="00671544">
      <w:pPr>
        <w:autoSpaceDE w:val="0"/>
        <w:autoSpaceDN w:val="0"/>
        <w:adjustRightInd w:val="0"/>
        <w:spacing w:line="360" w:lineRule="auto"/>
        <w:ind w:firstLineChars="200" w:firstLine="480"/>
        <w:rPr>
          <w:rFonts w:ascii="宋体" w:cs="宋体"/>
          <w:kern w:val="0"/>
          <w:sz w:val="24"/>
          <w:szCs w:val="24"/>
        </w:rPr>
      </w:pPr>
      <w:r w:rsidRPr="00671544">
        <w:rPr>
          <w:rFonts w:ascii="宋体" w:cs="宋体" w:hint="eastAsia"/>
          <w:kern w:val="0"/>
          <w:sz w:val="24"/>
          <w:szCs w:val="24"/>
        </w:rPr>
        <w:t>3、公证机构：上海市徐汇公证处</w:t>
      </w:r>
    </w:p>
    <w:p w:rsidR="0029767E" w:rsidRPr="0029767E" w:rsidRDefault="0029767E" w:rsidP="0029767E">
      <w:pPr>
        <w:autoSpaceDE w:val="0"/>
        <w:autoSpaceDN w:val="0"/>
        <w:adjustRightInd w:val="0"/>
        <w:spacing w:line="360" w:lineRule="auto"/>
        <w:ind w:firstLineChars="200" w:firstLine="480"/>
        <w:rPr>
          <w:rFonts w:ascii="宋体" w:cs="宋体"/>
          <w:kern w:val="0"/>
          <w:sz w:val="24"/>
          <w:szCs w:val="24"/>
        </w:rPr>
      </w:pPr>
      <w:r w:rsidRPr="0029767E">
        <w:rPr>
          <w:rFonts w:ascii="宋体" w:cs="宋体" w:hint="eastAsia"/>
          <w:kern w:val="0"/>
          <w:sz w:val="24"/>
          <w:szCs w:val="24"/>
        </w:rPr>
        <w:t>联系人:许周莹</w:t>
      </w:r>
    </w:p>
    <w:p w:rsidR="00BC48E6" w:rsidRPr="00BC48E6" w:rsidRDefault="00BC48E6" w:rsidP="00BC48E6">
      <w:pPr>
        <w:autoSpaceDE w:val="0"/>
        <w:autoSpaceDN w:val="0"/>
        <w:adjustRightInd w:val="0"/>
        <w:spacing w:line="360" w:lineRule="auto"/>
        <w:ind w:firstLineChars="200" w:firstLine="480"/>
        <w:rPr>
          <w:rFonts w:ascii="宋体" w:cs="宋体"/>
          <w:kern w:val="0"/>
          <w:sz w:val="24"/>
          <w:szCs w:val="24"/>
        </w:rPr>
      </w:pPr>
      <w:r w:rsidRPr="00BC48E6">
        <w:rPr>
          <w:rFonts w:ascii="宋体" w:cs="宋体" w:hint="eastAsia"/>
          <w:kern w:val="0"/>
          <w:sz w:val="24"/>
          <w:szCs w:val="24"/>
        </w:rPr>
        <w:t>联系电话：021-</w:t>
      </w:r>
      <w:r w:rsidRPr="00BC48E6">
        <w:rPr>
          <w:rFonts w:ascii="宋体" w:cs="宋体"/>
          <w:kern w:val="0"/>
          <w:sz w:val="24"/>
          <w:szCs w:val="24"/>
        </w:rPr>
        <w:t>64310286</w:t>
      </w:r>
    </w:p>
    <w:p w:rsidR="0093764F" w:rsidRPr="00F756F9" w:rsidRDefault="0093764F" w:rsidP="00340485">
      <w:pPr>
        <w:autoSpaceDE w:val="0"/>
        <w:autoSpaceDN w:val="0"/>
        <w:adjustRightInd w:val="0"/>
        <w:spacing w:line="360" w:lineRule="auto"/>
        <w:ind w:firstLineChars="200" w:firstLine="480"/>
        <w:rPr>
          <w:rFonts w:ascii="宋体" w:cs="宋体"/>
          <w:kern w:val="0"/>
          <w:sz w:val="24"/>
          <w:szCs w:val="24"/>
        </w:rPr>
      </w:pPr>
      <w:r w:rsidRPr="00D36274">
        <w:rPr>
          <w:rFonts w:ascii="宋体" w:cs="宋体" w:hint="eastAsia"/>
          <w:kern w:val="0"/>
          <w:sz w:val="24"/>
          <w:szCs w:val="24"/>
        </w:rPr>
        <w:t>4、</w:t>
      </w:r>
      <w:r w:rsidR="00511756" w:rsidRPr="00D36274">
        <w:rPr>
          <w:rFonts w:ascii="宋体" w:cs="宋体" w:hint="eastAsia"/>
          <w:kern w:val="0"/>
          <w:sz w:val="24"/>
          <w:szCs w:val="24"/>
        </w:rPr>
        <w:t>见证</w:t>
      </w:r>
      <w:r w:rsidRPr="00D36274">
        <w:rPr>
          <w:rFonts w:ascii="宋体" w:cs="宋体" w:hint="eastAsia"/>
          <w:kern w:val="0"/>
          <w:sz w:val="24"/>
          <w:szCs w:val="24"/>
        </w:rPr>
        <w:t>律师</w:t>
      </w:r>
      <w:r w:rsidR="00B779FF" w:rsidRPr="00D36274">
        <w:rPr>
          <w:rFonts w:ascii="宋体" w:cs="宋体" w:hint="eastAsia"/>
          <w:kern w:val="0"/>
          <w:sz w:val="24"/>
          <w:szCs w:val="24"/>
        </w:rPr>
        <w:t>事务所</w:t>
      </w:r>
      <w:r w:rsidRPr="00D36274">
        <w:rPr>
          <w:rFonts w:ascii="宋体" w:cs="宋体" w:hint="eastAsia"/>
          <w:kern w:val="0"/>
          <w:sz w:val="24"/>
          <w:szCs w:val="24"/>
        </w:rPr>
        <w:t>：</w:t>
      </w:r>
      <w:r w:rsidR="00590ED8" w:rsidRPr="00312302">
        <w:rPr>
          <w:rFonts w:ascii="宋体" w:cs="宋体" w:hint="eastAsia"/>
          <w:kern w:val="0"/>
          <w:sz w:val="24"/>
          <w:szCs w:val="24"/>
        </w:rPr>
        <w:t>上海</w:t>
      </w:r>
      <w:r w:rsidR="00011485" w:rsidRPr="00312302">
        <w:rPr>
          <w:rFonts w:ascii="宋体" w:cs="宋体" w:hint="eastAsia"/>
          <w:kern w:val="0"/>
          <w:sz w:val="24"/>
          <w:szCs w:val="24"/>
        </w:rPr>
        <w:t>市</w:t>
      </w:r>
      <w:r w:rsidR="00590ED8" w:rsidRPr="00824E5B">
        <w:rPr>
          <w:rFonts w:ascii="宋体" w:cs="宋体" w:hint="eastAsia"/>
          <w:kern w:val="0"/>
          <w:sz w:val="24"/>
          <w:szCs w:val="24"/>
        </w:rPr>
        <w:t>通力律师事务所</w:t>
      </w:r>
    </w:p>
    <w:p w:rsidR="00F0623D" w:rsidRPr="00F756F9" w:rsidRDefault="00F0623D" w:rsidP="00340485">
      <w:pPr>
        <w:autoSpaceDE w:val="0"/>
        <w:autoSpaceDN w:val="0"/>
        <w:adjustRightInd w:val="0"/>
        <w:spacing w:line="360" w:lineRule="auto"/>
        <w:rPr>
          <w:rFonts w:ascii="宋体" w:cs="宋体"/>
          <w:b/>
          <w:kern w:val="0"/>
          <w:sz w:val="28"/>
          <w:szCs w:val="28"/>
        </w:rPr>
      </w:pPr>
    </w:p>
    <w:p w:rsidR="00F0623D" w:rsidRPr="00F756F9" w:rsidRDefault="0070315C" w:rsidP="00340485">
      <w:pPr>
        <w:autoSpaceDE w:val="0"/>
        <w:autoSpaceDN w:val="0"/>
        <w:adjustRightInd w:val="0"/>
        <w:spacing w:line="360" w:lineRule="auto"/>
        <w:ind w:firstLineChars="200" w:firstLine="562"/>
        <w:outlineLvl w:val="1"/>
        <w:rPr>
          <w:rFonts w:ascii="宋体" w:cs="宋体"/>
          <w:b/>
          <w:kern w:val="0"/>
          <w:sz w:val="28"/>
          <w:szCs w:val="28"/>
        </w:rPr>
      </w:pPr>
      <w:r>
        <w:rPr>
          <w:rFonts w:ascii="宋体" w:cs="宋体" w:hint="eastAsia"/>
          <w:b/>
          <w:kern w:val="0"/>
          <w:sz w:val="28"/>
          <w:szCs w:val="28"/>
        </w:rPr>
        <w:t>八</w:t>
      </w:r>
      <w:r w:rsidR="003C31C0" w:rsidRPr="00F756F9">
        <w:rPr>
          <w:rFonts w:ascii="宋体" w:cs="宋体" w:hint="eastAsia"/>
          <w:b/>
          <w:kern w:val="0"/>
          <w:sz w:val="28"/>
          <w:szCs w:val="28"/>
        </w:rPr>
        <w:t>、重要提示</w:t>
      </w:r>
    </w:p>
    <w:p w:rsidR="0086728B" w:rsidRDefault="00894D98" w:rsidP="0086728B">
      <w:pPr>
        <w:autoSpaceDE w:val="0"/>
        <w:autoSpaceDN w:val="0"/>
        <w:adjustRightInd w:val="0"/>
        <w:spacing w:line="360" w:lineRule="auto"/>
        <w:ind w:firstLineChars="200" w:firstLine="480"/>
        <w:rPr>
          <w:rFonts w:ascii="宋体" w:cs="宋体"/>
          <w:kern w:val="0"/>
          <w:sz w:val="24"/>
          <w:szCs w:val="24"/>
        </w:rPr>
      </w:pPr>
      <w:r w:rsidRPr="00F756F9">
        <w:rPr>
          <w:rFonts w:ascii="宋体" w:cs="宋体"/>
          <w:kern w:val="0"/>
          <w:sz w:val="24"/>
          <w:szCs w:val="24"/>
        </w:rPr>
        <w:t>1</w:t>
      </w:r>
      <w:r w:rsidRPr="00F756F9">
        <w:rPr>
          <w:rFonts w:ascii="宋体" w:cs="宋体" w:hint="eastAsia"/>
          <w:kern w:val="0"/>
          <w:sz w:val="24"/>
          <w:szCs w:val="24"/>
        </w:rPr>
        <w:t>、</w:t>
      </w:r>
      <w:r w:rsidR="0086728B" w:rsidRPr="0086728B">
        <w:rPr>
          <w:rFonts w:ascii="宋体" w:cs="宋体" w:hint="eastAsia"/>
          <w:kern w:val="0"/>
          <w:sz w:val="24"/>
          <w:szCs w:val="24"/>
        </w:rPr>
        <w:t>本次持有人大会的召开时间应以本基金管理人届时公告的召开本次持有人大会的正式会议通知为准。在大会正式会议通知公告之前，本基金的基金管理人、基金销售机构以及其他符合法律规定的个人或机构征集授权的行为在任何方面均不构成对本次持有人大会召开时间的明示或者暗示。</w:t>
      </w:r>
    </w:p>
    <w:p w:rsidR="0086728B" w:rsidRPr="0086728B" w:rsidRDefault="0086728B" w:rsidP="0086728B">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2、</w:t>
      </w:r>
      <w:r w:rsidR="00FE0620" w:rsidRPr="00FE0620">
        <w:rPr>
          <w:rFonts w:ascii="宋体" w:cs="宋体" w:hint="eastAsia"/>
          <w:kern w:val="0"/>
          <w:sz w:val="24"/>
          <w:szCs w:val="24"/>
        </w:rPr>
        <w:t>请基金份额持有人在邮寄授权委托书时，充分考虑邮寄在途时间，提前寄出授权委托书。</w:t>
      </w:r>
    </w:p>
    <w:p w:rsidR="00894D98" w:rsidRPr="00F756F9" w:rsidRDefault="00FE0620" w:rsidP="00340485">
      <w:pPr>
        <w:autoSpaceDE w:val="0"/>
        <w:autoSpaceDN w:val="0"/>
        <w:adjustRightInd w:val="0"/>
        <w:spacing w:line="360" w:lineRule="auto"/>
        <w:ind w:firstLineChars="200" w:firstLine="480"/>
        <w:rPr>
          <w:rFonts w:ascii="宋体" w:cs="宋体"/>
          <w:kern w:val="0"/>
          <w:sz w:val="24"/>
          <w:szCs w:val="24"/>
        </w:rPr>
      </w:pPr>
      <w:r>
        <w:rPr>
          <w:rFonts w:ascii="宋体" w:cs="宋体" w:hint="eastAsia"/>
          <w:kern w:val="0"/>
          <w:sz w:val="24"/>
          <w:szCs w:val="24"/>
        </w:rPr>
        <w:t>3、</w:t>
      </w:r>
      <w:r w:rsidR="00894D98" w:rsidRPr="00F756F9">
        <w:rPr>
          <w:rFonts w:ascii="宋体" w:cs="宋体" w:hint="eastAsia"/>
          <w:kern w:val="0"/>
          <w:sz w:val="24"/>
          <w:szCs w:val="24"/>
        </w:rPr>
        <w:t>请基金份额持有人</w:t>
      </w:r>
      <w:r w:rsidR="00894D98">
        <w:rPr>
          <w:rFonts w:ascii="宋体" w:cs="宋体" w:hint="eastAsia"/>
          <w:kern w:val="0"/>
          <w:sz w:val="24"/>
          <w:szCs w:val="24"/>
        </w:rPr>
        <w:t>认真阅读</w:t>
      </w:r>
      <w:r w:rsidR="00894D98" w:rsidRPr="00F756F9">
        <w:rPr>
          <w:rFonts w:ascii="宋体" w:cs="宋体" w:hint="eastAsia"/>
          <w:kern w:val="0"/>
          <w:sz w:val="24"/>
          <w:szCs w:val="24"/>
        </w:rPr>
        <w:t>本次</w:t>
      </w:r>
      <w:r w:rsidR="00894D98">
        <w:rPr>
          <w:rFonts w:ascii="宋体" w:cs="宋体" w:hint="eastAsia"/>
          <w:kern w:val="0"/>
          <w:sz w:val="24"/>
          <w:szCs w:val="24"/>
        </w:rPr>
        <w:t>持有人大会的</w:t>
      </w:r>
      <w:r w:rsidR="00894D98" w:rsidRPr="00F756F9">
        <w:rPr>
          <w:rFonts w:ascii="宋体" w:cs="宋体" w:hint="eastAsia"/>
          <w:kern w:val="0"/>
          <w:sz w:val="24"/>
          <w:szCs w:val="24"/>
        </w:rPr>
        <w:t>议案</w:t>
      </w:r>
      <w:r w:rsidR="00894D98">
        <w:rPr>
          <w:rFonts w:ascii="宋体" w:cs="宋体" w:hint="eastAsia"/>
          <w:kern w:val="0"/>
          <w:sz w:val="24"/>
          <w:szCs w:val="24"/>
        </w:rPr>
        <w:t>及其</w:t>
      </w:r>
      <w:r w:rsidR="00894D98" w:rsidRPr="00F756F9">
        <w:rPr>
          <w:rFonts w:ascii="宋体" w:cs="宋体" w:hint="eastAsia"/>
          <w:kern w:val="0"/>
          <w:sz w:val="24"/>
          <w:szCs w:val="24"/>
        </w:rPr>
        <w:t>说明</w:t>
      </w:r>
      <w:r w:rsidR="00894D98">
        <w:rPr>
          <w:rFonts w:ascii="宋体" w:cs="宋体" w:hint="eastAsia"/>
          <w:kern w:val="0"/>
          <w:sz w:val="24"/>
          <w:szCs w:val="24"/>
        </w:rPr>
        <w:t>，详</w:t>
      </w:r>
      <w:r w:rsidR="00894D98" w:rsidRPr="00F756F9">
        <w:rPr>
          <w:rFonts w:ascii="宋体" w:cs="宋体" w:hint="eastAsia"/>
          <w:kern w:val="0"/>
          <w:sz w:val="24"/>
          <w:szCs w:val="24"/>
        </w:rPr>
        <w:t>见</w:t>
      </w:r>
      <w:r w:rsidR="00894D98">
        <w:rPr>
          <w:rFonts w:ascii="宋体" w:cs="宋体" w:hint="eastAsia"/>
          <w:kern w:val="0"/>
          <w:sz w:val="24"/>
          <w:szCs w:val="24"/>
        </w:rPr>
        <w:t>附件一、</w:t>
      </w:r>
      <w:r w:rsidR="00894D98" w:rsidRPr="00F756F9">
        <w:rPr>
          <w:rFonts w:ascii="宋体" w:cs="宋体" w:hint="eastAsia"/>
          <w:kern w:val="0"/>
          <w:sz w:val="24"/>
          <w:szCs w:val="24"/>
        </w:rPr>
        <w:t>附件二。</w:t>
      </w:r>
    </w:p>
    <w:p w:rsidR="00943159" w:rsidRPr="00F756F9" w:rsidRDefault="0070315C" w:rsidP="00943159">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4、</w:t>
      </w:r>
      <w:r w:rsidRPr="0070315C">
        <w:rPr>
          <w:rFonts w:ascii="宋体" w:cs="宋体" w:hint="eastAsia"/>
          <w:kern w:val="0"/>
          <w:sz w:val="24"/>
          <w:szCs w:val="24"/>
        </w:rPr>
        <w:t>本预公告的有关内容由上海东方证券资产管理有限公司负责解释。如有必要，上海东方证券资产管理有限公司可对本预公告相关事项进行补充说明。</w:t>
      </w:r>
    </w:p>
    <w:p w:rsidR="0070315C" w:rsidRDefault="0070315C" w:rsidP="00943159">
      <w:pPr>
        <w:autoSpaceDE w:val="0"/>
        <w:autoSpaceDN w:val="0"/>
        <w:adjustRightInd w:val="0"/>
        <w:spacing w:line="360" w:lineRule="auto"/>
        <w:ind w:firstLineChars="200" w:firstLine="480"/>
        <w:jc w:val="right"/>
        <w:rPr>
          <w:rFonts w:ascii="宋体" w:cs="宋体"/>
          <w:kern w:val="0"/>
          <w:sz w:val="24"/>
          <w:szCs w:val="24"/>
        </w:rPr>
      </w:pPr>
    </w:p>
    <w:p w:rsidR="00943159" w:rsidRPr="00F756F9" w:rsidRDefault="002068F4" w:rsidP="00943159">
      <w:pPr>
        <w:autoSpaceDE w:val="0"/>
        <w:autoSpaceDN w:val="0"/>
        <w:adjustRightInd w:val="0"/>
        <w:spacing w:line="360" w:lineRule="auto"/>
        <w:ind w:firstLineChars="200" w:firstLine="480"/>
        <w:jc w:val="right"/>
        <w:rPr>
          <w:rFonts w:ascii="宋体" w:cs="宋体"/>
          <w:kern w:val="0"/>
          <w:sz w:val="24"/>
          <w:szCs w:val="24"/>
        </w:rPr>
      </w:pPr>
      <w:r>
        <w:rPr>
          <w:rFonts w:ascii="宋体" w:cs="宋体" w:hint="eastAsia"/>
          <w:kern w:val="0"/>
          <w:sz w:val="24"/>
          <w:szCs w:val="24"/>
        </w:rPr>
        <w:t>上海东方证券资产</w:t>
      </w:r>
      <w:r w:rsidR="00943159" w:rsidRPr="00F756F9">
        <w:rPr>
          <w:rFonts w:ascii="宋体" w:cs="宋体" w:hint="eastAsia"/>
          <w:kern w:val="0"/>
          <w:sz w:val="24"/>
          <w:szCs w:val="24"/>
        </w:rPr>
        <w:t>管理有限公司</w:t>
      </w:r>
    </w:p>
    <w:p w:rsidR="00350AB3" w:rsidRPr="00F756F9" w:rsidRDefault="00611344" w:rsidP="007471BD">
      <w:pPr>
        <w:wordWrap w:val="0"/>
        <w:autoSpaceDE w:val="0"/>
        <w:autoSpaceDN w:val="0"/>
        <w:adjustRightInd w:val="0"/>
        <w:spacing w:line="360" w:lineRule="auto"/>
        <w:ind w:firstLineChars="200" w:firstLine="480"/>
        <w:jc w:val="right"/>
        <w:rPr>
          <w:rFonts w:ascii="宋体" w:cs="宋体"/>
          <w:kern w:val="0"/>
          <w:sz w:val="24"/>
          <w:szCs w:val="24"/>
        </w:rPr>
      </w:pPr>
      <w:r w:rsidRPr="00181E47">
        <w:rPr>
          <w:rFonts w:ascii="宋体" w:cs="宋体" w:hint="eastAsia"/>
          <w:kern w:val="0"/>
          <w:sz w:val="24"/>
          <w:szCs w:val="24"/>
        </w:rPr>
        <w:t>20</w:t>
      </w:r>
      <w:r>
        <w:rPr>
          <w:rFonts w:ascii="宋体" w:cs="宋体"/>
          <w:kern w:val="0"/>
          <w:sz w:val="24"/>
          <w:szCs w:val="24"/>
        </w:rPr>
        <w:t>24</w:t>
      </w:r>
      <w:r w:rsidR="00590ED8" w:rsidRPr="00181E47">
        <w:rPr>
          <w:rFonts w:ascii="宋体" w:cs="宋体" w:hint="eastAsia"/>
          <w:kern w:val="0"/>
          <w:sz w:val="24"/>
          <w:szCs w:val="24"/>
        </w:rPr>
        <w:t>年</w:t>
      </w:r>
      <w:r w:rsidR="00D87870">
        <w:rPr>
          <w:rFonts w:ascii="宋体" w:cs="宋体"/>
          <w:kern w:val="0"/>
          <w:sz w:val="24"/>
          <w:szCs w:val="24"/>
        </w:rPr>
        <w:t>12</w:t>
      </w:r>
      <w:r w:rsidR="00350AB3" w:rsidRPr="00181E47">
        <w:rPr>
          <w:rFonts w:ascii="宋体" w:cs="宋体" w:hint="eastAsia"/>
          <w:kern w:val="0"/>
          <w:sz w:val="24"/>
          <w:szCs w:val="24"/>
        </w:rPr>
        <w:t>月</w:t>
      </w:r>
      <w:r w:rsidR="00D87870">
        <w:rPr>
          <w:rFonts w:ascii="宋体" w:cs="宋体"/>
          <w:kern w:val="0"/>
          <w:sz w:val="24"/>
          <w:szCs w:val="24"/>
        </w:rPr>
        <w:t>6</w:t>
      </w:r>
      <w:r w:rsidR="00350AB3" w:rsidRPr="00181E47">
        <w:rPr>
          <w:rFonts w:ascii="宋体" w:cs="宋体" w:hint="eastAsia"/>
          <w:kern w:val="0"/>
          <w:sz w:val="24"/>
          <w:szCs w:val="24"/>
        </w:rPr>
        <w:t>日</w:t>
      </w:r>
    </w:p>
    <w:p w:rsidR="00943159" w:rsidRPr="00F756F9" w:rsidRDefault="00943159" w:rsidP="00943159">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附件：</w:t>
      </w:r>
    </w:p>
    <w:p w:rsidR="00943159" w:rsidRPr="00F756F9" w:rsidRDefault="002355FF" w:rsidP="00086A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一、</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6449A">
        <w:rPr>
          <w:rFonts w:ascii="宋体" w:cs="宋体" w:hint="eastAsia"/>
          <w:kern w:val="0"/>
          <w:sz w:val="24"/>
          <w:szCs w:val="24"/>
        </w:rPr>
        <w:t>修改基金合同</w:t>
      </w:r>
      <w:r w:rsidR="00872141">
        <w:rPr>
          <w:rFonts w:ascii="宋体" w:cs="宋体" w:hint="eastAsia"/>
          <w:kern w:val="0"/>
          <w:sz w:val="24"/>
          <w:szCs w:val="24"/>
        </w:rPr>
        <w:t>有关事项</w:t>
      </w:r>
      <w:r w:rsidR="003D42AC">
        <w:rPr>
          <w:rFonts w:ascii="宋体" w:cs="宋体" w:hint="eastAsia"/>
          <w:kern w:val="0"/>
          <w:sz w:val="24"/>
          <w:szCs w:val="24"/>
        </w:rPr>
        <w:t>的议案</w:t>
      </w:r>
      <w:r w:rsidR="00590ED8" w:rsidRPr="00F756F9">
        <w:rPr>
          <w:rFonts w:ascii="宋体" w:cs="宋体" w:hint="eastAsia"/>
          <w:kern w:val="0"/>
          <w:sz w:val="24"/>
          <w:szCs w:val="24"/>
        </w:rPr>
        <w:t>》</w:t>
      </w:r>
    </w:p>
    <w:p w:rsidR="00E03371" w:rsidRPr="00F756F9" w:rsidRDefault="00E03371" w:rsidP="00E03371">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二、</w:t>
      </w:r>
      <w:r w:rsidR="00590ED8" w:rsidRPr="00F756F9">
        <w:rPr>
          <w:rFonts w:ascii="宋体" w:cs="宋体" w:hint="eastAsia"/>
          <w:kern w:val="0"/>
          <w:sz w:val="24"/>
          <w:szCs w:val="24"/>
        </w:rPr>
        <w:t>《</w:t>
      </w:r>
      <w:r w:rsidR="00086A6D" w:rsidRPr="00086A6D">
        <w:rPr>
          <w:rFonts w:ascii="宋体" w:cs="宋体" w:hint="eastAsia"/>
          <w:kern w:val="0"/>
          <w:sz w:val="24"/>
          <w:szCs w:val="24"/>
        </w:rPr>
        <w:t>关于</w:t>
      </w:r>
      <w:r w:rsidR="00A42367">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A42367">
        <w:rPr>
          <w:rFonts w:ascii="宋体" w:cs="宋体" w:hint="eastAsia"/>
          <w:kern w:val="0"/>
          <w:sz w:val="24"/>
          <w:szCs w:val="24"/>
        </w:rPr>
        <w:t>年定期开放混合型证券投资基金</w:t>
      </w:r>
      <w:r w:rsidR="00872141">
        <w:rPr>
          <w:rFonts w:ascii="宋体" w:cs="宋体" w:hint="eastAsia"/>
          <w:kern w:val="0"/>
          <w:sz w:val="24"/>
          <w:szCs w:val="24"/>
        </w:rPr>
        <w:t>转型及</w:t>
      </w:r>
      <w:r w:rsidR="000B1080">
        <w:rPr>
          <w:rFonts w:ascii="宋体" w:cs="宋体" w:hint="eastAsia"/>
          <w:kern w:val="0"/>
          <w:sz w:val="24"/>
          <w:szCs w:val="24"/>
        </w:rPr>
        <w:t>修改基金合同</w:t>
      </w:r>
      <w:r w:rsidR="00872141">
        <w:rPr>
          <w:rFonts w:ascii="宋体" w:cs="宋体" w:hint="eastAsia"/>
          <w:kern w:val="0"/>
          <w:sz w:val="24"/>
          <w:szCs w:val="24"/>
        </w:rPr>
        <w:t>有关事项</w:t>
      </w:r>
      <w:r w:rsidR="00086A6D" w:rsidRPr="00086A6D">
        <w:rPr>
          <w:rFonts w:ascii="宋体" w:cs="宋体" w:hint="eastAsia"/>
          <w:kern w:val="0"/>
          <w:sz w:val="24"/>
          <w:szCs w:val="24"/>
        </w:rPr>
        <w:t>的说明</w:t>
      </w:r>
      <w:r w:rsidR="00590ED8" w:rsidRPr="00F756F9">
        <w:rPr>
          <w:rFonts w:ascii="宋体" w:cs="宋体" w:hint="eastAsia"/>
          <w:kern w:val="0"/>
          <w:sz w:val="24"/>
          <w:szCs w:val="24"/>
        </w:rPr>
        <w:t>》</w:t>
      </w:r>
    </w:p>
    <w:p w:rsidR="00943159" w:rsidRDefault="00611344" w:rsidP="00943159">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三</w:t>
      </w:r>
      <w:r w:rsidR="00943159" w:rsidRPr="00F756F9">
        <w:rPr>
          <w:rFonts w:ascii="宋体" w:cs="宋体" w:hint="eastAsia"/>
          <w:kern w:val="0"/>
          <w:sz w:val="24"/>
          <w:szCs w:val="24"/>
        </w:rPr>
        <w:t>、《授权委托书》</w:t>
      </w:r>
    </w:p>
    <w:p w:rsidR="009A1D9D" w:rsidRPr="00F756F9" w:rsidRDefault="00611344" w:rsidP="00943159">
      <w:pPr>
        <w:autoSpaceDE w:val="0"/>
        <w:autoSpaceDN w:val="0"/>
        <w:adjustRightInd w:val="0"/>
        <w:spacing w:line="360" w:lineRule="auto"/>
        <w:ind w:firstLineChars="200" w:firstLine="480"/>
        <w:jc w:val="left"/>
        <w:rPr>
          <w:rFonts w:ascii="宋体" w:cs="宋体"/>
          <w:kern w:val="0"/>
          <w:sz w:val="24"/>
          <w:szCs w:val="24"/>
        </w:rPr>
      </w:pPr>
      <w:r>
        <w:rPr>
          <w:rFonts w:ascii="宋体" w:cs="宋体" w:hint="eastAsia"/>
          <w:kern w:val="0"/>
          <w:sz w:val="24"/>
          <w:szCs w:val="24"/>
        </w:rPr>
        <w:t>四</w:t>
      </w:r>
      <w:r w:rsidR="009A1D9D">
        <w:rPr>
          <w:rFonts w:ascii="宋体" w:cs="宋体" w:hint="eastAsia"/>
          <w:kern w:val="0"/>
          <w:sz w:val="24"/>
          <w:szCs w:val="24"/>
        </w:rPr>
        <w:t>、</w:t>
      </w:r>
      <w:r w:rsidR="00EF473E" w:rsidRPr="00F756F9">
        <w:rPr>
          <w:rFonts w:ascii="宋体" w:cs="宋体" w:hint="eastAsia"/>
          <w:kern w:val="0"/>
          <w:sz w:val="24"/>
          <w:szCs w:val="24"/>
        </w:rPr>
        <w:t>《</w:t>
      </w:r>
      <w:r w:rsidR="00EF473E">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sidR="00EF473E">
        <w:rPr>
          <w:rFonts w:ascii="宋体" w:cs="宋体" w:hint="eastAsia"/>
          <w:kern w:val="0"/>
          <w:sz w:val="24"/>
          <w:szCs w:val="24"/>
        </w:rPr>
        <w:t>年持有期混合型证券投资基金基金合同》</w:t>
      </w:r>
    </w:p>
    <w:p w:rsidR="00943159" w:rsidRPr="00B003D7" w:rsidRDefault="00EC4D15" w:rsidP="00B003D7">
      <w:pPr>
        <w:pStyle w:val="1"/>
        <w:rPr>
          <w:sz w:val="32"/>
          <w:szCs w:val="32"/>
        </w:rPr>
      </w:pPr>
      <w:r w:rsidRPr="00F756F9">
        <w:rPr>
          <w:sz w:val="24"/>
          <w:szCs w:val="24"/>
        </w:rPr>
        <w:br w:type="page"/>
      </w:r>
      <w:r w:rsidR="007D4AA2" w:rsidRPr="00B003D7">
        <w:rPr>
          <w:rFonts w:hint="eastAsia"/>
          <w:sz w:val="32"/>
          <w:szCs w:val="32"/>
        </w:rPr>
        <w:t>附件一：</w:t>
      </w:r>
    </w:p>
    <w:p w:rsidR="00B779FF" w:rsidRPr="00F756F9" w:rsidRDefault="007D4AA2" w:rsidP="007D4AA2">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7D4AA2" w:rsidRDefault="00872141" w:rsidP="007D4AA2">
      <w:pPr>
        <w:autoSpaceDE w:val="0"/>
        <w:autoSpaceDN w:val="0"/>
        <w:adjustRightInd w:val="0"/>
        <w:spacing w:line="360" w:lineRule="auto"/>
        <w:jc w:val="center"/>
        <w:rPr>
          <w:rFonts w:ascii="宋体" w:cs="宋体"/>
          <w:b/>
          <w:kern w:val="0"/>
          <w:sz w:val="28"/>
          <w:szCs w:val="28"/>
        </w:rPr>
      </w:pPr>
      <w:r>
        <w:rPr>
          <w:rFonts w:ascii="宋体" w:cs="宋体" w:hint="eastAsia"/>
          <w:b/>
          <w:kern w:val="0"/>
          <w:sz w:val="28"/>
          <w:szCs w:val="28"/>
        </w:rPr>
        <w:t>转型及</w:t>
      </w:r>
      <w:r w:rsidR="0006449A">
        <w:rPr>
          <w:rFonts w:ascii="宋体" w:cs="宋体" w:hint="eastAsia"/>
          <w:b/>
          <w:kern w:val="0"/>
          <w:sz w:val="28"/>
          <w:szCs w:val="28"/>
        </w:rPr>
        <w:t>修改基金合同</w:t>
      </w:r>
      <w:r>
        <w:rPr>
          <w:rFonts w:ascii="宋体" w:cs="宋体" w:hint="eastAsia"/>
          <w:b/>
          <w:kern w:val="0"/>
          <w:sz w:val="28"/>
          <w:szCs w:val="28"/>
        </w:rPr>
        <w:t>有关事项</w:t>
      </w:r>
      <w:r w:rsidR="003D42AC" w:rsidRPr="003D42AC">
        <w:rPr>
          <w:rFonts w:ascii="宋体" w:cs="宋体" w:hint="eastAsia"/>
          <w:b/>
          <w:kern w:val="0"/>
          <w:sz w:val="28"/>
          <w:szCs w:val="28"/>
        </w:rPr>
        <w:t>的议案</w:t>
      </w:r>
    </w:p>
    <w:p w:rsidR="00B9368A" w:rsidRPr="00F756F9" w:rsidRDefault="00B9368A" w:rsidP="007D4AA2">
      <w:pPr>
        <w:autoSpaceDE w:val="0"/>
        <w:autoSpaceDN w:val="0"/>
        <w:adjustRightInd w:val="0"/>
        <w:spacing w:line="360" w:lineRule="auto"/>
        <w:jc w:val="center"/>
        <w:rPr>
          <w:rFonts w:ascii="宋体" w:cs="宋体"/>
          <w:b/>
          <w:kern w:val="0"/>
          <w:sz w:val="28"/>
          <w:szCs w:val="28"/>
        </w:rPr>
      </w:pPr>
    </w:p>
    <w:p w:rsidR="007D4AA2" w:rsidRDefault="00A42367" w:rsidP="001141D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东方红</w:t>
      </w:r>
      <w:r w:rsidR="00597A80">
        <w:rPr>
          <w:rFonts w:ascii="宋体" w:cs="宋体" w:hint="eastAsia"/>
          <w:kern w:val="0"/>
          <w:sz w:val="24"/>
          <w:szCs w:val="24"/>
        </w:rPr>
        <w:t>恒阳</w:t>
      </w:r>
      <w:r w:rsidR="00ED4487">
        <w:rPr>
          <w:rFonts w:ascii="宋体" w:cs="宋体" w:hint="eastAsia"/>
          <w:kern w:val="0"/>
          <w:sz w:val="24"/>
          <w:szCs w:val="24"/>
        </w:rPr>
        <w:t>五</w:t>
      </w:r>
      <w:r>
        <w:rPr>
          <w:rFonts w:ascii="宋体" w:cs="宋体" w:hint="eastAsia"/>
          <w:kern w:val="0"/>
          <w:sz w:val="24"/>
          <w:szCs w:val="24"/>
        </w:rPr>
        <w:t>年定期开放混合型证券投资基金</w:t>
      </w:r>
      <w:r w:rsidR="007D4AA2" w:rsidRPr="00F756F9">
        <w:rPr>
          <w:rFonts w:ascii="宋体" w:cs="宋体" w:hint="eastAsia"/>
          <w:kern w:val="0"/>
          <w:sz w:val="24"/>
          <w:szCs w:val="24"/>
        </w:rPr>
        <w:t>基金份额持有人：</w:t>
      </w:r>
    </w:p>
    <w:p w:rsidR="00B9368A" w:rsidRPr="00F756F9" w:rsidRDefault="00B9368A" w:rsidP="001141DA">
      <w:pPr>
        <w:autoSpaceDE w:val="0"/>
        <w:autoSpaceDN w:val="0"/>
        <w:adjustRightInd w:val="0"/>
        <w:spacing w:line="360" w:lineRule="auto"/>
        <w:jc w:val="left"/>
        <w:rPr>
          <w:rFonts w:ascii="宋体" w:cs="宋体"/>
          <w:kern w:val="0"/>
          <w:sz w:val="24"/>
          <w:szCs w:val="24"/>
        </w:rPr>
      </w:pPr>
    </w:p>
    <w:p w:rsidR="008E48CC" w:rsidRPr="008E48CC" w:rsidRDefault="00966E28" w:rsidP="00F67514">
      <w:pPr>
        <w:autoSpaceDE w:val="0"/>
        <w:autoSpaceDN w:val="0"/>
        <w:adjustRightInd w:val="0"/>
        <w:spacing w:line="360" w:lineRule="auto"/>
        <w:ind w:firstLineChars="200" w:firstLine="480"/>
        <w:rPr>
          <w:rFonts w:ascii="宋体" w:hAnsi="Times New Roman" w:cs="宋体"/>
          <w:kern w:val="0"/>
          <w:sz w:val="24"/>
          <w:szCs w:val="24"/>
        </w:rPr>
      </w:pPr>
      <w:r w:rsidRPr="00966E28">
        <w:rPr>
          <w:rFonts w:ascii="宋体" w:hAnsi="Times New Roman" w:cs="宋体" w:hint="eastAsia"/>
          <w:kern w:val="0"/>
          <w:sz w:val="24"/>
          <w:szCs w:val="24"/>
        </w:rPr>
        <w:t>东方红</w:t>
      </w:r>
      <w:r w:rsidR="00597A80">
        <w:rPr>
          <w:rFonts w:ascii="宋体" w:hAnsi="Times New Roman" w:cs="宋体" w:hint="eastAsia"/>
          <w:kern w:val="0"/>
          <w:sz w:val="24"/>
          <w:szCs w:val="24"/>
        </w:rPr>
        <w:t>恒阳</w:t>
      </w:r>
      <w:r w:rsidR="00ED4487">
        <w:rPr>
          <w:rFonts w:ascii="宋体" w:hAnsi="Times New Roman" w:cs="宋体" w:hint="eastAsia"/>
          <w:kern w:val="0"/>
          <w:sz w:val="24"/>
          <w:szCs w:val="24"/>
        </w:rPr>
        <w:t>五</w:t>
      </w:r>
      <w:r w:rsidRPr="00966E28">
        <w:rPr>
          <w:rFonts w:ascii="宋体" w:hAnsi="Times New Roman" w:cs="宋体" w:hint="eastAsia"/>
          <w:kern w:val="0"/>
          <w:sz w:val="24"/>
          <w:szCs w:val="24"/>
        </w:rPr>
        <w:t>年定期开放混合型证券投资基金</w:t>
      </w:r>
      <w:r>
        <w:rPr>
          <w:rFonts w:ascii="宋体" w:hAnsi="Times New Roman" w:cs="宋体" w:hint="eastAsia"/>
          <w:kern w:val="0"/>
          <w:sz w:val="24"/>
          <w:szCs w:val="24"/>
        </w:rPr>
        <w:t>成立于</w:t>
      </w:r>
      <w:r w:rsidR="00C81369">
        <w:rPr>
          <w:rFonts w:ascii="宋体" w:hAnsi="Times New Roman" w:cs="宋体" w:hint="eastAsia"/>
          <w:kern w:val="0"/>
          <w:sz w:val="24"/>
          <w:szCs w:val="24"/>
        </w:rPr>
        <w:t>20</w:t>
      </w:r>
      <w:r w:rsidR="00C81369">
        <w:rPr>
          <w:rFonts w:ascii="宋体" w:hAnsi="Times New Roman" w:cs="宋体"/>
          <w:kern w:val="0"/>
          <w:sz w:val="24"/>
          <w:szCs w:val="24"/>
        </w:rPr>
        <w:t>20</w:t>
      </w:r>
      <w:r w:rsidR="00290722">
        <w:rPr>
          <w:rFonts w:ascii="宋体" w:hAnsi="Times New Roman" w:cs="宋体" w:hint="eastAsia"/>
          <w:kern w:val="0"/>
          <w:sz w:val="24"/>
          <w:szCs w:val="24"/>
        </w:rPr>
        <w:t>年</w:t>
      </w:r>
      <w:r w:rsidR="00C81369">
        <w:rPr>
          <w:rFonts w:ascii="宋体" w:hAnsi="Times New Roman" w:cs="宋体"/>
          <w:kern w:val="0"/>
          <w:sz w:val="24"/>
          <w:szCs w:val="24"/>
        </w:rPr>
        <w:t>2</w:t>
      </w:r>
      <w:r>
        <w:rPr>
          <w:rFonts w:ascii="宋体" w:hAnsi="Times New Roman" w:cs="宋体" w:hint="eastAsia"/>
          <w:kern w:val="0"/>
          <w:sz w:val="24"/>
          <w:szCs w:val="24"/>
        </w:rPr>
        <w:t>月</w:t>
      </w:r>
      <w:r w:rsidR="00C81369">
        <w:rPr>
          <w:rFonts w:ascii="宋体" w:hAnsi="Times New Roman" w:cs="宋体"/>
          <w:kern w:val="0"/>
          <w:sz w:val="24"/>
          <w:szCs w:val="24"/>
        </w:rPr>
        <w:t>13</w:t>
      </w:r>
      <w:r>
        <w:rPr>
          <w:rFonts w:ascii="宋体" w:hAnsi="Times New Roman" w:cs="宋体" w:hint="eastAsia"/>
          <w:kern w:val="0"/>
          <w:sz w:val="24"/>
          <w:szCs w:val="24"/>
        </w:rPr>
        <w:t>日</w:t>
      </w:r>
      <w:r w:rsidR="0076718C">
        <w:rPr>
          <w:rFonts w:ascii="宋体" w:hAnsi="Times New Roman" w:cs="宋体" w:hint="eastAsia"/>
          <w:kern w:val="0"/>
          <w:sz w:val="24"/>
          <w:szCs w:val="24"/>
        </w:rPr>
        <w:t>，产品</w:t>
      </w:r>
      <w:r>
        <w:rPr>
          <w:rFonts w:ascii="宋体" w:hAnsi="Times New Roman" w:cs="宋体" w:hint="eastAsia"/>
          <w:kern w:val="0"/>
          <w:sz w:val="24"/>
          <w:szCs w:val="24"/>
        </w:rPr>
        <w:t>运行至今</w:t>
      </w:r>
      <w:r w:rsidR="0076718C">
        <w:rPr>
          <w:rFonts w:ascii="宋体" w:hAnsi="Times New Roman" w:cs="宋体" w:hint="eastAsia"/>
          <w:kern w:val="0"/>
          <w:sz w:val="24"/>
          <w:szCs w:val="24"/>
        </w:rPr>
        <w:t>表现平稳</w:t>
      </w:r>
      <w:r>
        <w:rPr>
          <w:rFonts w:ascii="宋体" w:hAnsi="Times New Roman" w:cs="宋体" w:hint="eastAsia"/>
          <w:kern w:val="0"/>
          <w:sz w:val="24"/>
          <w:szCs w:val="24"/>
        </w:rPr>
        <w:t>。</w:t>
      </w:r>
      <w:r w:rsidR="008E48CC" w:rsidRPr="008E48CC">
        <w:rPr>
          <w:rFonts w:ascii="宋体" w:hAnsi="Times New Roman" w:cs="宋体" w:hint="eastAsia"/>
          <w:kern w:val="0"/>
          <w:sz w:val="24"/>
          <w:szCs w:val="24"/>
        </w:rPr>
        <w:t>为更好地满足投资者需求，保护基金份额持有人的利益，基金管理人</w:t>
      </w:r>
      <w:r w:rsidR="00032312" w:rsidRPr="008E48CC">
        <w:rPr>
          <w:rFonts w:ascii="宋体" w:hAnsi="Times New Roman" w:cs="宋体" w:hint="eastAsia"/>
          <w:kern w:val="0"/>
          <w:sz w:val="24"/>
          <w:szCs w:val="24"/>
        </w:rPr>
        <w:t>经</w:t>
      </w:r>
      <w:r w:rsidR="008E48CC" w:rsidRPr="008E48CC">
        <w:rPr>
          <w:rFonts w:ascii="宋体" w:hAnsi="Times New Roman" w:cs="宋体" w:hint="eastAsia"/>
          <w:kern w:val="0"/>
          <w:sz w:val="24"/>
          <w:szCs w:val="24"/>
        </w:rPr>
        <w:t>与基金托管人</w:t>
      </w:r>
      <w:r w:rsidR="002269A7">
        <w:rPr>
          <w:rFonts w:ascii="宋体" w:hAnsi="Times New Roman" w:cs="宋体" w:hint="eastAsia"/>
          <w:kern w:val="0"/>
          <w:sz w:val="24"/>
          <w:szCs w:val="24"/>
        </w:rPr>
        <w:t>招商</w:t>
      </w:r>
      <w:r w:rsidR="00FD4CAB">
        <w:rPr>
          <w:rFonts w:ascii="宋体" w:hAnsi="Times New Roman" w:cs="宋体" w:hint="eastAsia"/>
          <w:kern w:val="0"/>
          <w:sz w:val="24"/>
          <w:szCs w:val="24"/>
        </w:rPr>
        <w:t>银行股份有限公司</w:t>
      </w:r>
      <w:r w:rsidR="008E48CC" w:rsidRPr="008E48CC">
        <w:rPr>
          <w:rFonts w:ascii="宋体" w:hAnsi="Times New Roman" w:cs="宋体" w:hint="eastAsia"/>
          <w:kern w:val="0"/>
          <w:sz w:val="24"/>
          <w:szCs w:val="24"/>
        </w:rPr>
        <w:t>协商一致，决定召开本基金的基金份额持有人大会，对本基金实施转型</w:t>
      </w:r>
      <w:r w:rsidR="003E34D1" w:rsidRPr="003E34D1">
        <w:rPr>
          <w:rFonts w:ascii="宋体" w:hAnsi="Times New Roman" w:cs="宋体" w:hint="eastAsia"/>
          <w:kern w:val="0"/>
          <w:sz w:val="24"/>
          <w:szCs w:val="24"/>
        </w:rPr>
        <w:t>，将本基金由</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年定期开放变更为设置</w:t>
      </w:r>
      <w:r w:rsidR="00290722">
        <w:rPr>
          <w:rFonts w:ascii="宋体" w:hAnsi="Times New Roman" w:cs="宋体" w:hint="eastAsia"/>
          <w:kern w:val="0"/>
          <w:sz w:val="24"/>
          <w:szCs w:val="24"/>
        </w:rPr>
        <w:t>五</w:t>
      </w:r>
      <w:r w:rsidR="003E34D1" w:rsidRPr="003E34D1">
        <w:rPr>
          <w:rFonts w:ascii="宋体" w:hAnsi="Times New Roman" w:cs="宋体" w:hint="eastAsia"/>
          <w:kern w:val="0"/>
          <w:sz w:val="24"/>
          <w:szCs w:val="24"/>
        </w:rPr>
        <w:t>年锁定持有期，终止基金份额的上市交易，并调整投资范围、投资比例、投资策略和投资限制等</w:t>
      </w:r>
      <w:r w:rsidR="008E48CC" w:rsidRPr="008E48CC">
        <w:rPr>
          <w:rFonts w:ascii="宋体" w:hAnsi="Times New Roman" w:cs="宋体" w:hint="eastAsia"/>
          <w:kern w:val="0"/>
          <w:sz w:val="24"/>
          <w:szCs w:val="24"/>
        </w:rPr>
        <w:t>。转型方案说明见附件二《</w:t>
      </w:r>
      <w:r w:rsidR="008E48CC" w:rsidRPr="008E48CC">
        <w:rPr>
          <w:rFonts w:ascii="宋体" w:hAnsi="Times New Roman" w:cs="宋体" w:hint="eastAsia"/>
          <w:color w:val="000000"/>
          <w:kern w:val="0"/>
          <w:sz w:val="24"/>
          <w:szCs w:val="24"/>
        </w:rPr>
        <w:t>关于</w:t>
      </w:r>
      <w:r w:rsidR="00A42367">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42367">
        <w:rPr>
          <w:rFonts w:ascii="宋体" w:hAnsi="Times New Roman" w:cs="宋体" w:hint="eastAsia"/>
          <w:color w:val="000000"/>
          <w:kern w:val="0"/>
          <w:sz w:val="24"/>
          <w:szCs w:val="24"/>
        </w:rPr>
        <w:t>年定期开放混合型证券投资基金</w:t>
      </w:r>
      <w:r w:rsidR="008E48CC" w:rsidRPr="008E48CC">
        <w:rPr>
          <w:rFonts w:ascii="宋体" w:hAnsi="Times New Roman" w:cs="宋体" w:hint="eastAsia"/>
          <w:color w:val="000000"/>
          <w:kern w:val="0"/>
          <w:sz w:val="24"/>
          <w:szCs w:val="24"/>
        </w:rPr>
        <w:t>转</w:t>
      </w:r>
      <w:r w:rsidR="008E48CC" w:rsidRPr="008E48CC">
        <w:rPr>
          <w:rFonts w:ascii="宋体" w:hAnsi="Times New Roman" w:cs="宋体" w:hint="eastAsia"/>
          <w:kern w:val="0"/>
          <w:sz w:val="24"/>
          <w:szCs w:val="24"/>
        </w:rPr>
        <w:t>型及</w:t>
      </w:r>
      <w:r w:rsidR="004A6635">
        <w:rPr>
          <w:rFonts w:ascii="宋体" w:hAnsi="Times New Roman" w:cs="宋体" w:hint="eastAsia"/>
          <w:kern w:val="0"/>
          <w:sz w:val="24"/>
          <w:szCs w:val="24"/>
        </w:rPr>
        <w:t>修改</w:t>
      </w:r>
      <w:r w:rsidR="008E48CC" w:rsidRPr="008E48CC">
        <w:rPr>
          <w:rFonts w:ascii="宋体" w:hAnsi="Times New Roman" w:cs="宋体" w:hint="eastAsia"/>
          <w:kern w:val="0"/>
          <w:sz w:val="24"/>
          <w:szCs w:val="24"/>
        </w:rPr>
        <w:t>基金合同有关事项</w:t>
      </w:r>
      <w:r w:rsidR="008E48CC" w:rsidRPr="008E48CC">
        <w:rPr>
          <w:rFonts w:ascii="宋体" w:hAnsi="Times New Roman" w:cs="宋体" w:hint="eastAsia"/>
          <w:color w:val="000000"/>
          <w:kern w:val="0"/>
          <w:sz w:val="24"/>
          <w:szCs w:val="24"/>
        </w:rPr>
        <w:t>的说明</w:t>
      </w:r>
      <w:r w:rsidR="008E48CC" w:rsidRPr="008E48CC">
        <w:rPr>
          <w:rFonts w:ascii="宋体" w:hAnsi="Times New Roman" w:cs="宋体" w:hint="eastAsia"/>
          <w:kern w:val="0"/>
          <w:sz w:val="24"/>
          <w:szCs w:val="24"/>
        </w:rPr>
        <w:t>》。</w:t>
      </w:r>
    </w:p>
    <w:p w:rsidR="003E34D1" w:rsidRPr="003E34D1" w:rsidRDefault="003E34D1" w:rsidP="003E34D1">
      <w:pPr>
        <w:autoSpaceDE w:val="0"/>
        <w:autoSpaceDN w:val="0"/>
        <w:adjustRightInd w:val="0"/>
        <w:spacing w:line="360" w:lineRule="auto"/>
        <w:ind w:firstLineChars="200" w:firstLine="480"/>
        <w:jc w:val="left"/>
        <w:rPr>
          <w:rFonts w:ascii="宋体" w:hAnsi="Times New Roman" w:cs="宋体"/>
          <w:kern w:val="0"/>
          <w:sz w:val="24"/>
          <w:szCs w:val="24"/>
        </w:rPr>
      </w:pPr>
      <w:r w:rsidRPr="003E34D1">
        <w:rPr>
          <w:rFonts w:ascii="宋体" w:hAnsi="Times New Roman" w:cs="宋体" w:hint="eastAsia"/>
          <w:kern w:val="0"/>
          <w:sz w:val="24"/>
          <w:szCs w:val="24"/>
        </w:rPr>
        <w:t>本次基金份额持有人大会中，本人直接出具表决意见或授权他人代表出具表决意见的基金份额持有人所持有的基金份额不小于在权益登记日基金总份额的50％（含50％）,则本次</w:t>
      </w:r>
      <w:r w:rsidR="001308C6">
        <w:rPr>
          <w:rFonts w:ascii="宋体" w:hAnsi="Times New Roman" w:cs="宋体" w:hint="eastAsia"/>
          <w:kern w:val="0"/>
          <w:sz w:val="24"/>
          <w:szCs w:val="24"/>
        </w:rPr>
        <w:t>通讯</w:t>
      </w:r>
      <w:r w:rsidRPr="003E34D1">
        <w:rPr>
          <w:rFonts w:ascii="宋体" w:hAnsi="Times New Roman" w:cs="宋体" w:hint="eastAsia"/>
          <w:kern w:val="0"/>
          <w:sz w:val="24"/>
          <w:szCs w:val="24"/>
        </w:rPr>
        <w:t>开会视为有效；本次议案经参加大会的基金份额持有人或其代理人所持表决权的三分之二以上（含三分之二）通过方为有效。</w:t>
      </w:r>
    </w:p>
    <w:p w:rsidR="007D4AA2" w:rsidRPr="007A4ABA" w:rsidRDefault="008E48CC" w:rsidP="00C21D3A">
      <w:pPr>
        <w:autoSpaceDE w:val="0"/>
        <w:autoSpaceDN w:val="0"/>
        <w:adjustRightInd w:val="0"/>
        <w:spacing w:line="360" w:lineRule="auto"/>
        <w:ind w:firstLineChars="200" w:firstLine="480"/>
        <w:jc w:val="left"/>
        <w:rPr>
          <w:rFonts w:ascii="宋体" w:hAnsi="Times New Roman" w:cs="宋体"/>
          <w:kern w:val="0"/>
          <w:sz w:val="24"/>
          <w:szCs w:val="24"/>
        </w:rPr>
      </w:pPr>
      <w:r w:rsidRPr="008E48CC">
        <w:rPr>
          <w:rFonts w:ascii="宋体" w:hAnsi="Times New Roman" w:cs="宋体" w:hint="eastAsia"/>
          <w:kern w:val="0"/>
          <w:sz w:val="24"/>
          <w:szCs w:val="24"/>
        </w:rPr>
        <w:t>同时，为实施本基金转型方案，提议本基金的基金份额持有人授权基金管理人办理本次基金转型的有关具体事宜，并根据</w:t>
      </w:r>
      <w:r w:rsidR="004A6635">
        <w:rPr>
          <w:rFonts w:ascii="宋体" w:hAnsi="Times New Roman" w:cs="宋体" w:hint="eastAsia"/>
          <w:kern w:val="0"/>
          <w:sz w:val="24"/>
          <w:szCs w:val="24"/>
        </w:rPr>
        <w:t>基金份额</w:t>
      </w:r>
      <w:r w:rsidRPr="008E48CC">
        <w:rPr>
          <w:rFonts w:ascii="宋体" w:hAnsi="Times New Roman" w:cs="宋体" w:hint="eastAsia"/>
          <w:kern w:val="0"/>
          <w:sz w:val="24"/>
          <w:szCs w:val="24"/>
        </w:rPr>
        <w:t>持有人大会决议以及转型后基金运作的特点及现时有效的法律法规，对《</w:t>
      </w:r>
      <w:r w:rsidR="00AC25BC">
        <w:rPr>
          <w:rFonts w:ascii="宋体" w:hAnsi="Times New Roman" w:cs="宋体" w:hint="eastAsia"/>
          <w:color w:val="000000"/>
          <w:kern w:val="0"/>
          <w:sz w:val="24"/>
          <w:szCs w:val="24"/>
        </w:rPr>
        <w:t>东方红</w:t>
      </w:r>
      <w:r w:rsidR="00597A80">
        <w:rPr>
          <w:rFonts w:ascii="宋体" w:hAnsi="Times New Roman" w:cs="宋体" w:hint="eastAsia"/>
          <w:color w:val="000000"/>
          <w:kern w:val="0"/>
          <w:sz w:val="24"/>
          <w:szCs w:val="24"/>
        </w:rPr>
        <w:t>恒阳</w:t>
      </w:r>
      <w:r w:rsidR="00ED4487">
        <w:rPr>
          <w:rFonts w:ascii="宋体" w:hAnsi="Times New Roman" w:cs="宋体" w:hint="eastAsia"/>
          <w:color w:val="000000"/>
          <w:kern w:val="0"/>
          <w:sz w:val="24"/>
          <w:szCs w:val="24"/>
        </w:rPr>
        <w:t>五</w:t>
      </w:r>
      <w:r w:rsidR="00AC25BC">
        <w:rPr>
          <w:rFonts w:ascii="宋体" w:hAnsi="Times New Roman" w:cs="宋体" w:hint="eastAsia"/>
          <w:color w:val="000000"/>
          <w:kern w:val="0"/>
          <w:sz w:val="24"/>
          <w:szCs w:val="24"/>
        </w:rPr>
        <w:t>年定期开放混合型证券投资基金</w:t>
      </w:r>
      <w:r w:rsidRPr="008E48CC">
        <w:rPr>
          <w:rFonts w:ascii="宋体" w:hAnsi="Times New Roman" w:cs="宋体" w:hint="eastAsia"/>
          <w:kern w:val="0"/>
          <w:sz w:val="24"/>
          <w:szCs w:val="24"/>
        </w:rPr>
        <w:t>基金合同》进行修改和补充。</w:t>
      </w:r>
      <w:r w:rsidR="00C21D3A" w:rsidRPr="00C21D3A">
        <w:rPr>
          <w:rFonts w:ascii="宋体" w:hAnsi="Times New Roman" w:cs="宋体" w:hint="eastAsia"/>
          <w:kern w:val="0"/>
          <w:sz w:val="24"/>
          <w:szCs w:val="24"/>
        </w:rPr>
        <w:t>本基金的招募说明书、托管协议及基金产品资料概要也将进行必要的修改或补充。</w:t>
      </w:r>
    </w:p>
    <w:p w:rsidR="003E34D1" w:rsidRPr="003E34D1" w:rsidRDefault="003E34D1" w:rsidP="003E34D1">
      <w:pPr>
        <w:spacing w:line="360" w:lineRule="auto"/>
        <w:ind w:firstLineChars="200" w:firstLine="480"/>
        <w:rPr>
          <w:sz w:val="24"/>
        </w:rPr>
      </w:pPr>
      <w:r w:rsidRPr="003E34D1">
        <w:rPr>
          <w:rFonts w:hint="eastAsia"/>
          <w:sz w:val="24"/>
        </w:rPr>
        <w:t>基金管理人将在本次基金份额持有人大会</w:t>
      </w:r>
      <w:r w:rsidR="00A04409">
        <w:rPr>
          <w:rFonts w:hint="eastAsia"/>
          <w:sz w:val="24"/>
        </w:rPr>
        <w:t>决议生效后</w:t>
      </w:r>
      <w:r w:rsidRPr="003E34D1">
        <w:rPr>
          <w:rFonts w:hint="eastAsia"/>
          <w:sz w:val="24"/>
        </w:rPr>
        <w:t>预留</w:t>
      </w:r>
      <w:r w:rsidR="00673C3F">
        <w:rPr>
          <w:rFonts w:hint="eastAsia"/>
          <w:sz w:val="24"/>
        </w:rPr>
        <w:t>不少于</w:t>
      </w:r>
      <w:r w:rsidRPr="003E34D1">
        <w:rPr>
          <w:rFonts w:hint="eastAsia"/>
          <w:sz w:val="24"/>
        </w:rPr>
        <w:t>二十个交易日供持有人选择赎回的前提下，制订有关基金转型正式实施的日期、转型实施前的申购赎回安排、终止上市交易等事项的转型实施安排并提前公告。提示投资者及时关注基金管理人届时发布的相关公告。</w:t>
      </w:r>
    </w:p>
    <w:p w:rsidR="00F42FE1" w:rsidRPr="003E34D1" w:rsidRDefault="003E34D1" w:rsidP="00F42FE1">
      <w:pPr>
        <w:spacing w:line="360" w:lineRule="auto"/>
        <w:ind w:firstLineChars="200" w:firstLine="480"/>
        <w:rPr>
          <w:sz w:val="24"/>
        </w:rPr>
      </w:pPr>
      <w:r w:rsidRPr="003E34D1">
        <w:rPr>
          <w:rFonts w:hint="eastAsia"/>
          <w:sz w:val="24"/>
        </w:rPr>
        <w:t>转型选择期期间，基金份额持有人可以选择将场内份额进行场内赎回、卖出或者通过跨系统转托管转到场外后继续持有场外份额。若转型选择期结束后，基金份额持有人未选择将场内份额进行场内赎回、卖出或未主动通过跨系统转托管转到场外的，原登记在中国证券登记结算有限责任公司</w:t>
      </w:r>
      <w:r w:rsidR="003D131F">
        <w:rPr>
          <w:rFonts w:hint="eastAsia"/>
          <w:sz w:val="24"/>
        </w:rPr>
        <w:t>深圳</w:t>
      </w:r>
      <w:r w:rsidRPr="003E34D1">
        <w:rPr>
          <w:rFonts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F37424">
        <w:rPr>
          <w:rFonts w:hint="eastAsia"/>
          <w:sz w:val="24"/>
        </w:rPr>
        <w:t>。</w:t>
      </w:r>
      <w:r w:rsidR="00F37424" w:rsidRPr="003D597B">
        <w:rPr>
          <w:rFonts w:hint="eastAsia"/>
          <w:sz w:val="24"/>
        </w:rPr>
        <w:t>投资者未主动办理确权时，</w:t>
      </w:r>
      <w:r w:rsidR="004F2B8D">
        <w:rPr>
          <w:rFonts w:hint="eastAsia"/>
          <w:sz w:val="24"/>
        </w:rPr>
        <w:t>基金</w:t>
      </w:r>
      <w:r w:rsidR="00F37424" w:rsidRPr="003D597B">
        <w:rPr>
          <w:rFonts w:hint="eastAsia"/>
          <w:sz w:val="24"/>
        </w:rPr>
        <w:t>管理人有权根据届时发布的公告进行批量确</w:t>
      </w:r>
      <w:r w:rsidR="00F37424">
        <w:rPr>
          <w:rFonts w:hint="eastAsia"/>
          <w:sz w:val="24"/>
        </w:rPr>
        <w:t>权</w:t>
      </w:r>
      <w:r w:rsidR="00F37424" w:rsidRPr="003D597B">
        <w:rPr>
          <w:rFonts w:hint="eastAsia"/>
          <w:sz w:val="24"/>
        </w:rPr>
        <w:t>。</w:t>
      </w:r>
      <w:r w:rsidRPr="003E34D1">
        <w:rPr>
          <w:rFonts w:hint="eastAsia"/>
          <w:sz w:val="24"/>
        </w:rPr>
        <w:t>确权完成后，基金份额持有人方可在场外对相关基金份额进行赎回及其他交易</w:t>
      </w:r>
      <w:r w:rsidR="00135B16">
        <w:rPr>
          <w:rFonts w:hint="eastAsia"/>
          <w:sz w:val="24"/>
        </w:rPr>
        <w:t>。</w:t>
      </w:r>
      <w:r w:rsidR="00BF029A" w:rsidRPr="00BF029A">
        <w:rPr>
          <w:rFonts w:hint="eastAsia"/>
          <w:sz w:val="24"/>
        </w:rPr>
        <w:t>基金转型前</w:t>
      </w:r>
      <w:r w:rsidR="00135B16" w:rsidRPr="00135B16">
        <w:rPr>
          <w:rFonts w:hint="eastAsia"/>
          <w:sz w:val="24"/>
        </w:rPr>
        <w:t>基金份额持有人通过二级市场买入的场内份额在转型后不受锁定持有期的限制，但仍需根据转型后《东方红</w:t>
      </w:r>
      <w:r w:rsidR="00597A80">
        <w:rPr>
          <w:rFonts w:hint="eastAsia"/>
          <w:sz w:val="24"/>
        </w:rPr>
        <w:t>恒阳</w:t>
      </w:r>
      <w:r w:rsidR="00135B16" w:rsidRPr="00135B16">
        <w:rPr>
          <w:rFonts w:hint="eastAsia"/>
          <w:sz w:val="24"/>
        </w:rPr>
        <w:t>五年持有期混合型证券投资基金招募说明书》的规定办理</w:t>
      </w:r>
      <w:r w:rsidRPr="003E34D1">
        <w:rPr>
          <w:rFonts w:hint="eastAsia"/>
          <w:sz w:val="24"/>
        </w:rPr>
        <w:t>。</w:t>
      </w:r>
    </w:p>
    <w:p w:rsidR="003E34D1" w:rsidRPr="00F42FE1" w:rsidRDefault="003E34D1" w:rsidP="003E34D1">
      <w:pPr>
        <w:spacing w:line="360" w:lineRule="auto"/>
        <w:ind w:firstLineChars="200" w:firstLine="480"/>
        <w:rPr>
          <w:sz w:val="24"/>
        </w:rPr>
      </w:pPr>
    </w:p>
    <w:p w:rsidR="007A7725" w:rsidRPr="003E34D1" w:rsidRDefault="007A7725" w:rsidP="006F13CB">
      <w:pPr>
        <w:spacing w:line="360" w:lineRule="auto"/>
        <w:ind w:firstLineChars="200" w:firstLine="480"/>
        <w:rPr>
          <w:sz w:val="24"/>
        </w:rPr>
      </w:pPr>
    </w:p>
    <w:p w:rsidR="0050566D" w:rsidRPr="00F756F9" w:rsidRDefault="0050566D" w:rsidP="000B59CC">
      <w:pPr>
        <w:autoSpaceDE w:val="0"/>
        <w:autoSpaceDN w:val="0"/>
        <w:adjustRightInd w:val="0"/>
        <w:spacing w:line="360" w:lineRule="auto"/>
        <w:ind w:firstLineChars="200" w:firstLine="480"/>
        <w:jc w:val="left"/>
        <w:rPr>
          <w:rFonts w:ascii="宋体" w:cs="宋体"/>
          <w:kern w:val="0"/>
          <w:sz w:val="24"/>
          <w:szCs w:val="24"/>
        </w:rPr>
      </w:pPr>
    </w:p>
    <w:p w:rsidR="0050566D" w:rsidRPr="00F756F9" w:rsidRDefault="0050566D" w:rsidP="0050566D">
      <w:pPr>
        <w:autoSpaceDE w:val="0"/>
        <w:autoSpaceDN w:val="0"/>
        <w:adjustRightInd w:val="0"/>
        <w:spacing w:line="360" w:lineRule="auto"/>
        <w:ind w:firstLineChars="200" w:firstLine="480"/>
        <w:jc w:val="left"/>
        <w:rPr>
          <w:rFonts w:ascii="宋体" w:cs="宋体"/>
          <w:kern w:val="0"/>
          <w:sz w:val="24"/>
          <w:szCs w:val="24"/>
        </w:rPr>
      </w:pPr>
      <w:r w:rsidRPr="00F756F9">
        <w:rPr>
          <w:rFonts w:ascii="宋体" w:cs="宋体" w:hint="eastAsia"/>
          <w:kern w:val="0"/>
          <w:sz w:val="24"/>
          <w:szCs w:val="24"/>
        </w:rPr>
        <w:t>以上议案，请予审议。</w:t>
      </w:r>
    </w:p>
    <w:p w:rsidR="0050566D" w:rsidRPr="00F756F9" w:rsidRDefault="0050566D" w:rsidP="008F3C70">
      <w:pPr>
        <w:adjustRightInd w:val="0"/>
        <w:snapToGrid w:val="0"/>
        <w:spacing w:beforeLines="100" w:line="400" w:lineRule="exact"/>
        <w:ind w:firstLineChars="236" w:firstLine="566"/>
        <w:rPr>
          <w:rFonts w:ascii="Arial Unicode MS" w:hAnsi="Arial Unicode MS" w:cs="新宋体-18030"/>
          <w:sz w:val="24"/>
          <w:szCs w:val="24"/>
        </w:rPr>
      </w:pPr>
    </w:p>
    <w:p w:rsidR="0050566D" w:rsidRPr="00F756F9" w:rsidRDefault="00456C66" w:rsidP="008F3C70">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0050566D" w:rsidRPr="00F756F9">
        <w:rPr>
          <w:rFonts w:ascii="Arial Unicode MS" w:hAnsi="Arial Unicode MS" w:hint="eastAsia"/>
          <w:sz w:val="24"/>
        </w:rPr>
        <w:t>管理有限公司</w:t>
      </w:r>
    </w:p>
    <w:p w:rsidR="00BF0B40" w:rsidRDefault="00611344" w:rsidP="00CC75E9">
      <w:pPr>
        <w:wordWrap w:val="0"/>
        <w:autoSpaceDE w:val="0"/>
        <w:autoSpaceDN w:val="0"/>
        <w:adjustRightInd w:val="0"/>
        <w:spacing w:line="360" w:lineRule="auto"/>
        <w:ind w:firstLineChars="200" w:firstLine="480"/>
        <w:jc w:val="right"/>
        <w:rPr>
          <w:rFonts w:ascii="宋体" w:cs="宋体"/>
          <w:kern w:val="0"/>
          <w:sz w:val="24"/>
          <w:szCs w:val="24"/>
        </w:rPr>
      </w:pPr>
      <w:r w:rsidRPr="00B9509D">
        <w:rPr>
          <w:rFonts w:ascii="宋体" w:cs="宋体" w:hint="eastAsia"/>
          <w:kern w:val="0"/>
          <w:sz w:val="24"/>
          <w:szCs w:val="24"/>
        </w:rPr>
        <w:t>20</w:t>
      </w:r>
      <w:r>
        <w:rPr>
          <w:rFonts w:ascii="宋体" w:cs="宋体"/>
          <w:kern w:val="0"/>
          <w:sz w:val="24"/>
          <w:szCs w:val="24"/>
        </w:rPr>
        <w:t>24</w:t>
      </w:r>
      <w:r w:rsidR="006952CA" w:rsidRPr="00B9509D">
        <w:rPr>
          <w:rFonts w:ascii="宋体" w:cs="宋体" w:hint="eastAsia"/>
          <w:kern w:val="0"/>
          <w:sz w:val="24"/>
          <w:szCs w:val="24"/>
        </w:rPr>
        <w:t>年</w:t>
      </w:r>
      <w:r w:rsidR="00D87870">
        <w:rPr>
          <w:rFonts w:ascii="宋体" w:cs="宋体"/>
          <w:kern w:val="0"/>
          <w:sz w:val="24"/>
          <w:szCs w:val="24"/>
        </w:rPr>
        <w:t>12</w:t>
      </w:r>
      <w:r w:rsidR="006952CA" w:rsidRPr="00B9509D">
        <w:rPr>
          <w:rFonts w:ascii="宋体" w:cs="宋体" w:hint="eastAsia"/>
          <w:kern w:val="0"/>
          <w:sz w:val="24"/>
          <w:szCs w:val="24"/>
        </w:rPr>
        <w:t>月</w:t>
      </w:r>
      <w:r w:rsidR="00D87870">
        <w:rPr>
          <w:rFonts w:ascii="宋体" w:cs="宋体"/>
          <w:kern w:val="0"/>
          <w:sz w:val="24"/>
          <w:szCs w:val="24"/>
        </w:rPr>
        <w:t>6</w:t>
      </w:r>
      <w:r w:rsidR="006952CA" w:rsidRPr="00B9509D">
        <w:rPr>
          <w:rFonts w:ascii="宋体" w:cs="宋体" w:hint="eastAsia"/>
          <w:kern w:val="0"/>
          <w:sz w:val="24"/>
          <w:szCs w:val="24"/>
        </w:rPr>
        <w:t>日</w:t>
      </w:r>
    </w:p>
    <w:p w:rsidR="00BF0B40" w:rsidRDefault="00BF0B40" w:rsidP="00BF0B40">
      <w:pPr>
        <w:autoSpaceDE w:val="0"/>
        <w:autoSpaceDN w:val="0"/>
        <w:adjustRightInd w:val="0"/>
        <w:spacing w:line="360" w:lineRule="auto"/>
        <w:ind w:firstLineChars="200" w:firstLine="480"/>
        <w:jc w:val="right"/>
        <w:rPr>
          <w:rFonts w:ascii="宋体" w:cs="宋体"/>
          <w:kern w:val="0"/>
          <w:sz w:val="24"/>
          <w:szCs w:val="24"/>
        </w:rPr>
        <w:sectPr w:rsidR="00BF0B40" w:rsidSect="00842BCE">
          <w:headerReference w:type="default" r:id="rId8"/>
          <w:footerReference w:type="default" r:id="rId9"/>
          <w:pgSz w:w="11906" w:h="16838"/>
          <w:pgMar w:top="1440" w:right="1800" w:bottom="1440" w:left="1800" w:header="851" w:footer="992" w:gutter="0"/>
          <w:cols w:space="425"/>
          <w:docGrid w:type="lines" w:linePitch="312"/>
        </w:sectPr>
      </w:pPr>
    </w:p>
    <w:p w:rsidR="00B003D7" w:rsidRPr="00BF0B40" w:rsidRDefault="00B003D7" w:rsidP="00BF0B40">
      <w:pPr>
        <w:pStyle w:val="1"/>
        <w:rPr>
          <w:sz w:val="32"/>
          <w:szCs w:val="32"/>
        </w:rPr>
      </w:pPr>
      <w:r w:rsidRPr="00B003D7">
        <w:rPr>
          <w:rFonts w:hint="eastAsia"/>
          <w:sz w:val="32"/>
          <w:szCs w:val="32"/>
        </w:rPr>
        <w:t>附件二：</w:t>
      </w:r>
    </w:p>
    <w:p w:rsidR="00B003D7" w:rsidRDefault="00B003D7" w:rsidP="00B003D7">
      <w:pPr>
        <w:autoSpaceDE w:val="0"/>
        <w:autoSpaceDN w:val="0"/>
        <w:adjustRightInd w:val="0"/>
        <w:spacing w:line="360" w:lineRule="auto"/>
        <w:ind w:firstLineChars="200" w:firstLine="562"/>
        <w:jc w:val="center"/>
        <w:rPr>
          <w:rFonts w:ascii="宋体" w:cs="宋体"/>
          <w:b/>
          <w:kern w:val="0"/>
          <w:sz w:val="28"/>
          <w:szCs w:val="28"/>
        </w:rPr>
      </w:pPr>
      <w:r w:rsidRPr="007A7725">
        <w:rPr>
          <w:rFonts w:ascii="宋体" w:cs="宋体" w:hint="eastAsia"/>
          <w:b/>
          <w:kern w:val="0"/>
          <w:sz w:val="28"/>
          <w:szCs w:val="28"/>
        </w:rPr>
        <w:t>关于</w:t>
      </w:r>
      <w:r w:rsidR="00A42367">
        <w:rPr>
          <w:rFonts w:ascii="宋体" w:cs="宋体" w:hint="eastAsia"/>
          <w:b/>
          <w:kern w:val="0"/>
          <w:sz w:val="28"/>
          <w:szCs w:val="28"/>
        </w:rPr>
        <w:t>东方红</w:t>
      </w:r>
      <w:r w:rsidR="00597A80">
        <w:rPr>
          <w:rFonts w:ascii="宋体" w:cs="宋体" w:hint="eastAsia"/>
          <w:b/>
          <w:kern w:val="0"/>
          <w:sz w:val="28"/>
          <w:szCs w:val="28"/>
        </w:rPr>
        <w:t>恒阳</w:t>
      </w:r>
      <w:r w:rsidR="00ED4487">
        <w:rPr>
          <w:rFonts w:ascii="宋体" w:cs="宋体" w:hint="eastAsia"/>
          <w:b/>
          <w:kern w:val="0"/>
          <w:sz w:val="28"/>
          <w:szCs w:val="28"/>
        </w:rPr>
        <w:t>五</w:t>
      </w:r>
      <w:r w:rsidR="00A42367">
        <w:rPr>
          <w:rFonts w:ascii="宋体" w:cs="宋体" w:hint="eastAsia"/>
          <w:b/>
          <w:kern w:val="0"/>
          <w:sz w:val="28"/>
          <w:szCs w:val="28"/>
        </w:rPr>
        <w:t>年定期开放混合型证券投资基金</w:t>
      </w:r>
    </w:p>
    <w:p w:rsidR="00B003D7" w:rsidRDefault="00872141" w:rsidP="00B003D7">
      <w:pPr>
        <w:autoSpaceDE w:val="0"/>
        <w:autoSpaceDN w:val="0"/>
        <w:adjustRightInd w:val="0"/>
        <w:spacing w:line="360" w:lineRule="auto"/>
        <w:ind w:firstLineChars="200" w:firstLine="562"/>
        <w:jc w:val="center"/>
        <w:rPr>
          <w:rFonts w:ascii="宋体" w:cs="宋体"/>
          <w:b/>
          <w:kern w:val="0"/>
          <w:sz w:val="28"/>
          <w:szCs w:val="28"/>
        </w:rPr>
      </w:pPr>
      <w:r>
        <w:rPr>
          <w:rFonts w:ascii="宋体" w:cs="宋体" w:hint="eastAsia"/>
          <w:b/>
          <w:kern w:val="0"/>
          <w:sz w:val="28"/>
          <w:szCs w:val="28"/>
        </w:rPr>
        <w:t>转型及</w:t>
      </w:r>
      <w:r w:rsidR="00BC6708">
        <w:rPr>
          <w:rFonts w:ascii="宋体" w:cs="宋体" w:hint="eastAsia"/>
          <w:b/>
          <w:kern w:val="0"/>
          <w:sz w:val="28"/>
          <w:szCs w:val="28"/>
        </w:rPr>
        <w:t>修改基金合同</w:t>
      </w:r>
      <w:r>
        <w:rPr>
          <w:rFonts w:ascii="宋体" w:cs="宋体" w:hint="eastAsia"/>
          <w:b/>
          <w:kern w:val="0"/>
          <w:sz w:val="28"/>
          <w:szCs w:val="28"/>
        </w:rPr>
        <w:t>有关事项</w:t>
      </w:r>
      <w:r w:rsidR="00B003D7" w:rsidRPr="007A7725">
        <w:rPr>
          <w:rFonts w:ascii="宋体" w:cs="宋体" w:hint="eastAsia"/>
          <w:b/>
          <w:kern w:val="0"/>
          <w:sz w:val="28"/>
          <w:szCs w:val="28"/>
        </w:rPr>
        <w:t>的说明</w:t>
      </w:r>
    </w:p>
    <w:p w:rsidR="00B83141" w:rsidRDefault="004C6414" w:rsidP="00BF4765">
      <w:pPr>
        <w:spacing w:line="540" w:lineRule="exact"/>
        <w:ind w:firstLineChars="200" w:firstLine="480"/>
        <w:rPr>
          <w:rFonts w:ascii="宋体" w:cs="宋体"/>
          <w:kern w:val="0"/>
          <w:sz w:val="24"/>
          <w:szCs w:val="24"/>
        </w:rPr>
      </w:pPr>
      <w:r w:rsidRPr="004C6414">
        <w:rPr>
          <w:rFonts w:hint="eastAsia"/>
          <w:sz w:val="24"/>
        </w:rPr>
        <w:t>为更好地满足投资者需求，保护投资者利益，</w:t>
      </w:r>
      <w:r w:rsidR="00B003D7">
        <w:rPr>
          <w:rFonts w:hint="eastAsia"/>
          <w:sz w:val="24"/>
        </w:rPr>
        <w:t>根据</w:t>
      </w:r>
      <w:r w:rsidR="00B003D7" w:rsidRPr="005965BB">
        <w:rPr>
          <w:rFonts w:hint="eastAsia"/>
          <w:sz w:val="24"/>
        </w:rPr>
        <w:t>《中华人民共和国证券投资基金法》、《公开募集证券投资基金运作管理办法》</w:t>
      </w:r>
      <w:r w:rsidR="00FE5C4B">
        <w:rPr>
          <w:rFonts w:hint="eastAsia"/>
          <w:sz w:val="24"/>
        </w:rPr>
        <w:t>和</w:t>
      </w:r>
      <w:r w:rsidR="00B003D7" w:rsidRPr="005965BB">
        <w:rPr>
          <w:rFonts w:hint="eastAsia"/>
          <w:sz w:val="24"/>
        </w:rPr>
        <w:t>《</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年定期开放混合型证券投资基金</w:t>
      </w:r>
      <w:r w:rsidR="00B003D7" w:rsidRPr="005965BB">
        <w:rPr>
          <w:rFonts w:hint="eastAsia"/>
          <w:sz w:val="24"/>
        </w:rPr>
        <w:t>基金合同》（以下</w:t>
      </w:r>
      <w:r w:rsidR="00482C5B">
        <w:rPr>
          <w:rFonts w:hint="eastAsia"/>
          <w:sz w:val="24"/>
        </w:rPr>
        <w:t>简</w:t>
      </w:r>
      <w:r w:rsidR="00B003D7" w:rsidRPr="005965BB">
        <w:rPr>
          <w:rFonts w:hint="eastAsia"/>
          <w:sz w:val="24"/>
        </w:rPr>
        <w:t>称《基金合同》）的有关规定，</w:t>
      </w:r>
      <w:r w:rsidR="005E53B3" w:rsidRPr="005E53B3">
        <w:rPr>
          <w:rFonts w:hint="eastAsia"/>
          <w:sz w:val="24"/>
        </w:rPr>
        <w:t>基金管理人上海东方证券资产管理有限公司（以下简称</w:t>
      </w:r>
      <w:r w:rsidR="00F73B26">
        <w:rPr>
          <w:rFonts w:hint="eastAsia"/>
          <w:sz w:val="24"/>
        </w:rPr>
        <w:t>“</w:t>
      </w:r>
      <w:r w:rsidR="00F73B26" w:rsidRPr="005E53B3">
        <w:rPr>
          <w:rFonts w:hint="eastAsia"/>
          <w:sz w:val="24"/>
        </w:rPr>
        <w:t>基金管理人</w:t>
      </w:r>
      <w:r w:rsidR="00F73B26">
        <w:rPr>
          <w:rFonts w:hint="eastAsia"/>
          <w:sz w:val="24"/>
        </w:rPr>
        <w:t>”</w:t>
      </w:r>
      <w:r w:rsidR="005E53B3" w:rsidRPr="005E53B3">
        <w:rPr>
          <w:rFonts w:hint="eastAsia"/>
          <w:sz w:val="24"/>
        </w:rPr>
        <w:t>）经与本基金</w:t>
      </w:r>
      <w:r w:rsidR="005F48AD">
        <w:rPr>
          <w:rFonts w:hint="eastAsia"/>
          <w:sz w:val="24"/>
        </w:rPr>
        <w:t>基金</w:t>
      </w:r>
      <w:r w:rsidR="005E53B3" w:rsidRPr="005E53B3">
        <w:rPr>
          <w:rFonts w:hint="eastAsia"/>
          <w:sz w:val="24"/>
        </w:rPr>
        <w:t>托管人</w:t>
      </w:r>
      <w:r w:rsidR="002269A7">
        <w:rPr>
          <w:rFonts w:hint="eastAsia"/>
          <w:sz w:val="24"/>
        </w:rPr>
        <w:t>招商</w:t>
      </w:r>
      <w:r w:rsidR="00FD4CAB">
        <w:rPr>
          <w:rFonts w:hint="eastAsia"/>
          <w:sz w:val="24"/>
        </w:rPr>
        <w:t>银行股份有限公司</w:t>
      </w:r>
      <w:r w:rsidR="005E53B3" w:rsidRPr="005E53B3">
        <w:rPr>
          <w:rFonts w:hint="eastAsia"/>
          <w:sz w:val="24"/>
        </w:rPr>
        <w:t>协商一致，拟对</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005E53B3" w:rsidRPr="005E53B3">
        <w:rPr>
          <w:rFonts w:hint="eastAsia"/>
          <w:sz w:val="24"/>
        </w:rPr>
        <w:t>实施转型，本基金的转型已经中国证监会变更注册，</w:t>
      </w:r>
      <w:r w:rsidR="003E34D1" w:rsidRPr="003E34D1">
        <w:rPr>
          <w:rFonts w:hint="eastAsia"/>
          <w:sz w:val="24"/>
        </w:rPr>
        <w:t>基金份额持有人大会决议自表决通过之日起生效，</w:t>
      </w:r>
      <w:r w:rsidR="005E53B3" w:rsidRPr="005E53B3">
        <w:rPr>
          <w:rFonts w:hint="eastAsia"/>
          <w:sz w:val="24"/>
        </w:rPr>
        <w:t>表决通过的决议需依法报中国证监会备案。</w:t>
      </w:r>
    </w:p>
    <w:p w:rsidR="00B003D7" w:rsidRDefault="00B003D7" w:rsidP="00B7172F">
      <w:pPr>
        <w:spacing w:line="360" w:lineRule="auto"/>
        <w:rPr>
          <w:rFonts w:ascii="宋体" w:cs="宋体"/>
          <w:kern w:val="0"/>
          <w:sz w:val="24"/>
          <w:szCs w:val="24"/>
        </w:rPr>
      </w:pPr>
    </w:p>
    <w:p w:rsidR="00384CC3" w:rsidRPr="00384CC3" w:rsidRDefault="00384CC3" w:rsidP="00384CC3">
      <w:pPr>
        <w:spacing w:line="540" w:lineRule="exact"/>
        <w:ind w:firstLineChars="200" w:firstLine="482"/>
        <w:outlineLvl w:val="1"/>
        <w:rPr>
          <w:b/>
          <w:sz w:val="24"/>
        </w:rPr>
      </w:pPr>
      <w:r w:rsidRPr="00384CC3">
        <w:rPr>
          <w:rFonts w:hint="eastAsia"/>
          <w:b/>
          <w:sz w:val="24"/>
        </w:rPr>
        <w:t>一、转型方案要点</w:t>
      </w:r>
    </w:p>
    <w:p w:rsidR="00384CC3" w:rsidRPr="00B60785" w:rsidRDefault="00384CC3" w:rsidP="00B60785">
      <w:pPr>
        <w:pStyle w:val="ae"/>
        <w:numPr>
          <w:ilvl w:val="0"/>
          <w:numId w:val="17"/>
        </w:numPr>
        <w:spacing w:line="540" w:lineRule="exact"/>
        <w:ind w:firstLine="480"/>
        <w:outlineLvl w:val="2"/>
        <w:rPr>
          <w:sz w:val="24"/>
        </w:rPr>
      </w:pPr>
      <w:r w:rsidRPr="00B60785">
        <w:rPr>
          <w:rFonts w:hint="eastAsia"/>
          <w:sz w:val="24"/>
        </w:rPr>
        <w:t>变更基金名称</w:t>
      </w:r>
    </w:p>
    <w:p w:rsidR="00384CC3" w:rsidRPr="00384CC3" w:rsidRDefault="00384CC3" w:rsidP="00384CC3">
      <w:pPr>
        <w:spacing w:line="540" w:lineRule="exact"/>
        <w:ind w:firstLineChars="200" w:firstLine="480"/>
        <w:rPr>
          <w:sz w:val="24"/>
        </w:rPr>
      </w:pPr>
      <w:r w:rsidRPr="00384CC3">
        <w:rPr>
          <w:rFonts w:hint="eastAsia"/>
          <w:sz w:val="24"/>
        </w:rPr>
        <w:t>基金名称由“</w:t>
      </w:r>
      <w:r w:rsidR="00A42367">
        <w:rPr>
          <w:rFonts w:hint="eastAsia"/>
          <w:sz w:val="24"/>
        </w:rPr>
        <w:t>东方红</w:t>
      </w:r>
      <w:r w:rsidR="00597A80">
        <w:rPr>
          <w:rFonts w:hint="eastAsia"/>
          <w:sz w:val="24"/>
        </w:rPr>
        <w:t>恒阳</w:t>
      </w:r>
      <w:r w:rsidR="00ED4487">
        <w:rPr>
          <w:rFonts w:hint="eastAsia"/>
          <w:sz w:val="24"/>
        </w:rPr>
        <w:t>五</w:t>
      </w:r>
      <w:r w:rsidR="00A42367">
        <w:rPr>
          <w:rFonts w:hint="eastAsia"/>
          <w:sz w:val="24"/>
        </w:rPr>
        <w:t>年定期开放混合型证券投资基金</w:t>
      </w:r>
      <w:r w:rsidRPr="00384CC3">
        <w:rPr>
          <w:rFonts w:hint="eastAsia"/>
          <w:sz w:val="24"/>
        </w:rPr>
        <w:t>”变更为“</w:t>
      </w:r>
      <w:r w:rsidR="00AC25BC">
        <w:rPr>
          <w:rFonts w:hint="eastAsia"/>
          <w:sz w:val="24"/>
        </w:rPr>
        <w:t>东方红</w:t>
      </w:r>
      <w:r w:rsidR="00597A80">
        <w:rPr>
          <w:rFonts w:hint="eastAsia"/>
          <w:sz w:val="24"/>
        </w:rPr>
        <w:t>恒阳</w:t>
      </w:r>
      <w:r w:rsidR="00ED4487">
        <w:rPr>
          <w:rFonts w:hint="eastAsia"/>
          <w:sz w:val="24"/>
        </w:rPr>
        <w:t>五</w:t>
      </w:r>
      <w:r w:rsidR="00AC25BC">
        <w:rPr>
          <w:rFonts w:hint="eastAsia"/>
          <w:sz w:val="24"/>
        </w:rPr>
        <w:t>年持有期混合型证券投资基金</w:t>
      </w:r>
      <w:r w:rsidRPr="00384CC3">
        <w:rPr>
          <w:rFonts w:hint="eastAsia"/>
          <w:sz w:val="24"/>
        </w:rPr>
        <w:t>”。</w:t>
      </w:r>
    </w:p>
    <w:p w:rsidR="00384CC3" w:rsidRPr="00384CC3" w:rsidRDefault="00384CC3" w:rsidP="00B60785">
      <w:pPr>
        <w:pStyle w:val="ae"/>
        <w:numPr>
          <w:ilvl w:val="0"/>
          <w:numId w:val="17"/>
        </w:numPr>
        <w:spacing w:line="540" w:lineRule="exact"/>
        <w:ind w:firstLine="480"/>
        <w:outlineLvl w:val="2"/>
        <w:rPr>
          <w:sz w:val="24"/>
        </w:rPr>
      </w:pPr>
      <w:r w:rsidRPr="00384CC3">
        <w:rPr>
          <w:rFonts w:hint="eastAsia"/>
          <w:sz w:val="24"/>
        </w:rPr>
        <w:t>变更基金的运作方式</w:t>
      </w:r>
    </w:p>
    <w:p w:rsidR="00384CC3" w:rsidRDefault="000857D8" w:rsidP="00B60785">
      <w:pPr>
        <w:spacing w:line="540" w:lineRule="exact"/>
        <w:ind w:firstLineChars="200" w:firstLine="480"/>
        <w:rPr>
          <w:sz w:val="24"/>
        </w:rPr>
      </w:pPr>
      <w:r w:rsidRPr="00B60785">
        <w:rPr>
          <w:rFonts w:hint="eastAsia"/>
          <w:sz w:val="24"/>
        </w:rPr>
        <w:t>由</w:t>
      </w:r>
      <w:r w:rsidR="000E3041">
        <w:rPr>
          <w:rFonts w:hint="eastAsia"/>
          <w:sz w:val="24"/>
        </w:rPr>
        <w:t>五</w:t>
      </w:r>
      <w:r w:rsidRPr="00B60785">
        <w:rPr>
          <w:rFonts w:hint="eastAsia"/>
          <w:sz w:val="24"/>
        </w:rPr>
        <w:t>年定期开放</w:t>
      </w:r>
      <w:r>
        <w:rPr>
          <w:rFonts w:hint="eastAsia"/>
          <w:sz w:val="24"/>
        </w:rPr>
        <w:t>变更为</w:t>
      </w:r>
      <w:r w:rsidR="00D819CB">
        <w:rPr>
          <w:rFonts w:hint="eastAsia"/>
          <w:sz w:val="24"/>
        </w:rPr>
        <w:t>设置</w:t>
      </w:r>
      <w:r w:rsidR="000E3041">
        <w:rPr>
          <w:rFonts w:hint="eastAsia"/>
          <w:sz w:val="24"/>
        </w:rPr>
        <w:t>五</w:t>
      </w:r>
      <w:r>
        <w:rPr>
          <w:rFonts w:hint="eastAsia"/>
          <w:sz w:val="24"/>
        </w:rPr>
        <w:t>年</w:t>
      </w:r>
      <w:r w:rsidR="003E34D1">
        <w:rPr>
          <w:rFonts w:hint="eastAsia"/>
          <w:sz w:val="24"/>
        </w:rPr>
        <w:t>锁定</w:t>
      </w:r>
      <w:r>
        <w:rPr>
          <w:rFonts w:hint="eastAsia"/>
          <w:sz w:val="24"/>
        </w:rPr>
        <w:t>持有期。变更后的运作方式为：</w:t>
      </w:r>
    </w:p>
    <w:p w:rsidR="000857D8" w:rsidRDefault="000857D8" w:rsidP="00B60785">
      <w:pPr>
        <w:spacing w:line="540" w:lineRule="exact"/>
        <w:ind w:firstLineChars="200" w:firstLine="480"/>
        <w:rPr>
          <w:sz w:val="24"/>
        </w:rPr>
      </w:pPr>
      <w:r>
        <w:rPr>
          <w:rFonts w:hint="eastAsia"/>
          <w:sz w:val="24"/>
        </w:rPr>
        <w:t>“</w:t>
      </w:r>
      <w:r w:rsidR="00DC63DB" w:rsidRPr="00DC63DB">
        <w:rPr>
          <w:rFonts w:hint="eastAsia"/>
          <w:sz w:val="24"/>
        </w:rPr>
        <w:t>除基金合同另有约定外，</w:t>
      </w:r>
      <w:r w:rsidRPr="000857D8">
        <w:rPr>
          <w:rFonts w:hint="eastAsia"/>
          <w:sz w:val="24"/>
        </w:rPr>
        <w:t>本基金对每份基金份额设置</w:t>
      </w:r>
      <w:r w:rsidR="000E3041">
        <w:rPr>
          <w:rFonts w:hint="eastAsia"/>
          <w:sz w:val="24"/>
        </w:rPr>
        <w:t>五</w:t>
      </w:r>
      <w:r w:rsidRPr="000857D8">
        <w:rPr>
          <w:rFonts w:hint="eastAsia"/>
          <w:sz w:val="24"/>
        </w:rPr>
        <w:t>年锁定持有期。锁定持有期指基金份额登记日（对基金合同生效前已经持有的份额而言，下同）、基金份额申购申请日（对基金合同生效后申购份额而言，下同）或基金份额转换转入</w:t>
      </w:r>
      <w:r w:rsidR="009A738D">
        <w:rPr>
          <w:rFonts w:hint="eastAsia"/>
          <w:sz w:val="24"/>
        </w:rPr>
        <w:t>申请</w:t>
      </w:r>
      <w:r w:rsidRPr="000857D8">
        <w:rPr>
          <w:rFonts w:hint="eastAsia"/>
          <w:sz w:val="24"/>
        </w:rPr>
        <w:t>日（对基金合同生效后转换转入份额而言，下同）起（即锁定持有期起始日），至基金份额登记日、基金份额申购申请日或基金份额转换转入申请日次</w:t>
      </w:r>
      <w:r w:rsidR="000E3041">
        <w:rPr>
          <w:rFonts w:hint="eastAsia"/>
          <w:sz w:val="24"/>
        </w:rPr>
        <w:t>五</w:t>
      </w:r>
      <w:r w:rsidRPr="000857D8">
        <w:rPr>
          <w:rFonts w:hint="eastAsia"/>
          <w:sz w:val="24"/>
        </w:rPr>
        <w:t>年的年度对日的前一日（即锁定持有期到期日）之间的区间。每份基金份额的锁定持有期结束后即进入开放持有期，开放持有期首日为锁定持有期起始日次</w:t>
      </w:r>
      <w:r w:rsidR="000E3041">
        <w:rPr>
          <w:rFonts w:hint="eastAsia"/>
          <w:sz w:val="24"/>
        </w:rPr>
        <w:t>五</w:t>
      </w:r>
      <w:r w:rsidRPr="000857D8">
        <w:rPr>
          <w:rFonts w:hint="eastAsia"/>
          <w:sz w:val="24"/>
        </w:rPr>
        <w:t>年的年度对日。每份基金份额在开放持有期的开放日可以办理赎回及转换转出业务。</w:t>
      </w:r>
      <w:r w:rsidRPr="00B60785">
        <w:rPr>
          <w:rFonts w:hint="eastAsia"/>
          <w:sz w:val="24"/>
        </w:rPr>
        <w:t>”</w:t>
      </w:r>
    </w:p>
    <w:p w:rsidR="00994E0D" w:rsidRDefault="00994E0D" w:rsidP="00B60785">
      <w:pPr>
        <w:spacing w:line="540" w:lineRule="exact"/>
        <w:ind w:firstLineChars="200" w:firstLine="480"/>
        <w:rPr>
          <w:sz w:val="24"/>
        </w:rPr>
      </w:pPr>
      <w:r>
        <w:rPr>
          <w:rFonts w:hint="eastAsia"/>
          <w:sz w:val="24"/>
        </w:rPr>
        <w:t>相应删除《基金合同》中有关封闭期、开放期的内容，增加有关持有期的内容。</w:t>
      </w:r>
    </w:p>
    <w:p w:rsidR="000857D8" w:rsidRDefault="000857D8" w:rsidP="00B60785">
      <w:pPr>
        <w:pStyle w:val="ae"/>
        <w:numPr>
          <w:ilvl w:val="0"/>
          <w:numId w:val="17"/>
        </w:numPr>
        <w:spacing w:line="540" w:lineRule="exact"/>
        <w:ind w:firstLine="480"/>
        <w:outlineLvl w:val="2"/>
        <w:rPr>
          <w:sz w:val="24"/>
        </w:rPr>
      </w:pPr>
      <w:r w:rsidRPr="000857D8">
        <w:rPr>
          <w:rFonts w:hint="eastAsia"/>
          <w:sz w:val="24"/>
        </w:rPr>
        <w:t>终止</w:t>
      </w:r>
      <w:r w:rsidR="00D0195B">
        <w:rPr>
          <w:rFonts w:hint="eastAsia"/>
          <w:sz w:val="24"/>
        </w:rPr>
        <w:t>本</w:t>
      </w:r>
      <w:r w:rsidRPr="000857D8">
        <w:rPr>
          <w:rFonts w:hint="eastAsia"/>
          <w:sz w:val="24"/>
        </w:rPr>
        <w:t>基金的上市交易及场内申购赎回安排。相应删去《基金合</w:t>
      </w:r>
      <w:r w:rsidRPr="00B60785">
        <w:rPr>
          <w:rFonts w:hint="eastAsia"/>
          <w:sz w:val="24"/>
        </w:rPr>
        <w:t>同》中基金上市交易、场内申购赎回相关的内容。</w:t>
      </w:r>
    </w:p>
    <w:p w:rsidR="000E49E7" w:rsidRDefault="000857D8" w:rsidP="00B60785">
      <w:pPr>
        <w:pStyle w:val="ae"/>
        <w:numPr>
          <w:ilvl w:val="0"/>
          <w:numId w:val="17"/>
        </w:numPr>
        <w:spacing w:line="540" w:lineRule="exact"/>
        <w:ind w:firstLine="480"/>
        <w:outlineLvl w:val="2"/>
        <w:rPr>
          <w:sz w:val="24"/>
        </w:rPr>
      </w:pPr>
      <w:r w:rsidRPr="000857D8">
        <w:rPr>
          <w:rFonts w:hint="eastAsia"/>
          <w:sz w:val="24"/>
        </w:rPr>
        <w:t>变更投资范围</w:t>
      </w:r>
    </w:p>
    <w:p w:rsidR="000857D8" w:rsidRPr="003D131F" w:rsidRDefault="003D131F" w:rsidP="00910C14">
      <w:pPr>
        <w:pStyle w:val="ae"/>
        <w:spacing w:line="540" w:lineRule="exact"/>
        <w:ind w:firstLineChars="0"/>
        <w:rPr>
          <w:sz w:val="24"/>
        </w:rPr>
      </w:pPr>
      <w:r w:rsidRPr="003D131F">
        <w:rPr>
          <w:rFonts w:hint="eastAsia"/>
          <w:sz w:val="24"/>
        </w:rPr>
        <w:t>新增“超短期融资券、可分离交易可转债、银行存款、同业存单、股票期权、信用衍生品”且可根据法律法规参与融资</w:t>
      </w:r>
      <w:r>
        <w:rPr>
          <w:rFonts w:hint="eastAsia"/>
          <w:sz w:val="24"/>
        </w:rPr>
        <w:t>业务，删去“中小板、分离交易可转债的纯债部分、转融通出借业务”</w:t>
      </w:r>
      <w:r w:rsidR="000857D8" w:rsidRPr="003D131F">
        <w:rPr>
          <w:rFonts w:hint="eastAsia"/>
          <w:sz w:val="24"/>
        </w:rPr>
        <w:t>。变更后的投资范围为：</w:t>
      </w:r>
    </w:p>
    <w:p w:rsidR="000857D8" w:rsidRDefault="003E34D1" w:rsidP="00B60785">
      <w:pPr>
        <w:spacing w:line="540" w:lineRule="exact"/>
        <w:ind w:firstLineChars="200" w:firstLine="480"/>
        <w:rPr>
          <w:sz w:val="24"/>
        </w:rPr>
      </w:pPr>
      <w:r>
        <w:rPr>
          <w:rFonts w:hint="eastAsia"/>
          <w:sz w:val="24"/>
        </w:rPr>
        <w:t>“</w:t>
      </w:r>
      <w:r w:rsidR="00766DC3" w:rsidRPr="00766DC3">
        <w:rPr>
          <w:rFonts w:hint="eastAsia"/>
          <w:sz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00062ED8">
        <w:rPr>
          <w:rFonts w:hint="eastAsia"/>
          <w:sz w:val="24"/>
        </w:rPr>
        <w:t>公开发行的</w:t>
      </w:r>
      <w:r w:rsidR="00766DC3" w:rsidRPr="00766DC3">
        <w:rPr>
          <w:rFonts w:hint="eastAsia"/>
          <w:sz w:val="24"/>
        </w:rPr>
        <w:t>次级债</w:t>
      </w:r>
      <w:r w:rsidR="00062ED8">
        <w:rPr>
          <w:rFonts w:hint="eastAsia"/>
          <w:sz w:val="24"/>
        </w:rPr>
        <w:t>券</w:t>
      </w:r>
      <w:r w:rsidR="00766DC3" w:rsidRPr="00766DC3">
        <w:rPr>
          <w:rFonts w:hint="eastAsia"/>
          <w:sz w:val="24"/>
        </w:rPr>
        <w:t>、中央银行票据、企业债、公司债、中期票据、短期融资券、超短期融资券、可转换债券、可分离交易可转债、可交换债券）、债券回购、银行存款、同业存单、货币市场工具、资产支持证券、股指期货、国债期货、股票期权</w:t>
      </w:r>
      <w:r w:rsidR="00012555">
        <w:rPr>
          <w:rFonts w:hint="eastAsia"/>
          <w:sz w:val="24"/>
        </w:rPr>
        <w:t>、信用衍生品</w:t>
      </w:r>
      <w:r w:rsidR="00766DC3" w:rsidRPr="00766DC3">
        <w:rPr>
          <w:rFonts w:hint="eastAsia"/>
          <w:sz w:val="24"/>
        </w:rPr>
        <w:t>以及经中国证监会允许基金投资的其他金融工具（但须符合中国证监会的相关规定）。本基金可根据法律法规和基金合同的约定参与融资业务。</w:t>
      </w:r>
      <w:r>
        <w:rPr>
          <w:rFonts w:hint="eastAsia"/>
          <w:sz w:val="24"/>
        </w:rPr>
        <w:t>”</w:t>
      </w:r>
    </w:p>
    <w:p w:rsidR="000E49E7" w:rsidRDefault="00766DC3" w:rsidP="00B60785">
      <w:pPr>
        <w:pStyle w:val="ae"/>
        <w:numPr>
          <w:ilvl w:val="0"/>
          <w:numId w:val="17"/>
        </w:numPr>
        <w:spacing w:line="540" w:lineRule="exact"/>
        <w:ind w:firstLine="480"/>
        <w:outlineLvl w:val="2"/>
        <w:rPr>
          <w:sz w:val="24"/>
        </w:rPr>
      </w:pPr>
      <w:r>
        <w:rPr>
          <w:rFonts w:hint="eastAsia"/>
          <w:sz w:val="24"/>
        </w:rPr>
        <w:t>变更投资比例</w:t>
      </w:r>
    </w:p>
    <w:p w:rsidR="00766DC3" w:rsidRPr="00B60785" w:rsidRDefault="00766DC3" w:rsidP="00B60785">
      <w:pPr>
        <w:spacing w:line="540" w:lineRule="exact"/>
        <w:ind w:firstLineChars="200" w:firstLine="480"/>
        <w:rPr>
          <w:sz w:val="24"/>
        </w:rPr>
      </w:pPr>
      <w:r w:rsidRPr="00766DC3">
        <w:rPr>
          <w:rFonts w:hint="eastAsia"/>
          <w:sz w:val="24"/>
        </w:rPr>
        <w:t>由于本基金运作方式的变更，基金投资比例相应变更为</w:t>
      </w:r>
      <w:r>
        <w:rPr>
          <w:rFonts w:hint="eastAsia"/>
          <w:sz w:val="24"/>
        </w:rPr>
        <w:t>：“</w:t>
      </w:r>
      <w:r w:rsidRPr="00766DC3">
        <w:rPr>
          <w:rFonts w:hint="eastAsia"/>
          <w:sz w:val="24"/>
        </w:rPr>
        <w:t>本基金投资于股票资产（含存托凭证）的比例为基金资产的</w:t>
      </w:r>
      <w:r w:rsidRPr="00766DC3">
        <w:rPr>
          <w:rFonts w:hint="eastAsia"/>
          <w:sz w:val="24"/>
        </w:rPr>
        <w:t>60%-95%</w:t>
      </w:r>
      <w:r w:rsidRPr="00766DC3">
        <w:rPr>
          <w:rFonts w:hint="eastAsia"/>
          <w:sz w:val="24"/>
        </w:rPr>
        <w:t>（其中投资于港股通标的股票的比例占股票资产的</w:t>
      </w:r>
      <w:r w:rsidRPr="00766DC3">
        <w:rPr>
          <w:rFonts w:hint="eastAsia"/>
          <w:sz w:val="24"/>
        </w:rPr>
        <w:t>0%-50%</w:t>
      </w:r>
      <w:r w:rsidRPr="00766DC3">
        <w:rPr>
          <w:rFonts w:hint="eastAsia"/>
          <w:sz w:val="24"/>
        </w:rPr>
        <w:t>）。</w:t>
      </w:r>
      <w:r w:rsidRPr="00B60785">
        <w:rPr>
          <w:rFonts w:hint="eastAsia"/>
          <w:sz w:val="24"/>
        </w:rPr>
        <w:t>本基金每个交易日日终在扣除股指期货、国债期货及股票期权合约需缴纳的交易保证金后，保持现金或者到期日在一年以内的政府债券投资比例合计不低于基金资产净值的</w:t>
      </w:r>
      <w:r w:rsidRPr="00B60785">
        <w:rPr>
          <w:rFonts w:hint="eastAsia"/>
          <w:sz w:val="24"/>
        </w:rPr>
        <w:t>5%</w:t>
      </w:r>
      <w:r w:rsidRPr="00B60785">
        <w:rPr>
          <w:rFonts w:hint="eastAsia"/>
          <w:sz w:val="24"/>
        </w:rPr>
        <w:t>。前述现金不包括结算备付金、存出保证金、应收申购款等。”</w:t>
      </w:r>
    </w:p>
    <w:p w:rsidR="000E49E7" w:rsidRDefault="00766DC3" w:rsidP="00B60785">
      <w:pPr>
        <w:pStyle w:val="ae"/>
        <w:numPr>
          <w:ilvl w:val="0"/>
          <w:numId w:val="17"/>
        </w:numPr>
        <w:spacing w:line="540" w:lineRule="exact"/>
        <w:ind w:firstLine="480"/>
        <w:outlineLvl w:val="2"/>
        <w:rPr>
          <w:sz w:val="24"/>
        </w:rPr>
      </w:pPr>
      <w:r w:rsidRPr="00766DC3">
        <w:rPr>
          <w:rFonts w:hint="eastAsia"/>
          <w:sz w:val="24"/>
        </w:rPr>
        <w:t>变更投资策略</w:t>
      </w:r>
    </w:p>
    <w:p w:rsidR="00766DC3" w:rsidRDefault="00766DC3" w:rsidP="00B60785">
      <w:pPr>
        <w:spacing w:line="540" w:lineRule="exact"/>
        <w:ind w:firstLineChars="200" w:firstLine="480"/>
        <w:rPr>
          <w:sz w:val="24"/>
        </w:rPr>
      </w:pPr>
      <w:r w:rsidRPr="00766DC3">
        <w:rPr>
          <w:rFonts w:hint="eastAsia"/>
          <w:sz w:val="24"/>
        </w:rPr>
        <w:t>根据本基金运作方式和投资范围的变更，变更完善部分可投资标的的投资策略。变更后的投资策略包括：资产配置、</w:t>
      </w:r>
      <w:r w:rsidR="000E49E7">
        <w:rPr>
          <w:rFonts w:hint="eastAsia"/>
          <w:sz w:val="24"/>
        </w:rPr>
        <w:t>股票</w:t>
      </w:r>
      <w:r w:rsidR="00AD2202">
        <w:rPr>
          <w:rFonts w:hint="eastAsia"/>
          <w:sz w:val="24"/>
        </w:rPr>
        <w:t>投资策略</w:t>
      </w:r>
      <w:bookmarkStart w:id="0" w:name="_GoBack"/>
      <w:bookmarkEnd w:id="0"/>
      <w:r w:rsidR="000E49E7">
        <w:rPr>
          <w:rFonts w:hint="eastAsia"/>
          <w:sz w:val="24"/>
        </w:rPr>
        <w:t>、</w:t>
      </w:r>
      <w:r w:rsidR="000E49E7" w:rsidRPr="000E49E7">
        <w:rPr>
          <w:rFonts w:hint="eastAsia"/>
          <w:sz w:val="24"/>
        </w:rPr>
        <w:t>可转换债券、可分离交易可转债和可交换债券的投资策略</w:t>
      </w:r>
      <w:r w:rsidR="000E49E7">
        <w:rPr>
          <w:rFonts w:hint="eastAsia"/>
          <w:sz w:val="24"/>
        </w:rPr>
        <w:t>、</w:t>
      </w:r>
      <w:r w:rsidR="000E49E7" w:rsidRPr="000E49E7">
        <w:rPr>
          <w:rFonts w:hint="eastAsia"/>
          <w:sz w:val="24"/>
        </w:rPr>
        <w:t>其他固定收益类证券投资策略</w:t>
      </w:r>
      <w:r w:rsidR="000E49E7">
        <w:rPr>
          <w:rFonts w:hint="eastAsia"/>
          <w:sz w:val="24"/>
        </w:rPr>
        <w:t>、</w:t>
      </w:r>
      <w:r w:rsidR="000E49E7" w:rsidRPr="000E49E7">
        <w:rPr>
          <w:rFonts w:hint="eastAsia"/>
          <w:sz w:val="24"/>
        </w:rPr>
        <w:t>资产支持证券投资策略</w:t>
      </w:r>
      <w:r w:rsidR="000E49E7">
        <w:rPr>
          <w:rFonts w:hint="eastAsia"/>
          <w:sz w:val="24"/>
        </w:rPr>
        <w:t>、</w:t>
      </w:r>
      <w:r w:rsidR="000E49E7" w:rsidRPr="000E49E7">
        <w:rPr>
          <w:rFonts w:hint="eastAsia"/>
          <w:sz w:val="24"/>
        </w:rPr>
        <w:t>股指期货投资策略</w:t>
      </w:r>
      <w:r w:rsidR="000E49E7">
        <w:rPr>
          <w:rFonts w:hint="eastAsia"/>
          <w:sz w:val="24"/>
        </w:rPr>
        <w:t>、</w:t>
      </w:r>
      <w:r w:rsidR="000E49E7" w:rsidRPr="000E49E7">
        <w:rPr>
          <w:rFonts w:hint="eastAsia"/>
          <w:sz w:val="24"/>
        </w:rPr>
        <w:t>国债期货投资策略</w:t>
      </w:r>
      <w:r w:rsidR="000E49E7">
        <w:rPr>
          <w:rFonts w:hint="eastAsia"/>
          <w:sz w:val="24"/>
        </w:rPr>
        <w:t>、</w:t>
      </w:r>
      <w:r w:rsidR="000E49E7" w:rsidRPr="000E49E7">
        <w:rPr>
          <w:rFonts w:hint="eastAsia"/>
          <w:sz w:val="24"/>
        </w:rPr>
        <w:t>股票期权投资策略</w:t>
      </w:r>
      <w:r w:rsidR="000E49E7">
        <w:rPr>
          <w:rFonts w:hint="eastAsia"/>
          <w:sz w:val="24"/>
        </w:rPr>
        <w:t>、</w:t>
      </w:r>
      <w:r w:rsidR="00814A10" w:rsidRPr="00814A10">
        <w:rPr>
          <w:rFonts w:hint="eastAsia"/>
          <w:sz w:val="24"/>
        </w:rPr>
        <w:t>信用衍生品投资策略、</w:t>
      </w:r>
      <w:r w:rsidR="007D2078" w:rsidRPr="002213D1">
        <w:rPr>
          <w:rFonts w:hint="eastAsia"/>
          <w:sz w:val="24"/>
        </w:rPr>
        <w:t>参与融资业务</w:t>
      </w:r>
      <w:r w:rsidR="000E49E7" w:rsidRPr="000E49E7">
        <w:rPr>
          <w:rFonts w:hint="eastAsia"/>
          <w:sz w:val="24"/>
        </w:rPr>
        <w:t>策略</w:t>
      </w:r>
      <w:r w:rsidRPr="00766DC3">
        <w:rPr>
          <w:rFonts w:hint="eastAsia"/>
          <w:sz w:val="24"/>
        </w:rPr>
        <w:t>。</w:t>
      </w:r>
    </w:p>
    <w:p w:rsidR="000E49E7" w:rsidRDefault="000E49E7" w:rsidP="00B60785">
      <w:pPr>
        <w:pStyle w:val="ae"/>
        <w:numPr>
          <w:ilvl w:val="0"/>
          <w:numId w:val="17"/>
        </w:numPr>
        <w:spacing w:line="540" w:lineRule="exact"/>
        <w:ind w:firstLine="480"/>
        <w:outlineLvl w:val="2"/>
        <w:rPr>
          <w:sz w:val="24"/>
        </w:rPr>
      </w:pPr>
      <w:r>
        <w:rPr>
          <w:rFonts w:hint="eastAsia"/>
          <w:sz w:val="24"/>
        </w:rPr>
        <w:t>调整投资限制</w:t>
      </w:r>
    </w:p>
    <w:p w:rsidR="00766DC3" w:rsidRDefault="000E49E7" w:rsidP="00B60785">
      <w:pPr>
        <w:spacing w:line="540" w:lineRule="exact"/>
        <w:ind w:firstLineChars="200" w:firstLine="480"/>
        <w:rPr>
          <w:sz w:val="24"/>
        </w:rPr>
      </w:pPr>
      <w:r w:rsidRPr="000E49E7">
        <w:rPr>
          <w:rFonts w:hint="eastAsia"/>
          <w:sz w:val="24"/>
        </w:rPr>
        <w:t>根据转型后的产品特点及可投资标的，基金投资限制条款相应调整为：</w:t>
      </w:r>
    </w:p>
    <w:p w:rsidR="008D11DB" w:rsidRPr="008D11DB" w:rsidRDefault="000E49E7" w:rsidP="008D11DB">
      <w:pPr>
        <w:spacing w:line="540" w:lineRule="exact"/>
        <w:ind w:firstLineChars="200" w:firstLine="480"/>
        <w:rPr>
          <w:sz w:val="24"/>
        </w:rPr>
      </w:pPr>
      <w:r>
        <w:rPr>
          <w:rFonts w:hint="eastAsia"/>
          <w:sz w:val="24"/>
        </w:rPr>
        <w:t>“</w:t>
      </w:r>
      <w:r w:rsidR="008D11DB" w:rsidRPr="008D11DB">
        <w:rPr>
          <w:rFonts w:hint="eastAsia"/>
          <w:sz w:val="24"/>
        </w:rPr>
        <w:t>（</w:t>
      </w:r>
      <w:r w:rsidR="008D11DB" w:rsidRPr="008D11DB">
        <w:rPr>
          <w:rFonts w:hint="eastAsia"/>
          <w:sz w:val="24"/>
        </w:rPr>
        <w:t>1</w:t>
      </w:r>
      <w:r w:rsidR="008D11DB" w:rsidRPr="008D11DB">
        <w:rPr>
          <w:rFonts w:hint="eastAsia"/>
          <w:sz w:val="24"/>
        </w:rPr>
        <w:t>）本基金投资于股票资产（含存托凭证）的比例为基金资产的</w:t>
      </w:r>
      <w:r w:rsidR="008D11DB" w:rsidRPr="008D11DB">
        <w:rPr>
          <w:rFonts w:hint="eastAsia"/>
          <w:sz w:val="24"/>
        </w:rPr>
        <w:t>60%-95%</w:t>
      </w:r>
      <w:r w:rsidR="008D11DB" w:rsidRPr="008D11DB">
        <w:rPr>
          <w:rFonts w:hint="eastAsia"/>
          <w:sz w:val="24"/>
        </w:rPr>
        <w:t>（其中投资于港股通标的股票的比例占股票资产的</w:t>
      </w:r>
      <w:r w:rsidR="008D11DB" w:rsidRPr="008D11DB">
        <w:rPr>
          <w:rFonts w:hint="eastAsia"/>
          <w:sz w:val="24"/>
        </w:rPr>
        <w:t>0%-50%</w:t>
      </w:r>
      <w:r w:rsidR="008D11DB" w:rsidRPr="008D11DB">
        <w:rPr>
          <w:rFonts w:hint="eastAsia"/>
          <w:sz w:val="24"/>
        </w:rPr>
        <w:t>）</w:t>
      </w:r>
      <w:r w:rsidR="008D11DB" w:rsidRPr="008D11DB">
        <w:rPr>
          <w:sz w:val="24"/>
        </w:rPr>
        <w:t>；</w:t>
      </w:r>
      <w:r w:rsidR="008D11DB" w:rsidRPr="008D11DB">
        <w:rPr>
          <w:rFonts w:hint="eastAsia"/>
          <w:sz w:val="24"/>
        </w:rPr>
        <w:t xml:space="preserve"> </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2</w:t>
      </w:r>
      <w:r w:rsidRPr="008D11DB">
        <w:rPr>
          <w:rFonts w:hint="eastAsia"/>
          <w:sz w:val="24"/>
        </w:rPr>
        <w:t>）本基金每个交易日日终在扣除股指期货、国债期货和股票期权合约需缴纳的交易保证金后，保持不低于基金资产净值</w:t>
      </w:r>
      <w:r w:rsidRPr="008D11DB">
        <w:rPr>
          <w:rFonts w:hint="eastAsia"/>
          <w:sz w:val="24"/>
        </w:rPr>
        <w:t>5%</w:t>
      </w:r>
      <w:r w:rsidRPr="008D11DB">
        <w:rPr>
          <w:rFonts w:hint="eastAsia"/>
          <w:sz w:val="24"/>
        </w:rPr>
        <w:t>的现金或者到期日在一年以内的政府债券。前述现金不包括结算备付金、存出保证金、应收申购款等；</w:t>
      </w:r>
    </w:p>
    <w:p w:rsidR="008D11DB" w:rsidRPr="008D11DB" w:rsidRDefault="008D11DB" w:rsidP="008D11DB">
      <w:pPr>
        <w:spacing w:line="540" w:lineRule="exact"/>
        <w:ind w:firstLineChars="200" w:firstLine="480"/>
        <w:rPr>
          <w:sz w:val="24"/>
        </w:rPr>
      </w:pPr>
      <w:r w:rsidRPr="008D11DB">
        <w:rPr>
          <w:sz w:val="24"/>
        </w:rPr>
        <w:t>（</w:t>
      </w:r>
      <w:r w:rsidRPr="008D11DB">
        <w:rPr>
          <w:sz w:val="24"/>
        </w:rPr>
        <w:t>3</w:t>
      </w:r>
      <w:r w:rsidRPr="008D11DB">
        <w:rPr>
          <w:sz w:val="24"/>
        </w:rPr>
        <w:t>）基金财产参与股票发行申购，本基金所申报的金额不超过本基金的总资产，本基金所申报的股票数量不超过拟发行股票公司本次发行股票的总量；</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4</w:t>
      </w:r>
      <w:r w:rsidRPr="008D11DB">
        <w:rPr>
          <w:sz w:val="24"/>
        </w:rPr>
        <w:t>）本基金持有一家</w:t>
      </w:r>
      <w:r w:rsidRPr="008D11DB">
        <w:rPr>
          <w:rFonts w:hint="eastAsia"/>
          <w:sz w:val="24"/>
        </w:rPr>
        <w:t>公司发行</w:t>
      </w:r>
      <w:r w:rsidRPr="008D11DB">
        <w:rPr>
          <w:sz w:val="24"/>
        </w:rPr>
        <w:t>的证券，其市值</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5</w:t>
      </w:r>
      <w:r w:rsidRPr="008D11DB">
        <w:rPr>
          <w:sz w:val="24"/>
        </w:rPr>
        <w:t>）本基金管理人管理的全部基金持有一家公司发行的证券</w:t>
      </w:r>
      <w:r w:rsidRPr="008D11DB">
        <w:rPr>
          <w:rFonts w:hint="eastAsia"/>
          <w:sz w:val="24"/>
        </w:rPr>
        <w:t>（同一家公司在内地和香港同时上市的</w:t>
      </w:r>
      <w:r w:rsidRPr="008D11DB">
        <w:rPr>
          <w:rFonts w:hint="eastAsia"/>
          <w:sz w:val="24"/>
        </w:rPr>
        <w:t>A+H</w:t>
      </w:r>
      <w:r w:rsidRPr="008D11DB">
        <w:rPr>
          <w:rFonts w:hint="eastAsia"/>
          <w:sz w:val="24"/>
        </w:rPr>
        <w:t>股合计计算），</w:t>
      </w:r>
      <w:r w:rsidRPr="008D11DB">
        <w:rPr>
          <w:sz w:val="24"/>
        </w:rPr>
        <w:t>不超过该证券的</w:t>
      </w:r>
      <w:r w:rsidRPr="008D11DB">
        <w:rPr>
          <w:sz w:val="24"/>
        </w:rPr>
        <w:t>10</w:t>
      </w:r>
      <w:r w:rsidRPr="008D11DB">
        <w:rPr>
          <w:sz w:val="24"/>
        </w:rPr>
        <w:t>％</w:t>
      </w:r>
      <w:r w:rsidRPr="008D11DB">
        <w:rPr>
          <w:rFonts w:hint="eastAsia"/>
          <w:sz w:val="24"/>
        </w:rPr>
        <w:t>，完全按照有关指数的构成比例进行证券投资的基金品种可以不受此条款规定的比例限制</w:t>
      </w:r>
      <w:r w:rsidRPr="008D11DB">
        <w:rPr>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6</w:t>
      </w:r>
      <w:r w:rsidRPr="008D11DB">
        <w:rPr>
          <w:rFonts w:hint="eastAsia"/>
          <w:sz w:val="24"/>
        </w:rPr>
        <w:t>）本基金管理人管理的全部开放式基金</w:t>
      </w:r>
      <w:r w:rsidRPr="008D11DB">
        <w:rPr>
          <w:rFonts w:hint="eastAsia"/>
          <w:bCs/>
          <w:sz w:val="24"/>
        </w:rPr>
        <w:t>（</w:t>
      </w:r>
      <w:r w:rsidRPr="008D11DB">
        <w:rPr>
          <w:bCs/>
          <w:sz w:val="24"/>
        </w:rPr>
        <w:t>包括开放式基金以及处于开放期的定期开放基金</w:t>
      </w:r>
      <w:r w:rsidRPr="008D11DB">
        <w:rPr>
          <w:rFonts w:hint="eastAsia"/>
          <w:bCs/>
          <w:sz w:val="24"/>
        </w:rPr>
        <w:t>）</w:t>
      </w:r>
      <w:r w:rsidRPr="008D11DB">
        <w:rPr>
          <w:rFonts w:hint="eastAsia"/>
          <w:sz w:val="24"/>
        </w:rPr>
        <w:t>持有一家上市公司发行的可流通股票，不得超过该上市公司可流通股票的</w:t>
      </w:r>
      <w:r w:rsidRPr="008D11DB">
        <w:rPr>
          <w:rFonts w:hint="eastAsia"/>
          <w:sz w:val="24"/>
        </w:rPr>
        <w:t>15%</w:t>
      </w:r>
      <w:r w:rsidRPr="008D11DB">
        <w:rPr>
          <w:rFonts w:hint="eastAsia"/>
          <w:sz w:val="24"/>
        </w:rPr>
        <w:t>；本基金管理人管理的全部投资组合持有一家上市公司发行的可流通股票，不得超过该上市公司可流通股票的</w:t>
      </w:r>
      <w:r w:rsidRPr="008D11DB">
        <w:rPr>
          <w:rFonts w:hint="eastAsia"/>
          <w:sz w:val="24"/>
        </w:rPr>
        <w:t>30%</w:t>
      </w:r>
      <w:r w:rsidRPr="008D11DB">
        <w:rPr>
          <w:rFonts w:hint="eastAsia"/>
          <w:sz w:val="24"/>
        </w:rPr>
        <w:t>。完全按照有关指数的构成比例进行证券投资的开放式基金以及中国证监会认定的特殊投资组合可不受前述比例限制；</w:t>
      </w:r>
    </w:p>
    <w:p w:rsidR="008D11DB" w:rsidRPr="008D11DB" w:rsidRDefault="008D11DB" w:rsidP="008D11DB">
      <w:pPr>
        <w:spacing w:line="540" w:lineRule="exact"/>
        <w:ind w:firstLineChars="200" w:firstLine="480"/>
        <w:rPr>
          <w:sz w:val="24"/>
        </w:rPr>
      </w:pPr>
      <w:r w:rsidRPr="008D11DB">
        <w:rPr>
          <w:sz w:val="24"/>
        </w:rPr>
        <w:t>（</w:t>
      </w:r>
      <w:r w:rsidRPr="008D11DB">
        <w:rPr>
          <w:sz w:val="24"/>
        </w:rPr>
        <w:t>7</w:t>
      </w:r>
      <w:r w:rsidRPr="008D11DB">
        <w:rPr>
          <w:sz w:val="24"/>
        </w:rPr>
        <w:t>）本基金投资于同一原始权益人的各类资产支持证券的比例，不得超过基金资产净值的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8</w:t>
      </w:r>
      <w:r w:rsidRPr="008D11DB">
        <w:rPr>
          <w:sz w:val="24"/>
        </w:rPr>
        <w:t>）本基金持有的全部资产支持证券，其市值不得超过基金资产净值的</w:t>
      </w:r>
      <w:r w:rsidRPr="008D11DB">
        <w:rPr>
          <w:sz w:val="24"/>
        </w:rPr>
        <w:t>20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sz w:val="24"/>
        </w:rPr>
        <w:t>9</w:t>
      </w:r>
      <w:r w:rsidRPr="008D11DB">
        <w:rPr>
          <w:sz w:val="24"/>
        </w:rPr>
        <w:t>）本基金持有的同一</w:t>
      </w:r>
      <w:r w:rsidRPr="008D11DB">
        <w:rPr>
          <w:sz w:val="24"/>
        </w:rPr>
        <w:t>(</w:t>
      </w:r>
      <w:r w:rsidRPr="008D11DB">
        <w:rPr>
          <w:sz w:val="24"/>
        </w:rPr>
        <w:t>指同一信用级别</w:t>
      </w:r>
      <w:r w:rsidRPr="008D11DB">
        <w:rPr>
          <w:sz w:val="24"/>
        </w:rPr>
        <w:t>)</w:t>
      </w:r>
      <w:r w:rsidRPr="008D11DB">
        <w:rPr>
          <w:sz w:val="24"/>
        </w:rPr>
        <w:t>资产支持证券的比例，不得超过该资产支持证券规模的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0</w:t>
      </w:r>
      <w:r w:rsidRPr="008D11DB">
        <w:rPr>
          <w:sz w:val="24"/>
        </w:rPr>
        <w:t>）本基金管理人管理的全部基金投资于同一原始权益人的各类资产支持证券，不得超过其各类资产支持证券合计规模的</w:t>
      </w:r>
      <w:r w:rsidRPr="008D11DB">
        <w:rPr>
          <w:sz w:val="24"/>
        </w:rPr>
        <w:t>10</w:t>
      </w:r>
      <w:r w:rsidRPr="008D11DB">
        <w:rPr>
          <w:sz w:val="24"/>
        </w:rPr>
        <w:t>％；</w:t>
      </w:r>
    </w:p>
    <w:p w:rsidR="008D11DB" w:rsidRPr="008D11DB" w:rsidRDefault="008D11DB" w:rsidP="008D11DB">
      <w:pPr>
        <w:spacing w:line="540" w:lineRule="exact"/>
        <w:ind w:firstLineChars="200" w:firstLine="480"/>
        <w:rPr>
          <w:sz w:val="24"/>
        </w:rPr>
      </w:pPr>
      <w:r w:rsidRPr="008D11DB">
        <w:rPr>
          <w:sz w:val="24"/>
        </w:rPr>
        <w:t>（</w:t>
      </w:r>
      <w:r w:rsidRPr="008D11DB">
        <w:rPr>
          <w:rFonts w:hint="eastAsia"/>
          <w:sz w:val="24"/>
        </w:rPr>
        <w:t>1</w:t>
      </w:r>
      <w:r w:rsidRPr="008D11DB">
        <w:rPr>
          <w:sz w:val="24"/>
        </w:rPr>
        <w:t>1</w:t>
      </w:r>
      <w:r w:rsidRPr="008D11DB">
        <w:rPr>
          <w:sz w:val="24"/>
        </w:rPr>
        <w:t>）本基金应投资于信用级别评级为</w:t>
      </w:r>
      <w:r w:rsidRPr="008D11DB">
        <w:rPr>
          <w:sz w:val="24"/>
        </w:rPr>
        <w:t>BBB</w:t>
      </w:r>
      <w:r w:rsidRPr="008D11DB">
        <w:rPr>
          <w:sz w:val="24"/>
        </w:rPr>
        <w:t>以上</w:t>
      </w:r>
      <w:r w:rsidRPr="008D11DB">
        <w:rPr>
          <w:sz w:val="24"/>
        </w:rPr>
        <w:t>(</w:t>
      </w:r>
      <w:r w:rsidRPr="008D11DB">
        <w:rPr>
          <w:sz w:val="24"/>
        </w:rPr>
        <w:t>含</w:t>
      </w:r>
      <w:r w:rsidRPr="008D11DB">
        <w:rPr>
          <w:sz w:val="24"/>
        </w:rPr>
        <w:t>BBB)</w:t>
      </w:r>
      <w:r w:rsidRPr="008D11DB">
        <w:rPr>
          <w:sz w:val="24"/>
        </w:rPr>
        <w:t>的资产支持证券。基金持有资产支持证券期间，如果其信用等级下降、不再符合投资标准，应在评级报告发布之日起</w:t>
      </w:r>
      <w:r w:rsidRPr="008D11DB">
        <w:rPr>
          <w:sz w:val="24"/>
        </w:rPr>
        <w:t>3</w:t>
      </w:r>
      <w:r w:rsidRPr="008D11DB">
        <w:rPr>
          <w:sz w:val="24"/>
        </w:rPr>
        <w:t>个月内予以全部卖出；</w:t>
      </w:r>
    </w:p>
    <w:p w:rsidR="008D11DB" w:rsidRPr="008D11DB" w:rsidRDefault="008D11DB" w:rsidP="008D11DB">
      <w:pPr>
        <w:spacing w:line="540" w:lineRule="exact"/>
        <w:ind w:firstLineChars="200" w:firstLine="480"/>
        <w:rPr>
          <w:sz w:val="24"/>
        </w:rPr>
      </w:pPr>
      <w:r w:rsidRPr="008D11DB">
        <w:rPr>
          <w:sz w:val="24"/>
        </w:rPr>
        <w:t>（</w:t>
      </w:r>
      <w:r w:rsidRPr="008D11DB">
        <w:rPr>
          <w:sz w:val="24"/>
        </w:rPr>
        <w:t>12</w:t>
      </w:r>
      <w:r w:rsidRPr="008D11DB">
        <w:rPr>
          <w:sz w:val="24"/>
        </w:rPr>
        <w:t>）本</w:t>
      </w:r>
      <w:r w:rsidRPr="008D11DB">
        <w:rPr>
          <w:rFonts w:hint="eastAsia"/>
          <w:sz w:val="24"/>
        </w:rPr>
        <w:t>基金总资产不得超过基金净资产的</w:t>
      </w:r>
      <w:r w:rsidRPr="008D11DB">
        <w:rPr>
          <w:rFonts w:hint="eastAsia"/>
          <w:sz w:val="24"/>
        </w:rPr>
        <w:t>140%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3</w:t>
      </w:r>
      <w:r w:rsidRPr="008D11DB">
        <w:rPr>
          <w:rFonts w:hint="eastAsia"/>
          <w:sz w:val="24"/>
        </w:rPr>
        <w:t>）本基金参与股指期货和</w:t>
      </w:r>
      <w:r w:rsidRPr="008D11DB">
        <w:rPr>
          <w:rFonts w:hint="eastAsia"/>
          <w:sz w:val="24"/>
        </w:rPr>
        <w:t>/</w:t>
      </w:r>
      <w:r w:rsidRPr="008D11DB">
        <w:rPr>
          <w:rFonts w:hint="eastAsia"/>
          <w:sz w:val="24"/>
        </w:rPr>
        <w:t>或国债期货交易时，应当遵守下列要求：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）基金在任何交易日日终，持有的买入股指期货合约价值不得超过基金资产净值的</w:t>
      </w:r>
      <w:r w:rsidRPr="008D11DB">
        <w:rPr>
          <w:rFonts w:hint="eastAsia"/>
          <w:sz w:val="24"/>
        </w:rPr>
        <w:t>10%</w:t>
      </w:r>
      <w:r w:rsidRPr="008D11DB">
        <w:rPr>
          <w:rFonts w:hint="eastAsia"/>
          <w:sz w:val="24"/>
        </w:rPr>
        <w:t>，持有的买入国债期货合约价值，不得超过基金资产净值的</w:t>
      </w:r>
      <w:r w:rsidRPr="008D11DB">
        <w:rPr>
          <w:rFonts w:hint="eastAsia"/>
          <w:sz w:val="24"/>
        </w:rPr>
        <w:t>15%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）基金在任何交易日日终，持有的卖出股指期货合约价值不得超过基金持有的股票总市值的</w:t>
      </w:r>
      <w:r w:rsidRPr="008D11DB">
        <w:rPr>
          <w:rFonts w:hint="eastAsia"/>
          <w:sz w:val="24"/>
        </w:rPr>
        <w:t>20%</w:t>
      </w:r>
      <w:r w:rsidRPr="008D11DB">
        <w:rPr>
          <w:rFonts w:hint="eastAsia"/>
          <w:sz w:val="24"/>
        </w:rPr>
        <w:t>，持有的卖出国债期货合约价值不得超过基金持有的债券总市值的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）基金在任何交易日内交易（不包括平仓）的股指期货合约的成交金额不得超过上一交易日基金资产净值的</w:t>
      </w:r>
      <w:r w:rsidRPr="008D11DB">
        <w:rPr>
          <w:rFonts w:hint="eastAsia"/>
          <w:sz w:val="24"/>
        </w:rPr>
        <w:t>20%</w:t>
      </w:r>
      <w:r w:rsidRPr="008D11DB">
        <w:rPr>
          <w:rFonts w:hint="eastAsia"/>
          <w:sz w:val="24"/>
        </w:rPr>
        <w:t>，在任何交易日内交易（不包括平仓）的国债期货合约的成交金额不得超过上一交易日基金资产净值的</w:t>
      </w:r>
      <w:r w:rsidRPr="008D11DB">
        <w:rPr>
          <w:rFonts w:hint="eastAsia"/>
          <w:sz w:val="24"/>
        </w:rPr>
        <w:t>30%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4</w:t>
      </w:r>
      <w:r w:rsidRPr="008D11DB">
        <w:rPr>
          <w:rFonts w:hint="eastAsia"/>
          <w:sz w:val="24"/>
        </w:rPr>
        <w:t>）基金在任何交易日日终，持有的买入国债期货和股指期货合约价值与有价证券市值之和，不得超过基金资产净值的</w:t>
      </w:r>
      <w:r w:rsidRPr="008D11DB">
        <w:rPr>
          <w:rFonts w:hint="eastAsia"/>
          <w:sz w:val="24"/>
        </w:rPr>
        <w:t>95%</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其中，有价证券指股票、债券（不含到期日在一年以内的政府债券）、资产支持证券、买入返售金融资产（不含质押式回购）等。</w:t>
      </w:r>
    </w:p>
    <w:p w:rsidR="008D11DB" w:rsidRPr="008D11DB" w:rsidRDefault="008D11DB" w:rsidP="008D11DB">
      <w:pPr>
        <w:spacing w:line="540" w:lineRule="exact"/>
        <w:ind w:firstLineChars="200" w:firstLine="480"/>
        <w:rPr>
          <w:sz w:val="24"/>
        </w:rPr>
      </w:pPr>
      <w:r w:rsidRPr="008D11DB">
        <w:rPr>
          <w:rFonts w:hint="eastAsia"/>
          <w:sz w:val="24"/>
        </w:rPr>
        <w:t>5</w:t>
      </w:r>
      <w:r w:rsidRPr="008D11DB">
        <w:rPr>
          <w:rFonts w:hint="eastAsia"/>
          <w:sz w:val="24"/>
        </w:rPr>
        <w:t>）基金所持有的股票市值和买入、卖出股指期货合约价值，合计（轧差计算）应当符合基金合同关于股票投资比例的有关约定；</w:t>
      </w:r>
    </w:p>
    <w:p w:rsidR="008D11DB" w:rsidRPr="008D11DB" w:rsidRDefault="008D11DB" w:rsidP="008D11DB">
      <w:pPr>
        <w:spacing w:line="540" w:lineRule="exact"/>
        <w:ind w:firstLineChars="200" w:firstLine="480"/>
        <w:rPr>
          <w:sz w:val="24"/>
        </w:rPr>
      </w:pPr>
      <w:r w:rsidRPr="008D11DB">
        <w:rPr>
          <w:rFonts w:hint="eastAsia"/>
          <w:sz w:val="24"/>
        </w:rPr>
        <w:t>基金所持有的债券（不含到期日在一年以内的政府债券）市值和买入、卖出国债期货合约价值，合计（轧差计算）应当符合基金合同关于债券投资比例的有关约定；</w:t>
      </w:r>
    </w:p>
    <w:p w:rsidR="008D11DB" w:rsidRPr="008D11DB" w:rsidRDefault="008D11DB" w:rsidP="008D11DB">
      <w:pPr>
        <w:spacing w:line="540" w:lineRule="exact"/>
        <w:ind w:firstLineChars="200" w:firstLine="480"/>
        <w:rPr>
          <w:sz w:val="24"/>
        </w:rPr>
      </w:pPr>
      <w:r w:rsidRPr="008D11DB">
        <w:rPr>
          <w:rFonts w:hint="eastAsia"/>
          <w:sz w:val="24"/>
        </w:rPr>
        <w:t>（</w:t>
      </w:r>
      <w:r w:rsidRPr="008D11DB">
        <w:rPr>
          <w:rFonts w:hint="eastAsia"/>
          <w:sz w:val="24"/>
        </w:rPr>
        <w:t>1</w:t>
      </w:r>
      <w:r w:rsidRPr="008D11DB">
        <w:rPr>
          <w:sz w:val="24"/>
        </w:rPr>
        <w:t>4</w:t>
      </w:r>
      <w:r w:rsidRPr="008D11DB">
        <w:rPr>
          <w:rFonts w:hint="eastAsia"/>
          <w:sz w:val="24"/>
        </w:rPr>
        <w:t>）本基金参与股票期权交易的，应当符合下列要求：</w:t>
      </w:r>
    </w:p>
    <w:p w:rsidR="008D11DB" w:rsidRPr="008D11DB" w:rsidRDefault="008D11DB" w:rsidP="008D11DB">
      <w:pPr>
        <w:spacing w:line="540" w:lineRule="exact"/>
        <w:ind w:firstLineChars="200" w:firstLine="480"/>
        <w:rPr>
          <w:sz w:val="24"/>
        </w:rPr>
      </w:pPr>
      <w:r w:rsidRPr="008D11DB">
        <w:rPr>
          <w:rFonts w:hint="eastAsia"/>
          <w:sz w:val="24"/>
        </w:rPr>
        <w:t>1</w:t>
      </w:r>
      <w:r w:rsidRPr="008D11DB">
        <w:rPr>
          <w:rFonts w:hint="eastAsia"/>
          <w:sz w:val="24"/>
        </w:rPr>
        <w:t>）基金因未平仓的期权合约支付和收取的权利金总额不得超过基金资产净值的</w:t>
      </w:r>
      <w:r w:rsidRPr="008D11DB">
        <w:rPr>
          <w:rFonts w:hint="eastAsia"/>
          <w:sz w:val="24"/>
        </w:rPr>
        <w:t>10%</w:t>
      </w:r>
      <w:r w:rsidRPr="008D11DB">
        <w:rPr>
          <w:rFonts w:hint="eastAsia"/>
          <w:sz w:val="24"/>
        </w:rPr>
        <w:t>；</w:t>
      </w:r>
    </w:p>
    <w:p w:rsidR="008D11DB" w:rsidRPr="008D11DB" w:rsidRDefault="008D11DB" w:rsidP="008D11DB">
      <w:pPr>
        <w:spacing w:line="540" w:lineRule="exact"/>
        <w:ind w:firstLineChars="200" w:firstLine="480"/>
        <w:rPr>
          <w:sz w:val="24"/>
        </w:rPr>
      </w:pPr>
      <w:r w:rsidRPr="008D11DB">
        <w:rPr>
          <w:rFonts w:hint="eastAsia"/>
          <w:sz w:val="24"/>
        </w:rPr>
        <w:t>2</w:t>
      </w:r>
      <w:r w:rsidRPr="008D11DB">
        <w:rPr>
          <w:rFonts w:hint="eastAsia"/>
          <w:sz w:val="24"/>
        </w:rPr>
        <w:t>）开仓卖出认购期权的，应持有足额标的证券；开仓卖出认沽期权的，应持有合约行权所需的全额现金或交易所规则认可的可冲抵期权保证金的现金等价物；</w:t>
      </w:r>
    </w:p>
    <w:p w:rsidR="008D11DB" w:rsidRDefault="008D11DB" w:rsidP="008D11DB">
      <w:pPr>
        <w:spacing w:line="540" w:lineRule="exact"/>
        <w:ind w:firstLineChars="200" w:firstLine="480"/>
        <w:rPr>
          <w:sz w:val="24"/>
        </w:rPr>
      </w:pPr>
      <w:r w:rsidRPr="008D11DB">
        <w:rPr>
          <w:rFonts w:hint="eastAsia"/>
          <w:sz w:val="24"/>
        </w:rPr>
        <w:t>3</w:t>
      </w:r>
      <w:r w:rsidRPr="008D11DB">
        <w:rPr>
          <w:rFonts w:hint="eastAsia"/>
          <w:sz w:val="24"/>
        </w:rPr>
        <w:t>）未平仓的期权合约面值不得超过基金资产净值的</w:t>
      </w:r>
      <w:r w:rsidRPr="008D11DB">
        <w:rPr>
          <w:rFonts w:hint="eastAsia"/>
          <w:sz w:val="24"/>
        </w:rPr>
        <w:t>20%</w:t>
      </w:r>
      <w:r w:rsidRPr="008D11DB">
        <w:rPr>
          <w:rFonts w:hint="eastAsia"/>
          <w:sz w:val="24"/>
        </w:rPr>
        <w:t>，其中，合约面值按照行权价乘以合约乘数计算；</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15</w:t>
      </w:r>
      <w:r w:rsidRPr="006D5C09">
        <w:rPr>
          <w:rFonts w:hint="eastAsia"/>
          <w:sz w:val="24"/>
        </w:rPr>
        <w:t>）本基金不得持有信用保护卖方属性的信用衍生品，不得持有合约类信用衍生品，持有的信用衍生品的名义本金不得超过本基金对应受保护债券面值的</w:t>
      </w:r>
      <w:r w:rsidRPr="006D5C09">
        <w:rPr>
          <w:rFonts w:hint="eastAsia"/>
          <w:sz w:val="24"/>
        </w:rPr>
        <w:t>100%</w:t>
      </w:r>
      <w:r w:rsidRPr="006D5C09">
        <w:rPr>
          <w:rFonts w:hint="eastAsia"/>
          <w:sz w:val="24"/>
        </w:rPr>
        <w:t>；</w:t>
      </w:r>
    </w:p>
    <w:p w:rsidR="00A63019" w:rsidRPr="006D5C09" w:rsidRDefault="00A63019" w:rsidP="00A63019">
      <w:pPr>
        <w:spacing w:line="540" w:lineRule="exact"/>
        <w:ind w:firstLineChars="200" w:firstLine="480"/>
        <w:rPr>
          <w:sz w:val="24"/>
        </w:rPr>
      </w:pPr>
      <w:r w:rsidRPr="006D5C09">
        <w:rPr>
          <w:rFonts w:hint="eastAsia"/>
          <w:sz w:val="24"/>
        </w:rPr>
        <w:t>（</w:t>
      </w:r>
      <w:r w:rsidRPr="006D5C09">
        <w:rPr>
          <w:rFonts w:hint="eastAsia"/>
          <w:sz w:val="24"/>
        </w:rPr>
        <w:t>16</w:t>
      </w:r>
      <w:r w:rsidRPr="006D5C09">
        <w:rPr>
          <w:rFonts w:hint="eastAsia"/>
          <w:sz w:val="24"/>
        </w:rPr>
        <w:t>）本基金投资于同一信用保护卖方的各类信用衍生品的名义本金合计不得超过基金资产净值的</w:t>
      </w:r>
      <w:r w:rsidRPr="006D5C09">
        <w:rPr>
          <w:rFonts w:hint="eastAsia"/>
          <w:sz w:val="24"/>
        </w:rPr>
        <w:t>10%</w:t>
      </w:r>
      <w:r w:rsidRPr="006D5C09">
        <w:rPr>
          <w:rFonts w:hint="eastAsia"/>
          <w:sz w:val="24"/>
        </w:rPr>
        <w:t>；</w:t>
      </w:r>
    </w:p>
    <w:p w:rsidR="00A63019" w:rsidRPr="008D11DB" w:rsidRDefault="00A63019" w:rsidP="00A63019">
      <w:pPr>
        <w:spacing w:line="540" w:lineRule="exact"/>
        <w:ind w:firstLineChars="200" w:firstLine="480"/>
        <w:rPr>
          <w:sz w:val="24"/>
        </w:rPr>
      </w:pPr>
      <w:r w:rsidRPr="006D5C09">
        <w:rPr>
          <w:rFonts w:hint="eastAsia"/>
          <w:sz w:val="24"/>
        </w:rPr>
        <w:t>因证券、期货市场波动、证券发行人合并、基金规模变动等基金管理人之外的因素致使基金不符合前述（</w:t>
      </w:r>
      <w:r w:rsidRPr="006D5C09">
        <w:rPr>
          <w:rFonts w:hint="eastAsia"/>
          <w:sz w:val="24"/>
        </w:rPr>
        <w:t>15</w:t>
      </w:r>
      <w:r w:rsidRPr="006D5C09">
        <w:rPr>
          <w:rFonts w:hint="eastAsia"/>
          <w:sz w:val="24"/>
        </w:rPr>
        <w:t>）、（</w:t>
      </w:r>
      <w:r w:rsidRPr="006D5C09">
        <w:rPr>
          <w:rFonts w:hint="eastAsia"/>
          <w:sz w:val="24"/>
        </w:rPr>
        <w:t>16</w:t>
      </w:r>
      <w:r w:rsidRPr="006D5C09">
        <w:rPr>
          <w:rFonts w:hint="eastAsia"/>
          <w:sz w:val="24"/>
        </w:rPr>
        <w:t>）所规定比例限制的，基金管理人应在</w:t>
      </w:r>
      <w:r w:rsidRPr="006D5C09">
        <w:rPr>
          <w:rFonts w:hint="eastAsia"/>
          <w:sz w:val="24"/>
        </w:rPr>
        <w:t>3</w:t>
      </w:r>
      <w:r w:rsidRPr="006D5C09">
        <w:rPr>
          <w:rFonts w:hint="eastAsia"/>
          <w:sz w:val="24"/>
        </w:rPr>
        <w:t>个月之内进行调整；</w:t>
      </w:r>
    </w:p>
    <w:p w:rsidR="008D11DB" w:rsidRPr="008D11DB" w:rsidRDefault="008D11DB" w:rsidP="008D11DB">
      <w:pPr>
        <w:spacing w:line="540" w:lineRule="exact"/>
        <w:ind w:firstLineChars="200" w:firstLine="480"/>
        <w:rPr>
          <w:sz w:val="24"/>
        </w:rPr>
      </w:pPr>
      <w:r w:rsidRPr="008D11DB">
        <w:rPr>
          <w:rFonts w:hint="eastAsia"/>
          <w:sz w:val="24"/>
        </w:rPr>
        <w:t>（</w:t>
      </w:r>
      <w:r w:rsidR="00A63019">
        <w:rPr>
          <w:sz w:val="24"/>
        </w:rPr>
        <w:t>17</w:t>
      </w:r>
      <w:r w:rsidRPr="008D11DB">
        <w:rPr>
          <w:rFonts w:hint="eastAsia"/>
          <w:sz w:val="24"/>
        </w:rPr>
        <w:t>）本基金与私募类证券资管产品及中国证监会认定的其他主体为交易对手开展逆回购交易的，可接受质押品的资质要求应当与基金合同约定的投资范围保持一致；</w:t>
      </w:r>
    </w:p>
    <w:p w:rsidR="008D11DB" w:rsidRPr="008D11DB" w:rsidRDefault="008D11DB" w:rsidP="008D11DB">
      <w:pPr>
        <w:spacing w:line="540" w:lineRule="exact"/>
        <w:ind w:firstLineChars="200" w:firstLine="480"/>
        <w:rPr>
          <w:sz w:val="24"/>
        </w:rPr>
      </w:pPr>
      <w:r w:rsidRPr="008D11DB">
        <w:rPr>
          <w:rFonts w:hint="eastAsia"/>
          <w:sz w:val="24"/>
        </w:rPr>
        <w:t>（</w:t>
      </w:r>
      <w:r w:rsidR="00A63019" w:rsidRPr="008D11DB">
        <w:rPr>
          <w:sz w:val="24"/>
        </w:rPr>
        <w:t>1</w:t>
      </w:r>
      <w:r w:rsidR="00A63019">
        <w:rPr>
          <w:sz w:val="24"/>
        </w:rPr>
        <w:t>8</w:t>
      </w:r>
      <w:r w:rsidRPr="008D11DB">
        <w:rPr>
          <w:rFonts w:hint="eastAsia"/>
          <w:sz w:val="24"/>
        </w:rPr>
        <w:t>）</w:t>
      </w:r>
      <w:r w:rsidRPr="008D11DB">
        <w:rPr>
          <w:rFonts w:hint="eastAsia"/>
          <w:bCs/>
          <w:sz w:val="24"/>
        </w:rPr>
        <w:t>本基金主动投资于流动性受限资产的市值合计不得超过本基金资产净值的</w:t>
      </w:r>
      <w:r w:rsidRPr="008D11DB">
        <w:rPr>
          <w:rFonts w:hint="eastAsia"/>
          <w:bCs/>
          <w:sz w:val="24"/>
        </w:rPr>
        <w:t>15%</w:t>
      </w:r>
      <w:r w:rsidRPr="008D11DB">
        <w:rPr>
          <w:rFonts w:hint="eastAsia"/>
          <w:bCs/>
          <w:sz w:val="24"/>
        </w:rPr>
        <w:t>；因证券市场波动、上市公司股票停牌、基金规模变动等基金管理人之外的因素致使基金不符合前款所规定的比例限制的，基金管理人不得主动新增流动性受限资产的投资；</w:t>
      </w:r>
    </w:p>
    <w:p w:rsidR="008D11DB" w:rsidRPr="008D11DB" w:rsidRDefault="008D11DB" w:rsidP="008D11DB">
      <w:pPr>
        <w:spacing w:line="540" w:lineRule="exact"/>
        <w:ind w:firstLineChars="200" w:firstLine="480"/>
        <w:rPr>
          <w:sz w:val="24"/>
        </w:rPr>
      </w:pPr>
      <w:r w:rsidRPr="008D11DB">
        <w:rPr>
          <w:rFonts w:hint="eastAsia"/>
          <w:bCs/>
          <w:sz w:val="24"/>
        </w:rPr>
        <w:t>（</w:t>
      </w:r>
      <w:r w:rsidR="00A63019" w:rsidRPr="008D11DB">
        <w:rPr>
          <w:rFonts w:hint="eastAsia"/>
          <w:bCs/>
          <w:sz w:val="24"/>
        </w:rPr>
        <w:t>1</w:t>
      </w:r>
      <w:r w:rsidR="00A63019">
        <w:rPr>
          <w:bCs/>
          <w:sz w:val="24"/>
        </w:rPr>
        <w:t>9</w:t>
      </w:r>
      <w:r w:rsidRPr="008D11DB">
        <w:rPr>
          <w:rFonts w:hint="eastAsia"/>
          <w:bCs/>
          <w:sz w:val="24"/>
        </w:rPr>
        <w:t>）参与融资业务后，在任何交易日日终，本基金持有的融资买入股票与其他有价证券市值之和，不得超过基金资产净值的</w:t>
      </w:r>
      <w:r w:rsidRPr="008D11DB">
        <w:rPr>
          <w:rFonts w:hint="eastAsia"/>
          <w:bCs/>
          <w:sz w:val="24"/>
        </w:rPr>
        <w:t>95%</w:t>
      </w:r>
      <w:r w:rsidRPr="008D11DB">
        <w:rPr>
          <w:rFonts w:hint="eastAsia"/>
          <w:bCs/>
          <w:sz w:val="24"/>
        </w:rPr>
        <w:t>；</w:t>
      </w:r>
    </w:p>
    <w:p w:rsidR="008D11DB" w:rsidRPr="008D11DB" w:rsidRDefault="008D11DB" w:rsidP="008D11DB">
      <w:pPr>
        <w:spacing w:line="540" w:lineRule="exact"/>
        <w:ind w:firstLineChars="200" w:firstLine="480"/>
        <w:rPr>
          <w:bCs/>
          <w:sz w:val="24"/>
        </w:rPr>
      </w:pPr>
      <w:r w:rsidRPr="008D11DB">
        <w:rPr>
          <w:rFonts w:hint="eastAsia"/>
          <w:bCs/>
          <w:sz w:val="24"/>
        </w:rPr>
        <w:t>（</w:t>
      </w:r>
      <w:r w:rsidR="00A63019">
        <w:rPr>
          <w:bCs/>
          <w:sz w:val="24"/>
        </w:rPr>
        <w:t>20</w:t>
      </w:r>
      <w:r w:rsidRPr="008D11DB">
        <w:rPr>
          <w:rFonts w:hint="eastAsia"/>
          <w:bCs/>
          <w:sz w:val="24"/>
        </w:rPr>
        <w:t>）本基金投资存托凭证的比例限制依照内地上市交易的股票执行；</w:t>
      </w:r>
    </w:p>
    <w:p w:rsidR="008D11DB" w:rsidRPr="008D11DB" w:rsidRDefault="008D11DB" w:rsidP="008D11DB">
      <w:pPr>
        <w:spacing w:line="540" w:lineRule="exact"/>
        <w:ind w:firstLineChars="200" w:firstLine="480"/>
        <w:rPr>
          <w:sz w:val="24"/>
        </w:rPr>
      </w:pPr>
      <w:r w:rsidRPr="008D11DB">
        <w:rPr>
          <w:sz w:val="24"/>
        </w:rPr>
        <w:t>（</w:t>
      </w:r>
      <w:r w:rsidR="00A63019">
        <w:rPr>
          <w:sz w:val="24"/>
        </w:rPr>
        <w:t>21</w:t>
      </w:r>
      <w:r w:rsidRPr="008D11DB">
        <w:rPr>
          <w:sz w:val="24"/>
        </w:rPr>
        <w:t>）</w:t>
      </w:r>
      <w:r w:rsidRPr="008D11DB">
        <w:rPr>
          <w:rFonts w:hint="eastAsia"/>
          <w:sz w:val="24"/>
        </w:rPr>
        <w:t>法律法规及中国证监会规定的和《基金合同》约定的其他投资限制。</w:t>
      </w:r>
    </w:p>
    <w:p w:rsidR="008D11DB" w:rsidRPr="008D11DB" w:rsidRDefault="008D11DB" w:rsidP="008D11DB">
      <w:pPr>
        <w:spacing w:line="540" w:lineRule="exact"/>
        <w:ind w:firstLineChars="200" w:firstLine="480"/>
        <w:rPr>
          <w:sz w:val="24"/>
        </w:rPr>
      </w:pPr>
      <w:r w:rsidRPr="008D11DB">
        <w:rPr>
          <w:rFonts w:hint="eastAsia"/>
          <w:sz w:val="24"/>
        </w:rPr>
        <w:t>法律法规或监管部门取消或调整上述限制，如适用于本基金，则在履行适当程序后，本基金投资不再受相关限制或按照调整后的规定执行</w:t>
      </w:r>
      <w:r w:rsidRPr="008D11DB">
        <w:rPr>
          <w:rFonts w:hint="eastAsia"/>
          <w:sz w:val="24"/>
        </w:rPr>
        <w:t>,</w:t>
      </w:r>
      <w:r w:rsidRPr="008D11DB">
        <w:rPr>
          <w:rFonts w:hint="eastAsia"/>
          <w:sz w:val="24"/>
        </w:rPr>
        <w:t>基金管理人及时根据《信息披露办法》规定在规定媒介公告。</w:t>
      </w:r>
    </w:p>
    <w:p w:rsidR="00766DC3" w:rsidRDefault="008D11DB" w:rsidP="008D11DB">
      <w:pPr>
        <w:spacing w:line="540" w:lineRule="exact"/>
        <w:ind w:firstLineChars="200" w:firstLine="480"/>
        <w:rPr>
          <w:sz w:val="24"/>
        </w:rPr>
      </w:pPr>
      <w:r w:rsidRPr="008D11DB">
        <w:rPr>
          <w:rFonts w:hint="eastAsia"/>
          <w:sz w:val="24"/>
        </w:rPr>
        <w:t>除（</w:t>
      </w:r>
      <w:r w:rsidRPr="008D11DB">
        <w:rPr>
          <w:rFonts w:hint="eastAsia"/>
          <w:sz w:val="24"/>
        </w:rPr>
        <w:t>2</w:t>
      </w:r>
      <w:r w:rsidRPr="008D11DB">
        <w:rPr>
          <w:rFonts w:hint="eastAsia"/>
          <w:sz w:val="24"/>
        </w:rPr>
        <w:t>）、（</w:t>
      </w:r>
      <w:r w:rsidRPr="008D11DB">
        <w:rPr>
          <w:rFonts w:hint="eastAsia"/>
          <w:sz w:val="24"/>
        </w:rPr>
        <w:t>11</w:t>
      </w:r>
      <w:r w:rsidRPr="008D11DB">
        <w:rPr>
          <w:rFonts w:hint="eastAsia"/>
          <w:sz w:val="24"/>
        </w:rPr>
        <w:t>）、（</w:t>
      </w:r>
      <w:r w:rsidRPr="008D11DB">
        <w:rPr>
          <w:rFonts w:hint="eastAsia"/>
          <w:sz w:val="24"/>
        </w:rPr>
        <w:t>15</w:t>
      </w:r>
      <w:r w:rsidRPr="008D11DB">
        <w:rPr>
          <w:rFonts w:hint="eastAsia"/>
          <w:sz w:val="24"/>
        </w:rPr>
        <w:t>）、（</w:t>
      </w:r>
      <w:r w:rsidRPr="008D11DB">
        <w:rPr>
          <w:rFonts w:hint="eastAsia"/>
          <w:sz w:val="24"/>
        </w:rPr>
        <w:t>16</w:t>
      </w:r>
      <w:r w:rsidRPr="008D11DB">
        <w:rPr>
          <w:rFonts w:hint="eastAsia"/>
          <w:sz w:val="24"/>
        </w:rPr>
        <w:t>）</w:t>
      </w:r>
      <w:r w:rsidR="00A63019" w:rsidRPr="006D5C09">
        <w:rPr>
          <w:rFonts w:hint="eastAsia"/>
          <w:sz w:val="24"/>
        </w:rPr>
        <w:t>、（</w:t>
      </w:r>
      <w:r w:rsidR="00A63019" w:rsidRPr="006D5C09">
        <w:rPr>
          <w:rFonts w:hint="eastAsia"/>
          <w:sz w:val="24"/>
        </w:rPr>
        <w:t>17</w:t>
      </w:r>
      <w:r w:rsidR="00A63019" w:rsidRPr="006D5C09">
        <w:rPr>
          <w:rFonts w:hint="eastAsia"/>
          <w:sz w:val="24"/>
        </w:rPr>
        <w:t>）、（</w:t>
      </w:r>
      <w:r w:rsidR="00A63019" w:rsidRPr="006D5C09">
        <w:rPr>
          <w:rFonts w:hint="eastAsia"/>
          <w:sz w:val="24"/>
        </w:rPr>
        <w:t>18</w:t>
      </w:r>
      <w:r w:rsidR="00A63019" w:rsidRPr="006D5C09">
        <w:rPr>
          <w:rFonts w:hint="eastAsia"/>
          <w:sz w:val="24"/>
        </w:rPr>
        <w:t>）</w:t>
      </w:r>
      <w:r w:rsidRPr="008D11DB">
        <w:rPr>
          <w:rFonts w:hint="eastAsia"/>
          <w:sz w:val="24"/>
        </w:rPr>
        <w:t>条外，因证券、期货市场波动、证券发行人合并、基金规模变动等基金管理人之外的因素致使基金投资比例不符合上述规定投资比例的，基金管理人应当在</w:t>
      </w:r>
      <w:r w:rsidRPr="008D11DB">
        <w:rPr>
          <w:sz w:val="24"/>
        </w:rPr>
        <w:t>10</w:t>
      </w:r>
      <w:r w:rsidRPr="008D11DB">
        <w:rPr>
          <w:rFonts w:hint="eastAsia"/>
          <w:sz w:val="24"/>
        </w:rPr>
        <w:t>个交易日内进行调整，但中国证监会规定的特殊情形除外。法律法规另有规定的，从其规定。</w:t>
      </w:r>
      <w:r w:rsidR="000E49E7">
        <w:rPr>
          <w:rFonts w:hint="eastAsia"/>
          <w:sz w:val="24"/>
        </w:rPr>
        <w:t>”</w:t>
      </w:r>
    </w:p>
    <w:p w:rsidR="000E49E7" w:rsidRDefault="000E49E7" w:rsidP="00B60785">
      <w:pPr>
        <w:pStyle w:val="ae"/>
        <w:numPr>
          <w:ilvl w:val="0"/>
          <w:numId w:val="17"/>
        </w:numPr>
        <w:spacing w:line="540" w:lineRule="exact"/>
        <w:ind w:firstLine="480"/>
        <w:outlineLvl w:val="2"/>
        <w:rPr>
          <w:sz w:val="24"/>
        </w:rPr>
      </w:pPr>
      <w:r w:rsidRPr="000E49E7">
        <w:rPr>
          <w:rFonts w:hint="eastAsia"/>
          <w:sz w:val="24"/>
        </w:rPr>
        <w:t>变更基金的收益与分配</w:t>
      </w:r>
    </w:p>
    <w:p w:rsidR="000E49E7" w:rsidRDefault="000E49E7" w:rsidP="00B60785">
      <w:pPr>
        <w:spacing w:line="540" w:lineRule="exact"/>
        <w:ind w:firstLineChars="200" w:firstLine="480"/>
        <w:rPr>
          <w:sz w:val="24"/>
        </w:rPr>
      </w:pPr>
      <w:r>
        <w:rPr>
          <w:rFonts w:ascii="宋体" w:cs="宋体" w:hint="eastAsia"/>
          <w:kern w:val="0"/>
          <w:sz w:val="24"/>
          <w:szCs w:val="24"/>
        </w:rPr>
        <w:t>由于本基金</w:t>
      </w:r>
      <w:r w:rsidR="00927544">
        <w:rPr>
          <w:rFonts w:ascii="宋体" w:cs="宋体" w:hint="eastAsia"/>
          <w:kern w:val="0"/>
          <w:sz w:val="24"/>
          <w:szCs w:val="24"/>
        </w:rPr>
        <w:t>终止上市交易</w:t>
      </w:r>
      <w:r>
        <w:rPr>
          <w:rFonts w:ascii="宋体" w:cs="宋体" w:hint="eastAsia"/>
          <w:kern w:val="0"/>
          <w:sz w:val="24"/>
          <w:szCs w:val="24"/>
        </w:rPr>
        <w:t>，调整基金收益分配原则如下：</w:t>
      </w:r>
    </w:p>
    <w:p w:rsidR="000E49E7" w:rsidRPr="000E49E7" w:rsidRDefault="000E49E7" w:rsidP="000E49E7">
      <w:pPr>
        <w:spacing w:line="540" w:lineRule="exact"/>
        <w:ind w:firstLineChars="200" w:firstLine="480"/>
        <w:rPr>
          <w:sz w:val="24"/>
        </w:rPr>
      </w:pPr>
      <w:r>
        <w:rPr>
          <w:rFonts w:hint="eastAsia"/>
          <w:sz w:val="24"/>
        </w:rPr>
        <w:t>“</w:t>
      </w:r>
      <w:r w:rsidRPr="000E49E7">
        <w:rPr>
          <w:sz w:val="24"/>
        </w:rPr>
        <w:t>1</w:t>
      </w:r>
      <w:r w:rsidRPr="000E49E7">
        <w:rPr>
          <w:rFonts w:hint="eastAsia"/>
          <w:sz w:val="24"/>
        </w:rPr>
        <w:t>、在符合有关基金分红条件的前提下，本基金管理人可以根据实际情况进行收益分配，具体分配方案以公告为准，若《基金合同》生效不满</w:t>
      </w:r>
      <w:r w:rsidRPr="000E49E7">
        <w:rPr>
          <w:sz w:val="24"/>
        </w:rPr>
        <w:t>3</w:t>
      </w:r>
      <w:r w:rsidRPr="000E49E7">
        <w:rPr>
          <w:rFonts w:hint="eastAsia"/>
          <w:sz w:val="24"/>
        </w:rPr>
        <w:t>个月则可不进行收益分配；</w:t>
      </w:r>
    </w:p>
    <w:p w:rsidR="000E49E7" w:rsidRPr="000E49E7" w:rsidRDefault="000E49E7" w:rsidP="000E49E7">
      <w:pPr>
        <w:spacing w:line="540" w:lineRule="exact"/>
        <w:ind w:firstLineChars="200" w:firstLine="480"/>
        <w:rPr>
          <w:sz w:val="24"/>
        </w:rPr>
      </w:pPr>
      <w:r w:rsidRPr="000E49E7">
        <w:rPr>
          <w:sz w:val="24"/>
        </w:rPr>
        <w:t>2</w:t>
      </w:r>
      <w:r w:rsidRPr="000E49E7">
        <w:rPr>
          <w:rFonts w:hint="eastAsia"/>
          <w:sz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p>
    <w:p w:rsidR="000E49E7" w:rsidRPr="000E49E7" w:rsidRDefault="000E49E7" w:rsidP="000E49E7">
      <w:pPr>
        <w:spacing w:line="540" w:lineRule="exact"/>
        <w:ind w:firstLineChars="200" w:firstLine="480"/>
        <w:rPr>
          <w:sz w:val="24"/>
        </w:rPr>
      </w:pPr>
      <w:r w:rsidRPr="000E49E7">
        <w:rPr>
          <w:sz w:val="24"/>
        </w:rPr>
        <w:t>3</w:t>
      </w:r>
      <w:r w:rsidRPr="000E49E7">
        <w:rPr>
          <w:rFonts w:hint="eastAsia"/>
          <w:sz w:val="24"/>
        </w:rPr>
        <w:t>、基金收益分配后基金份额净值不能低于面值，即基金收益分配基准日的基金份额净值减去每单位基金份额收益分配金额后不能低于面值；</w:t>
      </w:r>
    </w:p>
    <w:p w:rsidR="000E49E7" w:rsidRPr="000E49E7" w:rsidRDefault="000E49E7" w:rsidP="000E49E7">
      <w:pPr>
        <w:spacing w:line="540" w:lineRule="exact"/>
        <w:ind w:firstLineChars="200" w:firstLine="480"/>
        <w:rPr>
          <w:sz w:val="24"/>
        </w:rPr>
      </w:pPr>
      <w:r w:rsidRPr="000E49E7">
        <w:rPr>
          <w:rFonts w:hint="eastAsia"/>
          <w:sz w:val="24"/>
        </w:rPr>
        <w:t>4</w:t>
      </w:r>
      <w:r w:rsidRPr="000E49E7">
        <w:rPr>
          <w:rFonts w:hint="eastAsia"/>
          <w:sz w:val="24"/>
        </w:rPr>
        <w:t>、</w:t>
      </w:r>
      <w:r w:rsidR="00A56286" w:rsidRPr="00A56286">
        <w:rPr>
          <w:rFonts w:hint="eastAsia"/>
          <w:sz w:val="24"/>
        </w:rPr>
        <w:t>本基金的每份基金份额享有同等分配权；</w:t>
      </w:r>
    </w:p>
    <w:p w:rsidR="000E49E7" w:rsidRDefault="000E49E7" w:rsidP="00B60785">
      <w:pPr>
        <w:spacing w:line="540" w:lineRule="exact"/>
        <w:ind w:firstLineChars="200" w:firstLine="480"/>
        <w:rPr>
          <w:sz w:val="24"/>
        </w:rPr>
      </w:pPr>
      <w:r w:rsidRPr="000E49E7">
        <w:rPr>
          <w:rFonts w:hint="eastAsia"/>
          <w:sz w:val="24"/>
        </w:rPr>
        <w:t>5</w:t>
      </w:r>
      <w:r w:rsidRPr="000E49E7">
        <w:rPr>
          <w:rFonts w:hint="eastAsia"/>
          <w:sz w:val="24"/>
        </w:rPr>
        <w:t>、法律法规或监管机关另有规定的，从其规定。</w:t>
      </w:r>
    </w:p>
    <w:p w:rsidR="000E49E7" w:rsidRDefault="000E49E7" w:rsidP="00B60785">
      <w:pPr>
        <w:spacing w:line="540" w:lineRule="exact"/>
        <w:ind w:firstLineChars="200" w:firstLine="480"/>
        <w:rPr>
          <w:sz w:val="24"/>
        </w:rPr>
      </w:pPr>
      <w:r w:rsidRPr="000E49E7">
        <w:rPr>
          <w:rFonts w:hint="eastAsia"/>
          <w:sz w:val="24"/>
        </w:rPr>
        <w:t>在对基金份额持有人利益无实质性不利影响的前提下</w:t>
      </w:r>
      <w:r w:rsidR="00583100" w:rsidRPr="00583100">
        <w:rPr>
          <w:rFonts w:hint="eastAsia"/>
          <w:sz w:val="24"/>
        </w:rPr>
        <w:t>并履行适当程序后</w:t>
      </w:r>
      <w:r w:rsidRPr="000E49E7">
        <w:rPr>
          <w:rFonts w:hint="eastAsia"/>
          <w:sz w:val="24"/>
        </w:rPr>
        <w:t>，基金管理人可对基金收益分配原则进行调整</w:t>
      </w:r>
      <w:r w:rsidR="00193191">
        <w:rPr>
          <w:rFonts w:hint="eastAsia"/>
          <w:sz w:val="24"/>
        </w:rPr>
        <w:t>。</w:t>
      </w:r>
      <w:r>
        <w:rPr>
          <w:rFonts w:hint="eastAsia"/>
          <w:sz w:val="24"/>
        </w:rPr>
        <w:t>”</w:t>
      </w:r>
    </w:p>
    <w:p w:rsidR="003F788C" w:rsidRPr="003F788C" w:rsidRDefault="003F788C" w:rsidP="003F788C">
      <w:pPr>
        <w:pStyle w:val="ae"/>
        <w:numPr>
          <w:ilvl w:val="0"/>
          <w:numId w:val="17"/>
        </w:numPr>
        <w:spacing w:line="540" w:lineRule="exact"/>
        <w:ind w:firstLine="480"/>
        <w:outlineLvl w:val="2"/>
        <w:rPr>
          <w:sz w:val="24"/>
        </w:rPr>
      </w:pPr>
      <w:r>
        <w:rPr>
          <w:rFonts w:hint="eastAsia"/>
          <w:sz w:val="24"/>
        </w:rPr>
        <w:t>调整基金的估值对象和估值方法</w:t>
      </w:r>
    </w:p>
    <w:p w:rsidR="00A76308" w:rsidRDefault="003F788C" w:rsidP="00B60785">
      <w:pPr>
        <w:spacing w:line="540" w:lineRule="exact"/>
        <w:ind w:firstLineChars="200" w:firstLine="480"/>
        <w:rPr>
          <w:rFonts w:ascii="Times New Roman" w:hAnsi="Times New Roman"/>
          <w:sz w:val="24"/>
        </w:rPr>
      </w:pPr>
      <w:r>
        <w:rPr>
          <w:rFonts w:ascii="Times New Roman" w:hAnsi="Times New Roman" w:hint="eastAsia"/>
          <w:sz w:val="24"/>
        </w:rPr>
        <w:t>根据</w:t>
      </w:r>
      <w:r w:rsidR="00482C5B">
        <w:rPr>
          <w:rFonts w:ascii="Times New Roman" w:hAnsi="Times New Roman" w:hint="eastAsia"/>
          <w:sz w:val="24"/>
        </w:rPr>
        <w:t>最</w:t>
      </w:r>
      <w:r>
        <w:rPr>
          <w:rFonts w:ascii="Times New Roman" w:hAnsi="Times New Roman" w:hint="eastAsia"/>
          <w:sz w:val="24"/>
        </w:rPr>
        <w:t>新的法律法规、相关规定及本次修改投资范围的实际情况，对原基金的估值对象和估值方法进行了补充调整。</w:t>
      </w:r>
    </w:p>
    <w:p w:rsidR="003F788C" w:rsidRDefault="00163349"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变更后的估值对象为：</w:t>
      </w:r>
      <w:r w:rsidR="00A76308">
        <w:rPr>
          <w:rFonts w:ascii="Times New Roman" w:hAnsi="Times New Roman" w:hint="eastAsia"/>
          <w:sz w:val="24"/>
        </w:rPr>
        <w:t>“</w:t>
      </w:r>
      <w:r w:rsidR="00A76308" w:rsidRPr="00A76308">
        <w:rPr>
          <w:rFonts w:ascii="Times New Roman" w:hAnsi="Times New Roman" w:hint="eastAsia"/>
          <w:sz w:val="24"/>
        </w:rPr>
        <w:t>基金所拥有的股票、债券、资产支持证券、股票期权合约、股指期货合约、国债期货合约</w:t>
      </w:r>
      <w:r w:rsidR="00CD26A1" w:rsidRPr="00CD26A1">
        <w:rPr>
          <w:rFonts w:ascii="Times New Roman" w:hAnsi="Times New Roman" w:hint="eastAsia"/>
          <w:sz w:val="24"/>
        </w:rPr>
        <w:t>、信用衍生品</w:t>
      </w:r>
      <w:r w:rsidR="00A76308" w:rsidRPr="00A76308">
        <w:rPr>
          <w:rFonts w:ascii="Times New Roman" w:hAnsi="Times New Roman" w:hint="eastAsia"/>
          <w:sz w:val="24"/>
        </w:rPr>
        <w:t>和银行存款本息、应收款项、其它投资等资产和负债。</w:t>
      </w:r>
      <w:r w:rsidR="00A76308">
        <w:rPr>
          <w:rFonts w:ascii="Times New Roman" w:hAnsi="Times New Roman" w:hint="eastAsia"/>
          <w:sz w:val="24"/>
        </w:rPr>
        <w:t>”</w:t>
      </w:r>
    </w:p>
    <w:p w:rsidR="00A76308" w:rsidRDefault="00A76308" w:rsidP="00B60785">
      <w:pPr>
        <w:spacing w:line="540" w:lineRule="exact"/>
        <w:ind w:firstLineChars="200" w:firstLine="480"/>
        <w:rPr>
          <w:rFonts w:ascii="Times New Roman" w:hAnsi="Times New Roman"/>
          <w:sz w:val="24"/>
        </w:rPr>
      </w:pPr>
      <w:r>
        <w:rPr>
          <w:rFonts w:ascii="Times New Roman" w:hAnsi="Times New Roman" w:hint="eastAsia"/>
          <w:sz w:val="24"/>
        </w:rPr>
        <w:t>变更后的估值方法为：</w:t>
      </w:r>
    </w:p>
    <w:p w:rsidR="00A76308" w:rsidRPr="00A76308" w:rsidRDefault="00A76308" w:rsidP="00A76308">
      <w:pPr>
        <w:spacing w:line="540" w:lineRule="exact"/>
        <w:ind w:firstLineChars="200" w:firstLine="480"/>
        <w:rPr>
          <w:rFonts w:ascii="Times New Roman" w:hAnsi="Times New Roman"/>
          <w:sz w:val="24"/>
        </w:rPr>
      </w:pPr>
      <w:r>
        <w:rPr>
          <w:rFonts w:ascii="Times New Roman" w:hAnsi="Times New Roman" w:hint="eastAsia"/>
          <w:sz w:val="24"/>
        </w:rPr>
        <w:t>“</w:t>
      </w:r>
      <w:bookmarkStart w:id="1" w:name="_Hlk176186446"/>
      <w:r w:rsidRPr="00A76308">
        <w:rPr>
          <w:rFonts w:ascii="Times New Roman" w:hAnsi="Times New Roman"/>
          <w:sz w:val="24"/>
        </w:rPr>
        <w:t>1</w:t>
      </w:r>
      <w:r w:rsidRPr="00A76308">
        <w:rPr>
          <w:rFonts w:ascii="Times New Roman" w:hAnsi="Times New Roman" w:hint="eastAsia"/>
          <w:sz w:val="24"/>
        </w:rPr>
        <w:t>、上市或挂牌转让的有价证券的估值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）已上市交易或挂牌转让的不含权固定收益品种</w:t>
      </w:r>
      <w:r w:rsidR="00193191" w:rsidRPr="00193191">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3</w:t>
      </w:r>
      <w:r w:rsidRPr="00A76308">
        <w:rPr>
          <w:rFonts w:ascii="Times New Roman" w:hAnsi="Times New Roman" w:hint="eastAsia"/>
          <w:sz w:val="24"/>
        </w:rPr>
        <w:t>）已上市交易或挂牌转让的含权固定收益品种</w:t>
      </w:r>
      <w:r w:rsidR="00831CB8" w:rsidRPr="00831CB8">
        <w:rPr>
          <w:rFonts w:ascii="Times New Roman" w:hAnsi="Times New Roman" w:hint="eastAsia"/>
          <w:sz w:val="24"/>
        </w:rPr>
        <w:t>（另有规定的除外）</w:t>
      </w:r>
      <w:r w:rsidRPr="00A76308">
        <w:rPr>
          <w:rFonts w:ascii="Times New Roman" w:hAnsi="Times New Roman" w:hint="eastAsia"/>
          <w:sz w:val="24"/>
        </w:rPr>
        <w:t>，选取估值日第三方估值基准服务机构提供的相应品种当日的唯一估值全价或推荐估值全价进行估值；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5</w:t>
      </w:r>
      <w:r w:rsidRPr="00A76308">
        <w:rPr>
          <w:rFonts w:ascii="Times New Roman" w:hAnsi="Times New Roman" w:hint="eastAsia"/>
          <w:sz w:val="24"/>
        </w:rPr>
        <w:t>）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6</w:t>
      </w:r>
      <w:r w:rsidRPr="00A76308">
        <w:rPr>
          <w:rFonts w:ascii="Times New Roman" w:hAnsi="Times New Roman" w:hint="eastAsia"/>
          <w:sz w:val="24"/>
        </w:rPr>
        <w:t>）已上市或挂牌转让且不存在活跃市场的有价证券，采用估值技术确定公允价值。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2</w:t>
      </w:r>
      <w:r w:rsidRPr="00A76308">
        <w:rPr>
          <w:rFonts w:ascii="Times New Roman" w:hAnsi="Times New Roman" w:hint="eastAsia"/>
          <w:sz w:val="24"/>
        </w:rPr>
        <w:t>、处于未上市或未挂牌转让期间的有价证券应区分如下情况处理：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1</w:t>
      </w:r>
      <w:r w:rsidRPr="00A76308">
        <w:rPr>
          <w:rFonts w:ascii="Times New Roman" w:hAnsi="Times New Roman" w:hint="eastAsia"/>
          <w:sz w:val="24"/>
        </w:rPr>
        <w:t>）送股、转增股、配股和公开增发的新股，按估值日在证券交易所挂牌的同一股票的估值方法估值；该日无交易的，以最近一日的市价（收盘价）估值；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sz w:val="24"/>
        </w:rPr>
        <w:t>2</w:t>
      </w:r>
      <w:r w:rsidRPr="00A76308">
        <w:rPr>
          <w:rFonts w:ascii="Times New Roman" w:hAnsi="Times New Roman" w:hint="eastAsia"/>
          <w:sz w:val="24"/>
        </w:rPr>
        <w:t>）首次公开发行未上市的股票，采用估值技术确定公允价值；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4</w:t>
      </w:r>
      <w:r w:rsidRPr="00A76308">
        <w:rPr>
          <w:rFonts w:ascii="Times New Roman" w:hAnsi="Times New Roman" w:hint="eastAsia"/>
          <w:sz w:val="24"/>
        </w:rPr>
        <w:t>）对于未上市或未挂牌转让且不存在活跃市场的固定收益品种，应采用在当前情况下适用并且有足够可利用数据和其他信息支持的估值技术确定其公允价值。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3</w:t>
      </w:r>
      <w:r w:rsidRPr="00A76308">
        <w:rPr>
          <w:rFonts w:ascii="Times New Roman" w:hAnsi="Times New Roman"/>
          <w:sz w:val="24"/>
        </w:rPr>
        <w:t>、</w:t>
      </w:r>
      <w:r w:rsidRPr="00A76308">
        <w:rPr>
          <w:rFonts w:ascii="Times New Roman" w:hAnsi="Times New Roman" w:hint="eastAsia"/>
          <w:sz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4</w:t>
      </w:r>
      <w:r w:rsidRPr="00A76308">
        <w:rPr>
          <w:rFonts w:ascii="Times New Roman" w:hAnsi="Times New Roman"/>
          <w:sz w:val="24"/>
        </w:rPr>
        <w:t>、</w:t>
      </w:r>
      <w:r w:rsidRPr="00A76308">
        <w:rPr>
          <w:rFonts w:ascii="Times New Roman" w:hAnsi="Times New Roman" w:hint="eastAsia"/>
          <w:sz w:val="24"/>
        </w:rPr>
        <w:t>同一证券同时在两个或两个以上市场交易的，按证券所处的市场分别估值。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5</w:t>
      </w:r>
      <w:r w:rsidRPr="00A76308">
        <w:rPr>
          <w:rFonts w:ascii="Times New Roman" w:hAnsi="Times New Roman" w:hint="eastAsia"/>
          <w:sz w:val="24"/>
        </w:rPr>
        <w:t>、投资证券衍生品的估值方法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1</w:t>
      </w:r>
      <w:r w:rsidRPr="00A76308">
        <w:rPr>
          <w:rFonts w:ascii="Times New Roman" w:hAnsi="Times New Roman" w:hint="eastAsia"/>
          <w:sz w:val="24"/>
        </w:rPr>
        <w:t>）股指期货合约，一般以估值当日结算价进行估值，估值当日无结算价的，</w:t>
      </w:r>
      <w:r w:rsidRPr="00A76308">
        <w:rPr>
          <w:rFonts w:ascii="Times New Roman" w:hAnsi="Times New Roman" w:hint="eastAsia"/>
          <w:sz w:val="24"/>
        </w:rPr>
        <w:t xml:space="preserve"> </w:t>
      </w:r>
      <w:r w:rsidRPr="00A76308">
        <w:rPr>
          <w:rFonts w:ascii="Times New Roman" w:hAnsi="Times New Roman" w:hint="eastAsia"/>
          <w:sz w:val="24"/>
        </w:rPr>
        <w:t>且最近交易日后经济环境未发生重大变化的，采用最近交易日结算价估值。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2</w:t>
      </w:r>
      <w:r w:rsidRPr="00A76308">
        <w:rPr>
          <w:rFonts w:ascii="Times New Roman" w:hAnsi="Times New Roman" w:hint="eastAsia"/>
          <w:sz w:val="24"/>
        </w:rPr>
        <w:t>）国债期货合约，一般以估值当日结算价进行估值，估值当日无结算价的，且最近交易日后经济环境未发生重大变化的，采用最近交易日结算价估值。</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w:t>
      </w:r>
      <w:r w:rsidRPr="00A76308">
        <w:rPr>
          <w:rFonts w:ascii="Times New Roman" w:hAnsi="Times New Roman" w:hint="eastAsia"/>
          <w:sz w:val="24"/>
        </w:rPr>
        <w:t>3</w:t>
      </w:r>
      <w:r w:rsidRPr="00A76308">
        <w:rPr>
          <w:rFonts w:ascii="Times New Roman" w:hAnsi="Times New Roman" w:hint="eastAsia"/>
          <w:sz w:val="24"/>
        </w:rPr>
        <w:t>）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072003" w:rsidRPr="00A76308" w:rsidRDefault="00072003" w:rsidP="00A76308">
      <w:pPr>
        <w:spacing w:line="540" w:lineRule="exact"/>
        <w:ind w:firstLineChars="200" w:firstLine="480"/>
        <w:rPr>
          <w:rFonts w:ascii="Times New Roman" w:hAnsi="Times New Roman"/>
          <w:sz w:val="24"/>
        </w:rPr>
      </w:pPr>
      <w:r w:rsidRPr="00072003">
        <w:rPr>
          <w:rFonts w:ascii="Times New Roman" w:hAnsi="Times New Roman" w:hint="eastAsia"/>
          <w:sz w:val="24"/>
        </w:rPr>
        <w:t>（</w:t>
      </w:r>
      <w:r w:rsidRPr="00072003">
        <w:rPr>
          <w:rFonts w:ascii="Times New Roman" w:hAnsi="Times New Roman" w:hint="eastAsia"/>
          <w:sz w:val="24"/>
        </w:rPr>
        <w:t>4</w:t>
      </w:r>
      <w:r w:rsidRPr="00072003">
        <w:rPr>
          <w:rFonts w:ascii="Times New Roman" w:hAnsi="Times New Roman" w:hint="eastAsia"/>
          <w:sz w:val="24"/>
        </w:rPr>
        <w:t>）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6</w:t>
      </w:r>
      <w:r w:rsidRPr="00A76308">
        <w:rPr>
          <w:rFonts w:ascii="Times New Roman" w:hAnsi="Times New Roman" w:hint="eastAsia"/>
          <w:sz w:val="24"/>
        </w:rPr>
        <w:t>、存款的估值方法</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持有的银行定期存款或通知存款以本金列示，按协议或合同利率逐日确认利息收入。如提前支取或利率发生变化，基金管理人应及时进行账务调整。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7</w:t>
      </w:r>
      <w:r w:rsidRPr="00A76308">
        <w:rPr>
          <w:rFonts w:ascii="Times New Roman" w:hAnsi="Times New Roman" w:hint="eastAsia"/>
          <w:sz w:val="24"/>
        </w:rPr>
        <w:t>、汇率</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本基金外币资产价值计算中，涉及外币对人民币汇率的，应当以基金估值日中国人民银行或其授权机构公布的人民币汇率中间价为准。</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8</w:t>
      </w:r>
      <w:r w:rsidRPr="00A76308">
        <w:rPr>
          <w:rFonts w:ascii="Times New Roman" w:hAnsi="Times New Roman" w:hint="eastAsia"/>
          <w:sz w:val="24"/>
        </w:rPr>
        <w:t>、本基金参与融资业务的，按照相关法律法规和监管部门的规定估值。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9</w:t>
      </w:r>
      <w:r w:rsidRPr="00A76308">
        <w:rPr>
          <w:rFonts w:ascii="Times New Roman" w:hAnsi="Times New Roman" w:hint="eastAsia"/>
          <w:sz w:val="24"/>
        </w:rPr>
        <w:t>、本基金投资存托凭证的估值核算依照内地上市交易的股票执行。</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0</w:t>
      </w:r>
      <w:r w:rsidRPr="00A76308">
        <w:rPr>
          <w:rFonts w:ascii="Times New Roman" w:hAnsi="Times New Roman" w:hint="eastAsia"/>
          <w:sz w:val="24"/>
        </w:rPr>
        <w:t>、税收</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sz w:val="24"/>
        </w:rPr>
        <w:t>11</w:t>
      </w:r>
      <w:r w:rsidRPr="00A7630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2</w:t>
      </w:r>
      <w:r w:rsidRPr="00A76308">
        <w:rPr>
          <w:rFonts w:ascii="Times New Roman" w:hAnsi="Times New Roman" w:hint="eastAsia"/>
          <w:sz w:val="24"/>
        </w:rPr>
        <w:t>、当发生大额申购或赎回情形时，基金管理人可以采用摆动定价机制，以确保基金估值的公平性</w:t>
      </w:r>
      <w:r w:rsidR="00072003" w:rsidRPr="00072003">
        <w:rPr>
          <w:rFonts w:ascii="Times New Roman" w:hAnsi="Times New Roman" w:hint="eastAsia"/>
          <w:sz w:val="24"/>
        </w:rPr>
        <w:t>，并履行相关信息披露义务。</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1</w:t>
      </w:r>
      <w:r w:rsidRPr="00A76308">
        <w:rPr>
          <w:rFonts w:ascii="Times New Roman" w:hAnsi="Times New Roman"/>
          <w:sz w:val="24"/>
        </w:rPr>
        <w:t>3</w:t>
      </w:r>
      <w:r w:rsidRPr="00A76308">
        <w:rPr>
          <w:rFonts w:ascii="Times New Roman" w:hAnsi="Times New Roman" w:hint="eastAsia"/>
          <w:sz w:val="24"/>
        </w:rPr>
        <w:t>、相关法律法规以及监管部门有强制规定的，从其规定。如有新增事项，按国家最新规定估值。</w:t>
      </w:r>
    </w:p>
    <w:p w:rsidR="00A76308" w:rsidRP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6308" w:rsidRDefault="00A76308" w:rsidP="00A76308">
      <w:pPr>
        <w:spacing w:line="540" w:lineRule="exact"/>
        <w:ind w:firstLineChars="200" w:firstLine="480"/>
        <w:rPr>
          <w:rFonts w:ascii="Times New Roman" w:hAnsi="Times New Roman"/>
          <w:sz w:val="24"/>
        </w:rPr>
      </w:pPr>
      <w:r w:rsidRPr="00A76308">
        <w:rPr>
          <w:rFonts w:ascii="Times New Roman" w:hAnsi="Times New Roman" w:hint="eastAsia"/>
          <w:sz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00831CB8" w:rsidRPr="00831CB8">
        <w:rPr>
          <w:rFonts w:ascii="Times New Roman" w:hAnsi="Times New Roman" w:hint="eastAsia"/>
          <w:sz w:val="24"/>
        </w:rPr>
        <w:t>基金管理人向基金托管人出具盖章的书面说明后，</w:t>
      </w:r>
      <w:r w:rsidRPr="00A76308">
        <w:rPr>
          <w:rFonts w:ascii="Times New Roman" w:hAnsi="Times New Roman" w:hint="eastAsia"/>
          <w:sz w:val="24"/>
        </w:rPr>
        <w:t>按照基金管理人对基金净值信息的计算结果对外予以公布。</w:t>
      </w:r>
      <w:bookmarkEnd w:id="1"/>
      <w:r>
        <w:rPr>
          <w:rFonts w:ascii="Times New Roman" w:hAnsi="Times New Roman" w:hint="eastAsia"/>
          <w:sz w:val="24"/>
        </w:rPr>
        <w:t>”</w:t>
      </w:r>
    </w:p>
    <w:p w:rsidR="00333558" w:rsidRPr="00F67514" w:rsidRDefault="00333558" w:rsidP="004E71F4">
      <w:pPr>
        <w:pStyle w:val="ae"/>
        <w:numPr>
          <w:ilvl w:val="0"/>
          <w:numId w:val="17"/>
        </w:numPr>
        <w:spacing w:line="540" w:lineRule="exact"/>
        <w:ind w:firstLine="480"/>
        <w:outlineLvl w:val="2"/>
        <w:rPr>
          <w:sz w:val="24"/>
        </w:rPr>
      </w:pPr>
      <w:r w:rsidRPr="00F67514">
        <w:rPr>
          <w:rFonts w:hint="eastAsia"/>
          <w:sz w:val="24"/>
        </w:rPr>
        <w:t>其他相关事项的修改</w:t>
      </w:r>
      <w:r w:rsidRPr="00F67514">
        <w:rPr>
          <w:sz w:val="24"/>
        </w:rPr>
        <w:t xml:space="preserve"> </w:t>
      </w:r>
    </w:p>
    <w:p w:rsidR="003C4C6E" w:rsidRPr="00273875" w:rsidRDefault="003C4C6E" w:rsidP="00910C14">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补充侧袋机制相关内容</w:t>
      </w:r>
      <w:r w:rsidR="00A65E94">
        <w:rPr>
          <w:rFonts w:ascii="Times New Roman" w:hAnsi="Times New Roman" w:hint="eastAsia"/>
          <w:sz w:val="24"/>
        </w:rPr>
        <w:t>，</w:t>
      </w:r>
      <w:r w:rsidR="00A65E94" w:rsidRPr="00A65E94">
        <w:rPr>
          <w:rFonts w:ascii="Times New Roman" w:hAnsi="Times New Roman" w:hint="eastAsia"/>
          <w:sz w:val="24"/>
        </w:rPr>
        <w:t>并更新基金托管人信息</w:t>
      </w:r>
      <w:r w:rsidRPr="00273875">
        <w:rPr>
          <w:rFonts w:ascii="Times New Roman" w:hAnsi="Times New Roman" w:hint="eastAsia"/>
          <w:sz w:val="24"/>
        </w:rPr>
        <w:t>。</w:t>
      </w:r>
    </w:p>
    <w:p w:rsidR="00333558" w:rsidRPr="00273875" w:rsidRDefault="00333558" w:rsidP="00BF4765">
      <w:pPr>
        <w:pStyle w:val="ae"/>
        <w:numPr>
          <w:ilvl w:val="0"/>
          <w:numId w:val="21"/>
        </w:numPr>
        <w:spacing w:line="540" w:lineRule="exact"/>
        <w:ind w:firstLine="480"/>
        <w:rPr>
          <w:rFonts w:ascii="Times New Roman" w:hAnsi="Times New Roman"/>
          <w:sz w:val="24"/>
        </w:rPr>
      </w:pPr>
      <w:r w:rsidRPr="00273875">
        <w:rPr>
          <w:rFonts w:ascii="Times New Roman" w:hAnsi="Times New Roman" w:hint="eastAsia"/>
          <w:sz w:val="24"/>
        </w:rPr>
        <w:t>删除</w:t>
      </w:r>
      <w:r w:rsidR="008D11DB" w:rsidRPr="00273875">
        <w:rPr>
          <w:rFonts w:ascii="Times New Roman" w:hAnsi="Times New Roman" w:hint="eastAsia"/>
          <w:sz w:val="24"/>
        </w:rPr>
        <w:t>《</w:t>
      </w:r>
      <w:r w:rsidRPr="00273875">
        <w:rPr>
          <w:rFonts w:ascii="Times New Roman" w:hAnsi="Times New Roman" w:hint="eastAsia"/>
          <w:sz w:val="24"/>
        </w:rPr>
        <w:t>基金合同</w:t>
      </w:r>
      <w:r w:rsidR="008D11DB" w:rsidRPr="00273875">
        <w:rPr>
          <w:rFonts w:ascii="Times New Roman" w:hAnsi="Times New Roman" w:hint="eastAsia"/>
          <w:sz w:val="24"/>
        </w:rPr>
        <w:t>》</w:t>
      </w:r>
      <w:r w:rsidRPr="00273875">
        <w:rPr>
          <w:rFonts w:ascii="Times New Roman" w:hAnsi="Times New Roman" w:hint="eastAsia"/>
          <w:sz w:val="24"/>
        </w:rPr>
        <w:t>中关于基金份额发售</w:t>
      </w:r>
      <w:r w:rsidR="005362EE" w:rsidRPr="00273875">
        <w:rPr>
          <w:rFonts w:ascii="Times New Roman" w:hAnsi="Times New Roman" w:hint="eastAsia"/>
          <w:sz w:val="24"/>
        </w:rPr>
        <w:t>和</w:t>
      </w:r>
      <w:r w:rsidRPr="00273875">
        <w:rPr>
          <w:rFonts w:ascii="Times New Roman" w:hAnsi="Times New Roman" w:hint="eastAsia"/>
          <w:sz w:val="24"/>
        </w:rPr>
        <w:t>基金备案的部分，并补充基金的历史沿革、基金的存续等内容。</w:t>
      </w:r>
      <w:r w:rsidRPr="00273875">
        <w:rPr>
          <w:rFonts w:ascii="Times New Roman" w:hAnsi="Times New Roman"/>
          <w:sz w:val="24"/>
        </w:rPr>
        <w:t xml:space="preserve"> </w:t>
      </w:r>
    </w:p>
    <w:p w:rsidR="00333558" w:rsidRDefault="00333558" w:rsidP="00BF4765">
      <w:pPr>
        <w:pStyle w:val="ae"/>
        <w:numPr>
          <w:ilvl w:val="0"/>
          <w:numId w:val="21"/>
        </w:numPr>
        <w:spacing w:line="540" w:lineRule="exact"/>
        <w:ind w:firstLine="480"/>
        <w:rPr>
          <w:rFonts w:ascii="Times New Roman" w:hAnsi="Times New Roman"/>
          <w:sz w:val="24"/>
        </w:rPr>
      </w:pPr>
      <w:r w:rsidRPr="00A24B09">
        <w:rPr>
          <w:rFonts w:ascii="Times New Roman" w:hAnsi="Times New Roman" w:hint="eastAsia"/>
          <w:sz w:val="24"/>
        </w:rPr>
        <w:t>基金管理人需要根据法律法规的要求及转型后的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FD0486">
        <w:rPr>
          <w:rFonts w:ascii="Times New Roman" w:hAnsi="Times New Roman" w:hint="eastAsia"/>
          <w:sz w:val="24"/>
        </w:rPr>
        <w:t>、实际运作</w:t>
      </w:r>
      <w:r w:rsidRPr="00A24B09">
        <w:rPr>
          <w:rFonts w:ascii="Times New Roman" w:hAnsi="Times New Roman" w:hint="eastAsia"/>
          <w:sz w:val="24"/>
        </w:rPr>
        <w:t>修订《基金合同》的相关内容。</w:t>
      </w:r>
    </w:p>
    <w:p w:rsidR="00021847" w:rsidRPr="00A24B09" w:rsidRDefault="00021847" w:rsidP="00BF4765">
      <w:pPr>
        <w:spacing w:line="540" w:lineRule="exact"/>
        <w:ind w:firstLineChars="200" w:firstLine="480"/>
        <w:rPr>
          <w:rFonts w:ascii="Times New Roman" w:hAnsi="Times New Roman"/>
          <w:sz w:val="24"/>
        </w:rPr>
      </w:pP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综上所述，基金管理人拟提请基金份额持有人大会授权基金管理人按照法律法规的规定及转型后的</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的产品特征</w:t>
      </w:r>
      <w:r w:rsidR="00C332A0">
        <w:rPr>
          <w:rFonts w:ascii="Times New Roman" w:hAnsi="Times New Roman" w:hint="eastAsia"/>
          <w:sz w:val="24"/>
        </w:rPr>
        <w:t>，并</w:t>
      </w:r>
      <w:r w:rsidRPr="00A24B09">
        <w:rPr>
          <w:rFonts w:ascii="Times New Roman" w:hAnsi="Times New Roman" w:hint="eastAsia"/>
          <w:sz w:val="24"/>
        </w:rPr>
        <w:t>根据基金份额持有人大会决议修订</w:t>
      </w:r>
      <w:r w:rsidR="00923D02">
        <w:rPr>
          <w:rFonts w:ascii="Times New Roman" w:hAnsi="Times New Roman" w:hint="eastAsia"/>
          <w:sz w:val="24"/>
        </w:rPr>
        <w:t>《</w:t>
      </w:r>
      <w:r w:rsidRPr="00A24B09">
        <w:rPr>
          <w:rFonts w:ascii="Times New Roman" w:hAnsi="Times New Roman" w:hint="eastAsia"/>
          <w:sz w:val="24"/>
        </w:rPr>
        <w:t>基金合同</w:t>
      </w:r>
      <w:r w:rsidR="00923D02">
        <w:rPr>
          <w:rFonts w:ascii="Times New Roman" w:hAnsi="Times New Roman" w:hint="eastAsia"/>
          <w:sz w:val="24"/>
        </w:rPr>
        <w:t>》</w:t>
      </w:r>
      <w:r w:rsidRPr="00A24B09">
        <w:rPr>
          <w:rFonts w:ascii="Times New Roman" w:hAnsi="Times New Roman" w:hint="eastAsia"/>
          <w:sz w:val="24"/>
        </w:rPr>
        <w:t>的其他内容。</w:t>
      </w:r>
      <w:r w:rsidR="008D11DB">
        <w:rPr>
          <w:rFonts w:ascii="Times New Roman" w:hAnsi="Times New Roman" w:hint="eastAsia"/>
          <w:sz w:val="24"/>
        </w:rPr>
        <w:t>具体请投资者关注附件</w:t>
      </w:r>
      <w:r w:rsidR="008D11DB" w:rsidRPr="008D11DB">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8D11DB" w:rsidRPr="008D11DB">
        <w:rPr>
          <w:rFonts w:ascii="Times New Roman" w:hAnsi="Times New Roman" w:hint="eastAsia"/>
          <w:sz w:val="24"/>
        </w:rPr>
        <w:t>年持有期混合型证券投资基金基金合同》</w:t>
      </w:r>
      <w:r w:rsidR="00754C86">
        <w:rPr>
          <w:rFonts w:ascii="Times New Roman" w:hAnsi="Times New Roman" w:hint="eastAsia"/>
          <w:sz w:val="24"/>
        </w:rPr>
        <w:t>。</w:t>
      </w:r>
    </w:p>
    <w:p w:rsidR="00333558" w:rsidRPr="00A24B09" w:rsidRDefault="00333558" w:rsidP="004E71F4">
      <w:pPr>
        <w:spacing w:line="540" w:lineRule="exact"/>
        <w:ind w:left="480"/>
        <w:outlineLvl w:val="1"/>
        <w:rPr>
          <w:b/>
          <w:sz w:val="24"/>
        </w:rPr>
      </w:pPr>
      <w:r w:rsidRPr="00A24B09">
        <w:rPr>
          <w:rFonts w:hint="eastAsia"/>
          <w:b/>
          <w:sz w:val="24"/>
        </w:rPr>
        <w:t>二、</w:t>
      </w:r>
      <w:r w:rsidR="007A3031">
        <w:rPr>
          <w:rFonts w:hint="eastAsia"/>
          <w:b/>
          <w:sz w:val="24"/>
        </w:rPr>
        <w:t>基金</w:t>
      </w:r>
      <w:r w:rsidRPr="00A24B09">
        <w:rPr>
          <w:rFonts w:hint="eastAsia"/>
          <w:b/>
          <w:sz w:val="24"/>
        </w:rPr>
        <w:t>转型前后的申购赎回安排</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w:t>
      </w:r>
      <w:r w:rsidR="007A3031">
        <w:rPr>
          <w:rFonts w:ascii="Times New Roman" w:hAnsi="Times New Roman" w:hint="eastAsia"/>
          <w:sz w:val="24"/>
        </w:rPr>
        <w:t>安排办理</w:t>
      </w:r>
      <w:r w:rsidRPr="00A24B09">
        <w:rPr>
          <w:rFonts w:ascii="Times New Roman" w:hAnsi="Times New Roman" w:hint="eastAsia"/>
          <w:sz w:val="24"/>
        </w:rPr>
        <w:t>申购</w:t>
      </w:r>
      <w:r w:rsidR="00F8473E">
        <w:rPr>
          <w:rFonts w:ascii="Times New Roman" w:hAnsi="Times New Roman" w:hint="eastAsia"/>
          <w:sz w:val="24"/>
        </w:rPr>
        <w:t>和</w:t>
      </w:r>
      <w:r w:rsidRPr="00A24B09">
        <w:rPr>
          <w:rFonts w:ascii="Times New Roman" w:hAnsi="Times New Roman" w:hint="eastAsia"/>
          <w:sz w:val="24"/>
        </w:rPr>
        <w:t>赎回</w:t>
      </w:r>
      <w:r w:rsidR="007A3031">
        <w:rPr>
          <w:rFonts w:ascii="Times New Roman" w:hAnsi="Times New Roman" w:hint="eastAsia"/>
          <w:sz w:val="24"/>
        </w:rPr>
        <w:t>业务的</w:t>
      </w:r>
      <w:r w:rsidR="00E47094">
        <w:rPr>
          <w:rFonts w:ascii="Times New Roman" w:hAnsi="Times New Roman" w:hint="eastAsia"/>
          <w:sz w:val="24"/>
        </w:rPr>
        <w:t>转型</w:t>
      </w:r>
      <w:r w:rsidRPr="00A24B09">
        <w:rPr>
          <w:rFonts w:ascii="Times New Roman" w:hAnsi="Times New Roman" w:hint="eastAsia"/>
          <w:sz w:val="24"/>
        </w:rPr>
        <w:t>选择期</w:t>
      </w:r>
    </w:p>
    <w:p w:rsidR="006F0C7F" w:rsidRPr="006F0C7F" w:rsidRDefault="006F0C7F" w:rsidP="00BF4765">
      <w:pPr>
        <w:spacing w:line="540" w:lineRule="exact"/>
        <w:ind w:firstLineChars="200" w:firstLine="480"/>
        <w:rPr>
          <w:rFonts w:ascii="Times New Roman" w:hAnsi="Times New Roman"/>
          <w:sz w:val="24"/>
        </w:rPr>
      </w:pP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年定期开放混合型证券投资基金</w:t>
      </w:r>
      <w:r w:rsidRPr="006F0C7F">
        <w:rPr>
          <w:rFonts w:ascii="Times New Roman" w:hAnsi="Times New Roman" w:hint="eastAsia"/>
          <w:sz w:val="24"/>
        </w:rPr>
        <w:t>在</w:t>
      </w:r>
      <w:r w:rsidR="003D131F">
        <w:rPr>
          <w:rFonts w:ascii="Times New Roman" w:hAnsi="Times New Roman" w:hint="eastAsia"/>
          <w:sz w:val="24"/>
        </w:rPr>
        <w:t>深圳</w:t>
      </w:r>
      <w:r w:rsidRPr="006F0C7F">
        <w:rPr>
          <w:rFonts w:ascii="Times New Roman" w:hAnsi="Times New Roman" w:hint="eastAsia"/>
          <w:sz w:val="24"/>
        </w:rPr>
        <w:t>证券交易所上市交易，变更注册为</w:t>
      </w:r>
      <w:r>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Pr>
          <w:rFonts w:ascii="Times New Roman" w:hAnsi="Times New Roman" w:hint="eastAsia"/>
          <w:sz w:val="24"/>
        </w:rPr>
        <w:t>年持有期混合型证券投资基金</w:t>
      </w:r>
      <w:r w:rsidRPr="006F0C7F">
        <w:rPr>
          <w:rFonts w:ascii="Times New Roman" w:hAnsi="Times New Roman" w:hint="eastAsia"/>
          <w:sz w:val="24"/>
        </w:rPr>
        <w:t>后将不再上市交易，且同时取消场内申购赎回安排。本次基金份额持有人大会决议生效后，本基金管理人将向</w:t>
      </w:r>
      <w:r w:rsidR="003D131F">
        <w:rPr>
          <w:rFonts w:ascii="Times New Roman" w:hAnsi="Times New Roman" w:hint="eastAsia"/>
          <w:sz w:val="24"/>
        </w:rPr>
        <w:t>深圳</w:t>
      </w:r>
      <w:r w:rsidRPr="006F0C7F">
        <w:rPr>
          <w:rFonts w:ascii="Times New Roman" w:hAnsi="Times New Roman" w:hint="eastAsia"/>
          <w:sz w:val="24"/>
        </w:rPr>
        <w:t>证券交易所申请终止上市及终止场内申购、赎回等业务。</w:t>
      </w:r>
    </w:p>
    <w:p w:rsidR="006F0C7F" w:rsidRPr="006F0C7F"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基金管理人将在本次基金份额持有人大会</w:t>
      </w:r>
      <w:r w:rsidR="00A04409">
        <w:rPr>
          <w:rFonts w:ascii="Times New Roman" w:hAnsi="Times New Roman" w:hint="eastAsia"/>
          <w:sz w:val="24"/>
        </w:rPr>
        <w:t>决议生效后</w:t>
      </w:r>
      <w:r w:rsidRPr="006F0C7F">
        <w:rPr>
          <w:rFonts w:ascii="Times New Roman" w:hAnsi="Times New Roman" w:hint="eastAsia"/>
          <w:sz w:val="24"/>
        </w:rPr>
        <w:t>预留</w:t>
      </w:r>
      <w:r w:rsidR="00673C3F">
        <w:rPr>
          <w:rFonts w:ascii="Times New Roman" w:hAnsi="Times New Roman" w:hint="eastAsia"/>
          <w:sz w:val="24"/>
        </w:rPr>
        <w:t>不少于</w:t>
      </w:r>
      <w:r w:rsidRPr="006F0C7F">
        <w:rPr>
          <w:rFonts w:ascii="Times New Roman" w:hAnsi="Times New Roman" w:hint="eastAsia"/>
          <w:sz w:val="24"/>
        </w:rPr>
        <w:t>二十个交易日供持有人选择赎回的前提下，制订有关基金转型正式实施的日期、转型实施前的申购赎回安排、终止上市交易等事项的转型实施安排并提前公告。提示投资者及时关注基金管理人届时发布的相关公告。</w:t>
      </w:r>
    </w:p>
    <w:p w:rsidR="006F0C7F" w:rsidRPr="00A24B09"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转型选择期期间，基金份额持有人可以选择将场内份额进行场内赎回、卖出或者通过跨系统转托管转到场外后继续持有场外份额。若</w:t>
      </w:r>
      <w:r w:rsidR="00624939">
        <w:rPr>
          <w:rFonts w:ascii="Times New Roman" w:hAnsi="Times New Roman" w:hint="eastAsia"/>
          <w:sz w:val="24"/>
        </w:rPr>
        <w:t>转型</w:t>
      </w:r>
      <w:r w:rsidRPr="006F0C7F">
        <w:rPr>
          <w:rFonts w:ascii="Times New Roman" w:hAnsi="Times New Roman" w:hint="eastAsia"/>
          <w:sz w:val="24"/>
        </w:rPr>
        <w:t>选择期结束后，基金份额持有人未选择将场内份额进行场内赎回、卖出或未主动通过跨系统转托管转到场外的，原登记在中国证券登记结算有限责任公司</w:t>
      </w:r>
      <w:r w:rsidR="003D131F">
        <w:rPr>
          <w:rFonts w:ascii="Times New Roman" w:hAnsi="Times New Roman" w:hint="eastAsia"/>
          <w:sz w:val="24"/>
        </w:rPr>
        <w:t>深圳</w:t>
      </w:r>
      <w:r w:rsidRPr="006F0C7F">
        <w:rPr>
          <w:rFonts w:ascii="Times New Roman" w:hAnsi="Times New Roman" w:hint="eastAsia"/>
          <w:sz w:val="24"/>
        </w:rPr>
        <w:t>证券登记结算系统的场内基金份额，将统一转登记至基金管理人开立的中国证券登记结算有限责任公司场外基金账户上，后续基金份额持有人需对持有的基金份额进行重新确认与登记，此过程即为“确权”</w:t>
      </w:r>
      <w:r w:rsidR="00837214">
        <w:rPr>
          <w:rFonts w:ascii="Times New Roman" w:hAnsi="Times New Roman" w:hint="eastAsia"/>
          <w:sz w:val="24"/>
        </w:rPr>
        <w:t>。</w:t>
      </w:r>
      <w:r w:rsidR="00837214" w:rsidRPr="00F42FE1">
        <w:rPr>
          <w:rFonts w:ascii="Times New Roman" w:hAnsi="Times New Roman" w:hint="eastAsia"/>
          <w:sz w:val="24"/>
        </w:rPr>
        <w:t>投资者未主动办理确权时，</w:t>
      </w:r>
      <w:r w:rsidR="004F2B8D">
        <w:rPr>
          <w:rFonts w:ascii="Times New Roman" w:hAnsi="Times New Roman" w:hint="eastAsia"/>
          <w:sz w:val="24"/>
        </w:rPr>
        <w:t>基金</w:t>
      </w:r>
      <w:r w:rsidR="00837214" w:rsidRPr="00F42FE1">
        <w:rPr>
          <w:rFonts w:ascii="Times New Roman" w:hAnsi="Times New Roman" w:hint="eastAsia"/>
          <w:sz w:val="24"/>
        </w:rPr>
        <w:t>管理人有权根据届时发布的公告进行批量确</w:t>
      </w:r>
      <w:r w:rsidR="00837214">
        <w:rPr>
          <w:rFonts w:ascii="Times New Roman" w:hAnsi="Times New Roman" w:hint="eastAsia"/>
          <w:sz w:val="24"/>
        </w:rPr>
        <w:t>权</w:t>
      </w:r>
      <w:r w:rsidR="00837214" w:rsidRPr="00F42FE1">
        <w:rPr>
          <w:rFonts w:ascii="Times New Roman" w:hAnsi="Times New Roman" w:hint="eastAsia"/>
          <w:sz w:val="24"/>
        </w:rPr>
        <w:t>。</w:t>
      </w:r>
      <w:r w:rsidRPr="006F0C7F">
        <w:rPr>
          <w:rFonts w:ascii="Times New Roman" w:hAnsi="Times New Roman" w:hint="eastAsia"/>
          <w:sz w:val="24"/>
        </w:rPr>
        <w:t>确权完成后，基金份额持有人方可在场外对相关基金份额进行赎回及其他交易</w:t>
      </w:r>
      <w:r w:rsidR="00135B16" w:rsidRPr="00135B16">
        <w:rPr>
          <w:rFonts w:ascii="Times New Roman" w:hAnsi="Times New Roman" w:hint="eastAsia"/>
          <w:sz w:val="24"/>
        </w:rPr>
        <w:t>。</w:t>
      </w:r>
      <w:r w:rsidR="00E6724D" w:rsidRPr="00BF029A">
        <w:rPr>
          <w:rFonts w:hint="eastAsia"/>
          <w:sz w:val="24"/>
        </w:rPr>
        <w:t>基金转型前</w:t>
      </w:r>
      <w:r w:rsidR="00135B16" w:rsidRPr="00135B16">
        <w:rPr>
          <w:rFonts w:ascii="Times New Roman" w:hAnsi="Times New Roman" w:hint="eastAsia"/>
          <w:sz w:val="24"/>
        </w:rPr>
        <w:t>基金份额持有人通过二级市场买入的场内份额在转型后不受锁定持有期的限制，但仍需根据转型后《东方红</w:t>
      </w:r>
      <w:r w:rsidR="00597A80">
        <w:rPr>
          <w:rFonts w:ascii="Times New Roman" w:hAnsi="Times New Roman" w:hint="eastAsia"/>
          <w:sz w:val="24"/>
        </w:rPr>
        <w:t>恒阳</w:t>
      </w:r>
      <w:r w:rsidR="00135B16" w:rsidRPr="00135B16">
        <w:rPr>
          <w:rFonts w:ascii="Times New Roman" w:hAnsi="Times New Roman" w:hint="eastAsia"/>
          <w:sz w:val="24"/>
        </w:rPr>
        <w:t>五年持有期混合型证券投资基金招募说明书》的规定办理</w:t>
      </w:r>
      <w:r w:rsidRPr="006F0C7F">
        <w:rPr>
          <w:rFonts w:ascii="Times New Roman" w:hAnsi="Times New Roman" w:hint="eastAsia"/>
          <w:sz w:val="24"/>
        </w:rPr>
        <w:t>。</w:t>
      </w:r>
    </w:p>
    <w:p w:rsidR="00333558" w:rsidRDefault="006F0C7F" w:rsidP="00BF4765">
      <w:pPr>
        <w:spacing w:line="540" w:lineRule="exact"/>
        <w:ind w:firstLineChars="200" w:firstLine="480"/>
        <w:rPr>
          <w:rFonts w:ascii="Times New Roman" w:hAnsi="Times New Roman"/>
          <w:sz w:val="24"/>
        </w:rPr>
      </w:pPr>
      <w:r w:rsidRPr="006F0C7F">
        <w:rPr>
          <w:rFonts w:ascii="Times New Roman" w:hAnsi="Times New Roman" w:hint="eastAsia"/>
          <w:sz w:val="24"/>
        </w:rPr>
        <w:t>转型选择期期间，本基金将</w:t>
      </w:r>
      <w:r w:rsidR="005E01ED">
        <w:rPr>
          <w:rFonts w:ascii="Times New Roman" w:hAnsi="Times New Roman" w:hint="eastAsia"/>
          <w:sz w:val="24"/>
        </w:rPr>
        <w:t>不开放</w:t>
      </w:r>
      <w:r w:rsidRPr="006F0C7F">
        <w:rPr>
          <w:rFonts w:ascii="Times New Roman" w:hAnsi="Times New Roman" w:hint="eastAsia"/>
          <w:sz w:val="24"/>
        </w:rPr>
        <w:t>场内</w:t>
      </w:r>
      <w:r w:rsidR="007E07E0">
        <w:rPr>
          <w:rFonts w:ascii="Times New Roman" w:hAnsi="Times New Roman" w:hint="eastAsia"/>
          <w:sz w:val="24"/>
        </w:rPr>
        <w:t>申购、场外</w:t>
      </w:r>
      <w:r w:rsidRPr="006F0C7F">
        <w:rPr>
          <w:rFonts w:ascii="Times New Roman" w:hAnsi="Times New Roman" w:hint="eastAsia"/>
          <w:sz w:val="24"/>
        </w:rPr>
        <w:t>申购</w:t>
      </w:r>
      <w:r w:rsidR="005E01ED">
        <w:rPr>
          <w:rFonts w:ascii="Times New Roman" w:hAnsi="Times New Roman" w:hint="eastAsia"/>
          <w:sz w:val="24"/>
        </w:rPr>
        <w:t>、转换转入</w:t>
      </w:r>
      <w:r w:rsidR="00EF7196">
        <w:rPr>
          <w:rFonts w:ascii="Times New Roman" w:hAnsi="Times New Roman" w:hint="eastAsia"/>
          <w:sz w:val="24"/>
        </w:rPr>
        <w:t>，</w:t>
      </w:r>
      <w:r w:rsidRPr="006F0C7F">
        <w:rPr>
          <w:rFonts w:ascii="Times New Roman" w:hAnsi="Times New Roman" w:hint="eastAsia"/>
          <w:sz w:val="24"/>
        </w:rPr>
        <w:t>以及场外转场内的跨系统转托管业务。同时，本基金场内交易、场内赎回、场外赎回</w:t>
      </w:r>
      <w:r w:rsidR="003E34D1" w:rsidRPr="003E34D1">
        <w:rPr>
          <w:rFonts w:ascii="Times New Roman" w:hAnsi="Times New Roman" w:hint="eastAsia"/>
          <w:sz w:val="24"/>
        </w:rPr>
        <w:t>及转换转出</w:t>
      </w:r>
      <w:r w:rsidRPr="006F0C7F">
        <w:rPr>
          <w:rFonts w:ascii="Times New Roman" w:hAnsi="Times New Roman" w:hint="eastAsia"/>
          <w:sz w:val="24"/>
        </w:rPr>
        <w:t>、场内转场外跨系统转托管业务正常办理。</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w:t>
      </w:r>
      <w:r w:rsidRPr="00EF71A9">
        <w:rPr>
          <w:rFonts w:ascii="Times New Roman" w:hAnsi="Times New Roman" w:hint="eastAsia"/>
          <w:sz w:val="24"/>
        </w:rPr>
        <w:t>《</w:t>
      </w:r>
      <w:r w:rsidR="00AC25BC" w:rsidRPr="00EF71A9">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sidRPr="00EF71A9">
        <w:rPr>
          <w:rFonts w:ascii="Times New Roman" w:hAnsi="Times New Roman" w:hint="eastAsia"/>
          <w:sz w:val="24"/>
        </w:rPr>
        <w:t>年持有期混合型证券投资基金</w:t>
      </w:r>
      <w:r w:rsidRPr="00EF71A9">
        <w:rPr>
          <w:rFonts w:ascii="Times New Roman" w:hAnsi="Times New Roman" w:hint="eastAsia"/>
          <w:sz w:val="24"/>
        </w:rPr>
        <w:t>基金合同》的生效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624939">
        <w:rPr>
          <w:rFonts w:ascii="Times New Roman" w:hAnsi="Times New Roman" w:hint="eastAsia"/>
          <w:sz w:val="24"/>
        </w:rPr>
        <w:t>转型</w:t>
      </w:r>
      <w:r w:rsidRPr="00A24B09">
        <w:rPr>
          <w:rFonts w:ascii="Times New Roman" w:hAnsi="Times New Roman" w:hint="eastAsia"/>
          <w:sz w:val="24"/>
        </w:rPr>
        <w:t>选择期结束之日的次</w:t>
      </w:r>
      <w:r w:rsidR="00673C3F">
        <w:rPr>
          <w:rFonts w:ascii="Times New Roman" w:hAnsi="Times New Roman" w:hint="eastAsia"/>
          <w:sz w:val="24"/>
        </w:rPr>
        <w:t>一工作</w:t>
      </w:r>
      <w:r w:rsidRPr="00A24B09">
        <w:rPr>
          <w:rFonts w:ascii="Times New Roman" w:hAnsi="Times New Roman" w:hint="eastAsia"/>
          <w:sz w:val="24"/>
        </w:rPr>
        <w:t>日起，本基金管理人将根据</w:t>
      </w:r>
      <w:r w:rsidR="007F2B17">
        <w:rPr>
          <w:rFonts w:ascii="Times New Roman" w:hAnsi="Times New Roman" w:hint="eastAsia"/>
          <w:sz w:val="24"/>
        </w:rPr>
        <w:t>基金份额</w:t>
      </w:r>
      <w:r w:rsidRPr="00A24B09">
        <w:rPr>
          <w:rFonts w:ascii="Times New Roman" w:hAnsi="Times New Roman" w:hint="eastAsia"/>
          <w:sz w:val="24"/>
        </w:rPr>
        <w:t>持有人大会决议执行基金的正式转型，将原基金份额变更为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的基金份额。</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自</w:t>
      </w:r>
      <w:r w:rsidR="005D6F13">
        <w:rPr>
          <w:rFonts w:ascii="Times New Roman" w:hAnsi="Times New Roman" w:hint="eastAsia"/>
          <w:sz w:val="24"/>
        </w:rPr>
        <w:t>转型</w:t>
      </w:r>
      <w:r w:rsidRPr="00A24B09">
        <w:rPr>
          <w:rFonts w:ascii="Times New Roman" w:hAnsi="Times New Roman" w:hint="eastAsia"/>
          <w:sz w:val="24"/>
        </w:rPr>
        <w:t>选择期结束之日的次</w:t>
      </w:r>
      <w:r w:rsidR="00673C3F">
        <w:rPr>
          <w:rFonts w:ascii="Times New Roman" w:hAnsi="Times New Roman" w:hint="eastAsia"/>
          <w:sz w:val="24"/>
        </w:rPr>
        <w:t>一工作</w:t>
      </w:r>
      <w:r w:rsidRPr="00A24B09">
        <w:rPr>
          <w:rFonts w:ascii="Times New Roman" w:hAnsi="Times New Roman" w:hint="eastAsia"/>
          <w:sz w:val="24"/>
        </w:rPr>
        <w:t>日起，《</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基金合同》生效，《</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年定期开放混合型证券投资基金</w:t>
      </w:r>
      <w:r w:rsidRPr="00A24B09">
        <w:rPr>
          <w:rFonts w:ascii="Times New Roman" w:hAnsi="Times New Roman" w:hint="eastAsia"/>
          <w:sz w:val="24"/>
        </w:rPr>
        <w:t>基金合同》同时失效，</w:t>
      </w:r>
      <w:r w:rsidR="00A42367">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42367">
        <w:rPr>
          <w:rFonts w:ascii="Times New Roman" w:hAnsi="Times New Roman" w:hint="eastAsia"/>
          <w:sz w:val="24"/>
        </w:rPr>
        <w:t>年定期开放混合型证券投资基金</w:t>
      </w:r>
      <w:r w:rsidRPr="00A24B09">
        <w:rPr>
          <w:rFonts w:ascii="Times New Roman" w:hAnsi="Times New Roman" w:hint="eastAsia"/>
          <w:sz w:val="24"/>
        </w:rPr>
        <w:t>正式变更为</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（以下简称“</w:t>
      </w:r>
      <w:r w:rsidR="007D55A0">
        <w:rPr>
          <w:rFonts w:ascii="Times New Roman" w:hAnsi="Times New Roman" w:hint="eastAsia"/>
          <w:sz w:val="24"/>
        </w:rPr>
        <w:t>转型后</w:t>
      </w:r>
      <w:r w:rsidRPr="00A24B09">
        <w:rPr>
          <w:rFonts w:ascii="Times New Roman" w:hAnsi="Times New Roman" w:hint="eastAsia"/>
          <w:sz w:val="24"/>
        </w:rPr>
        <w:t>基金”），基金合同当事人将按照《</w:t>
      </w:r>
      <w:r w:rsidR="00AC25BC">
        <w:rPr>
          <w:rFonts w:ascii="Times New Roman" w:hAnsi="Times New Roman" w:hint="eastAsia"/>
          <w:sz w:val="24"/>
        </w:rPr>
        <w:t>东方红</w:t>
      </w:r>
      <w:r w:rsidR="00597A80">
        <w:rPr>
          <w:rFonts w:ascii="Times New Roman" w:hAnsi="Times New Roman" w:hint="eastAsia"/>
          <w:sz w:val="24"/>
        </w:rPr>
        <w:t>恒阳</w:t>
      </w:r>
      <w:r w:rsidR="00ED4487">
        <w:rPr>
          <w:rFonts w:ascii="Times New Roman" w:hAnsi="Times New Roman" w:hint="eastAsia"/>
          <w:sz w:val="24"/>
        </w:rPr>
        <w:t>五</w:t>
      </w:r>
      <w:r w:rsidR="00AC25BC">
        <w:rPr>
          <w:rFonts w:ascii="Times New Roman" w:hAnsi="Times New Roman" w:hint="eastAsia"/>
          <w:sz w:val="24"/>
        </w:rPr>
        <w:t>年持有期混合型证券投资基金</w:t>
      </w:r>
      <w:r w:rsidRPr="00A24B09">
        <w:rPr>
          <w:rFonts w:ascii="Times New Roman" w:hAnsi="Times New Roman" w:hint="eastAsia"/>
          <w:sz w:val="24"/>
        </w:rPr>
        <w:t>基金合同》享有权利并承担义务。</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（三）转型后基金申购、赎回业务的办理</w:t>
      </w:r>
      <w:r w:rsidRPr="00A24B09">
        <w:rPr>
          <w:rFonts w:ascii="Times New Roman" w:hAnsi="Times New Roman"/>
          <w:sz w:val="24"/>
        </w:rPr>
        <w:t xml:space="preserve"> </w:t>
      </w:r>
    </w:p>
    <w:p w:rsidR="007E2792" w:rsidRDefault="007D55A0" w:rsidP="00BF4765">
      <w:pPr>
        <w:spacing w:line="540" w:lineRule="exact"/>
        <w:ind w:firstLineChars="200" w:firstLine="480"/>
        <w:rPr>
          <w:rFonts w:ascii="Times New Roman" w:hAnsi="Times New Roman"/>
          <w:sz w:val="24"/>
        </w:rPr>
      </w:pPr>
      <w:r w:rsidRPr="007D55A0">
        <w:rPr>
          <w:rFonts w:ascii="Times New Roman" w:hAnsi="Times New Roman" w:hint="eastAsia"/>
          <w:sz w:val="24"/>
        </w:rPr>
        <w:t>转型后</w:t>
      </w:r>
      <w:r w:rsidR="007E2792" w:rsidRPr="007E2792">
        <w:rPr>
          <w:rFonts w:ascii="Times New Roman" w:hAnsi="Times New Roman" w:hint="eastAsia"/>
          <w:sz w:val="24"/>
        </w:rPr>
        <w:t>基金</w:t>
      </w:r>
      <w:r w:rsidR="00092C04" w:rsidRPr="00092C04">
        <w:rPr>
          <w:rFonts w:ascii="Times New Roman" w:hAnsi="Times New Roman" w:hint="eastAsia"/>
          <w:sz w:val="24"/>
        </w:rPr>
        <w:t>对每份基金份额设置</w:t>
      </w:r>
      <w:r w:rsidR="00FD5AD0">
        <w:rPr>
          <w:rFonts w:ascii="Times New Roman" w:hAnsi="Times New Roman" w:hint="eastAsia"/>
          <w:sz w:val="24"/>
        </w:rPr>
        <w:t>五</w:t>
      </w:r>
      <w:r w:rsidR="00092C04" w:rsidRPr="00092C04">
        <w:rPr>
          <w:rFonts w:ascii="Times New Roman" w:hAnsi="Times New Roman" w:hint="eastAsia"/>
          <w:sz w:val="24"/>
        </w:rPr>
        <w:t>年锁定持有期，</w:t>
      </w:r>
      <w:r w:rsidR="00F97C64">
        <w:rPr>
          <w:rFonts w:ascii="Times New Roman" w:hAnsi="Times New Roman" w:hint="eastAsia"/>
          <w:sz w:val="24"/>
        </w:rPr>
        <w:t>但基金合同另有约定除外</w:t>
      </w:r>
      <w:r w:rsidR="00092C04" w:rsidRPr="00092C04">
        <w:rPr>
          <w:rFonts w:ascii="Times New Roman" w:hAnsi="Times New Roman" w:hint="eastAsia"/>
          <w:sz w:val="24"/>
        </w:rPr>
        <w:t>。锁定持有期指基金份额登记日（对基金合同生效前已经持有的份额而言，下同）、基金份额申购申请日（对基金合同生效后申购份额而言，下同）或基金份额转换转入申请日（对基金合同生效后转换转入份额而言，下同）起（即锁定持有期起始日），至基金份额登记日、基金份额申购申请日或基金份额转换转入申请日次</w:t>
      </w:r>
      <w:r w:rsidR="00FD5AD0">
        <w:rPr>
          <w:rFonts w:ascii="Times New Roman" w:hAnsi="Times New Roman" w:hint="eastAsia"/>
          <w:sz w:val="24"/>
        </w:rPr>
        <w:t>五</w:t>
      </w:r>
      <w:r w:rsidR="00092C04" w:rsidRPr="00092C04">
        <w:rPr>
          <w:rFonts w:ascii="Times New Roman" w:hAnsi="Times New Roman" w:hint="eastAsia"/>
          <w:sz w:val="24"/>
        </w:rPr>
        <w:t>年的年度对日的前一日（即锁定持有期到期日）之间的区间。每份基金份额的锁定持有期结束后即进入开放持有期，开放持有期首日为锁定持有期起始日次</w:t>
      </w:r>
      <w:r w:rsidR="00FD5AD0">
        <w:rPr>
          <w:rFonts w:ascii="Times New Roman" w:hAnsi="Times New Roman" w:hint="eastAsia"/>
          <w:sz w:val="24"/>
        </w:rPr>
        <w:t>五</w:t>
      </w:r>
      <w:r w:rsidR="00092C04" w:rsidRPr="00092C04">
        <w:rPr>
          <w:rFonts w:ascii="Times New Roman" w:hAnsi="Times New Roman" w:hint="eastAsia"/>
          <w:sz w:val="24"/>
        </w:rPr>
        <w:t>年的年度对日。每份基金份额在开放持有期的开放日可以办理赎回及转换转出业务。</w:t>
      </w:r>
    </w:p>
    <w:p w:rsidR="00333558" w:rsidRPr="00A24B09" w:rsidRDefault="00333558" w:rsidP="004E71F4">
      <w:pPr>
        <w:spacing w:line="540" w:lineRule="exact"/>
        <w:ind w:left="480"/>
        <w:outlineLvl w:val="1"/>
        <w:rPr>
          <w:b/>
          <w:sz w:val="24"/>
        </w:rPr>
      </w:pPr>
      <w:r w:rsidRPr="00A24B09">
        <w:rPr>
          <w:rFonts w:hint="eastAsia"/>
          <w:b/>
          <w:sz w:val="24"/>
        </w:rPr>
        <w:t>三、</w:t>
      </w:r>
      <w:r w:rsidR="007A3031">
        <w:rPr>
          <w:rFonts w:hint="eastAsia"/>
          <w:b/>
          <w:sz w:val="24"/>
        </w:rPr>
        <w:t>召开基金份额持有人大会</w:t>
      </w:r>
      <w:r w:rsidRPr="00A24B09">
        <w:rPr>
          <w:rFonts w:hint="eastAsia"/>
          <w:b/>
          <w:sz w:val="24"/>
        </w:rPr>
        <w:t>的主要风险及预备措施</w:t>
      </w:r>
      <w:r w:rsidRPr="00A24B09">
        <w:rPr>
          <w:b/>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（一）转型方案被持有人大会否决的风险</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防范转型方案被基金份额持有人大会否决的风险，基金管理人将提前向基金份额持有人征询意见。如有必要，基金管理人将根据基金份额持有人意见，对转型方案进行适当的修订，并重新公告。基金管理人可在必要情况下，推迟基金份额持有人大会的召开时间。</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如果议案未获得持有人大会的批准，基金管理人将按照有关规定重新向持有人大会提交转型方案议案。</w:t>
      </w:r>
      <w:r w:rsidRPr="00A24B09">
        <w:rPr>
          <w:rFonts w:ascii="Times New Roman" w:hAnsi="Times New Roman"/>
          <w:sz w:val="24"/>
        </w:rPr>
        <w:t xml:space="preserve"> </w:t>
      </w:r>
    </w:p>
    <w:p w:rsidR="00333558" w:rsidRPr="00A24B09"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（二）转型</w:t>
      </w:r>
      <w:r w:rsidR="007A3031">
        <w:rPr>
          <w:rFonts w:ascii="Times New Roman" w:hAnsi="Times New Roman" w:hint="eastAsia"/>
          <w:sz w:val="24"/>
        </w:rPr>
        <w:t>方案通过</w:t>
      </w:r>
      <w:r w:rsidRPr="00A24B09">
        <w:rPr>
          <w:rFonts w:ascii="Times New Roman" w:hAnsi="Times New Roman" w:hint="eastAsia"/>
          <w:sz w:val="24"/>
        </w:rPr>
        <w:t>后遭遇大规模赎回的风险</w:t>
      </w:r>
      <w:r w:rsidRPr="00A24B09">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A24B09">
        <w:rPr>
          <w:rFonts w:ascii="Times New Roman" w:hAnsi="Times New Roman" w:hint="eastAsia"/>
          <w:sz w:val="24"/>
        </w:rPr>
        <w:t>为应对转型</w:t>
      </w:r>
      <w:r w:rsidR="007A3031">
        <w:rPr>
          <w:rFonts w:ascii="Times New Roman" w:hAnsi="Times New Roman" w:hint="eastAsia"/>
          <w:sz w:val="24"/>
        </w:rPr>
        <w:t>方案通过</w:t>
      </w:r>
      <w:r w:rsidRPr="00A24B09">
        <w:rPr>
          <w:rFonts w:ascii="Times New Roman" w:hAnsi="Times New Roman" w:hint="eastAsia"/>
          <w:sz w:val="24"/>
        </w:rPr>
        <w:t>后遭遇大规模赎回，基金在转型期间将尽可能保证投资组合的流动性，应付转型前后可能出现的较大规模赎回，降低净值波动率。</w:t>
      </w:r>
      <w:r w:rsidRPr="00333558">
        <w:rPr>
          <w:rFonts w:ascii="Times New Roman" w:hAnsi="Times New Roman"/>
          <w:sz w:val="24"/>
        </w:rPr>
        <w:t xml:space="preserve"> </w:t>
      </w:r>
    </w:p>
    <w:p w:rsidR="00333558" w:rsidRPr="00333558" w:rsidRDefault="00333558" w:rsidP="004E71F4">
      <w:pPr>
        <w:spacing w:line="540" w:lineRule="exact"/>
        <w:ind w:left="480"/>
        <w:outlineLvl w:val="1"/>
        <w:rPr>
          <w:b/>
          <w:sz w:val="24"/>
        </w:rPr>
      </w:pPr>
      <w:r w:rsidRPr="00333558">
        <w:rPr>
          <w:rFonts w:hint="eastAsia"/>
          <w:b/>
          <w:sz w:val="24"/>
        </w:rPr>
        <w:t>四、基金管理人联系方式</w:t>
      </w:r>
      <w:r w:rsidRPr="00333558">
        <w:rPr>
          <w:b/>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基金份额持有人若对本方案的内容有任何意见和建议，请通过以下方式联系</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基金管理人：上海东方证券资产管理有限公司</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客服电话：</w:t>
      </w:r>
      <w:r w:rsidRPr="00333558">
        <w:rPr>
          <w:rFonts w:ascii="Times New Roman" w:hAnsi="Times New Roman"/>
          <w:sz w:val="24"/>
        </w:rPr>
        <w:t>400-</w:t>
      </w:r>
      <w:r w:rsidRPr="00333558">
        <w:rPr>
          <w:rFonts w:ascii="Times New Roman" w:hAnsi="Times New Roman" w:hint="eastAsia"/>
          <w:sz w:val="24"/>
        </w:rPr>
        <w:t>920</w:t>
      </w:r>
      <w:r w:rsidRPr="00333558">
        <w:rPr>
          <w:rFonts w:ascii="Times New Roman" w:hAnsi="Times New Roman"/>
          <w:sz w:val="24"/>
        </w:rPr>
        <w:t>-0</w:t>
      </w:r>
      <w:r w:rsidRPr="00333558">
        <w:rPr>
          <w:rFonts w:ascii="Times New Roman" w:hAnsi="Times New Roman" w:hint="eastAsia"/>
          <w:sz w:val="24"/>
        </w:rPr>
        <w:t>808</w:t>
      </w:r>
      <w:r w:rsidRPr="00333558">
        <w:rPr>
          <w:rFonts w:ascii="Times New Roman" w:hAnsi="Times New Roman"/>
          <w:sz w:val="24"/>
        </w:rPr>
        <w:t xml:space="preserve"> </w:t>
      </w:r>
    </w:p>
    <w:p w:rsidR="00333558" w:rsidRPr="00333558" w:rsidRDefault="00333558" w:rsidP="00BF4765">
      <w:pPr>
        <w:spacing w:line="540" w:lineRule="exact"/>
        <w:ind w:firstLineChars="200" w:firstLine="480"/>
        <w:rPr>
          <w:rFonts w:ascii="Times New Roman" w:hAnsi="Times New Roman"/>
          <w:sz w:val="24"/>
        </w:rPr>
      </w:pPr>
      <w:r w:rsidRPr="00333558">
        <w:rPr>
          <w:rFonts w:ascii="Times New Roman" w:hAnsi="Times New Roman" w:hint="eastAsia"/>
          <w:sz w:val="24"/>
        </w:rPr>
        <w:t>公司网站：</w:t>
      </w:r>
      <w:r w:rsidRPr="00333558">
        <w:rPr>
          <w:rFonts w:ascii="Times New Roman" w:hAnsi="Times New Roman"/>
          <w:sz w:val="24"/>
        </w:rPr>
        <w:t>www.</w:t>
      </w:r>
      <w:r w:rsidRPr="00333558">
        <w:rPr>
          <w:rFonts w:ascii="Times New Roman" w:hAnsi="Times New Roman" w:hint="eastAsia"/>
          <w:sz w:val="24"/>
        </w:rPr>
        <w:t>dfham</w:t>
      </w:r>
      <w:r w:rsidRPr="00333558">
        <w:rPr>
          <w:rFonts w:ascii="Times New Roman" w:hAnsi="Times New Roman"/>
          <w:sz w:val="24"/>
        </w:rPr>
        <w:t>.com</w:t>
      </w:r>
    </w:p>
    <w:p w:rsidR="00333558" w:rsidRPr="00333558" w:rsidRDefault="00333558" w:rsidP="008F3C70">
      <w:pPr>
        <w:adjustRightInd w:val="0"/>
        <w:snapToGrid w:val="0"/>
        <w:spacing w:beforeLines="100" w:line="540" w:lineRule="exact"/>
        <w:ind w:firstLineChars="200" w:firstLine="480"/>
        <w:rPr>
          <w:rFonts w:ascii="Arial Unicode MS" w:hAnsi="Arial Unicode MS" w:cs="新宋体-18030"/>
          <w:kern w:val="0"/>
          <w:sz w:val="24"/>
          <w:szCs w:val="24"/>
        </w:rPr>
      </w:pPr>
      <w:r w:rsidRPr="00333558">
        <w:rPr>
          <w:rFonts w:ascii="Arial Unicode MS" w:hAnsi="Arial Unicode MS" w:cs="新宋体-18030" w:hint="eastAsia"/>
          <w:kern w:val="0"/>
          <w:sz w:val="24"/>
          <w:szCs w:val="24"/>
        </w:rPr>
        <w:t>特此说明。</w:t>
      </w:r>
    </w:p>
    <w:p w:rsidR="00B7172F" w:rsidRPr="00F756F9" w:rsidRDefault="00B7172F" w:rsidP="008F3C70">
      <w:pPr>
        <w:adjustRightInd w:val="0"/>
        <w:snapToGrid w:val="0"/>
        <w:spacing w:beforeLines="100" w:line="400" w:lineRule="exact"/>
        <w:ind w:firstLineChars="200" w:firstLine="480"/>
        <w:jc w:val="right"/>
        <w:rPr>
          <w:rFonts w:ascii="Arial Unicode MS" w:hAnsi="Arial Unicode MS"/>
          <w:sz w:val="24"/>
        </w:rPr>
      </w:pPr>
      <w:r>
        <w:rPr>
          <w:rFonts w:ascii="宋体" w:cs="宋体" w:hint="eastAsia"/>
          <w:kern w:val="0"/>
          <w:sz w:val="24"/>
          <w:szCs w:val="24"/>
        </w:rPr>
        <w:t>上海东方证券资产</w:t>
      </w:r>
      <w:r w:rsidRPr="00F756F9">
        <w:rPr>
          <w:rFonts w:ascii="Arial Unicode MS" w:hAnsi="Arial Unicode MS" w:hint="eastAsia"/>
          <w:sz w:val="24"/>
        </w:rPr>
        <w:t>管理有限公司</w:t>
      </w:r>
    </w:p>
    <w:p w:rsidR="00B7172F" w:rsidRPr="0096329D" w:rsidRDefault="007E7873" w:rsidP="00B7172F">
      <w:pPr>
        <w:wordWrap w:val="0"/>
        <w:autoSpaceDE w:val="0"/>
        <w:autoSpaceDN w:val="0"/>
        <w:adjustRightInd w:val="0"/>
        <w:spacing w:line="360" w:lineRule="auto"/>
        <w:ind w:firstLineChars="200" w:firstLine="480"/>
        <w:jc w:val="right"/>
        <w:rPr>
          <w:rFonts w:ascii="宋体" w:cs="宋体"/>
          <w:kern w:val="0"/>
          <w:sz w:val="24"/>
          <w:szCs w:val="24"/>
        </w:rPr>
      </w:pPr>
      <w:r w:rsidRPr="00565B7B">
        <w:rPr>
          <w:rFonts w:ascii="宋体" w:cs="宋体"/>
          <w:kern w:val="0"/>
          <w:sz w:val="24"/>
          <w:szCs w:val="24"/>
        </w:rPr>
        <w:t>202</w:t>
      </w:r>
      <w:r>
        <w:rPr>
          <w:rFonts w:ascii="宋体" w:cs="宋体"/>
          <w:kern w:val="0"/>
          <w:sz w:val="24"/>
          <w:szCs w:val="24"/>
        </w:rPr>
        <w:t>4</w:t>
      </w:r>
      <w:r w:rsidR="00B7172F" w:rsidRPr="00565B7B">
        <w:rPr>
          <w:rFonts w:ascii="宋体" w:cs="宋体"/>
          <w:kern w:val="0"/>
          <w:sz w:val="24"/>
          <w:szCs w:val="24"/>
        </w:rPr>
        <w:t>年</w:t>
      </w:r>
      <w:r w:rsidR="00D87870">
        <w:rPr>
          <w:rFonts w:ascii="宋体" w:cs="宋体"/>
          <w:kern w:val="0"/>
          <w:sz w:val="24"/>
          <w:szCs w:val="24"/>
        </w:rPr>
        <w:t>12</w:t>
      </w:r>
      <w:r w:rsidR="00B7172F" w:rsidRPr="00565B7B">
        <w:rPr>
          <w:rFonts w:ascii="宋体" w:cs="宋体"/>
          <w:kern w:val="0"/>
          <w:sz w:val="24"/>
          <w:szCs w:val="24"/>
        </w:rPr>
        <w:t>月</w:t>
      </w:r>
      <w:r w:rsidR="00D87870">
        <w:rPr>
          <w:rFonts w:ascii="宋体" w:cs="宋体"/>
          <w:kern w:val="0"/>
          <w:sz w:val="24"/>
          <w:szCs w:val="24"/>
        </w:rPr>
        <w:t>6</w:t>
      </w:r>
      <w:r w:rsidR="00B7172F" w:rsidRPr="00565B7B">
        <w:rPr>
          <w:rFonts w:ascii="宋体" w:cs="宋体"/>
          <w:kern w:val="0"/>
          <w:sz w:val="24"/>
          <w:szCs w:val="24"/>
        </w:rPr>
        <w:t>日</w:t>
      </w:r>
    </w:p>
    <w:p w:rsidR="00273D2E" w:rsidRPr="00482C5B" w:rsidRDefault="00273D2E" w:rsidP="00482C5B">
      <w:pPr>
        <w:wordWrap w:val="0"/>
        <w:autoSpaceDE w:val="0"/>
        <w:autoSpaceDN w:val="0"/>
        <w:adjustRightInd w:val="0"/>
        <w:spacing w:line="360" w:lineRule="auto"/>
        <w:ind w:firstLineChars="200" w:firstLine="480"/>
        <w:jc w:val="right"/>
        <w:rPr>
          <w:rFonts w:ascii="宋体" w:cs="宋体"/>
          <w:kern w:val="0"/>
          <w:sz w:val="24"/>
          <w:szCs w:val="24"/>
        </w:rPr>
        <w:sectPr w:rsidR="00273D2E" w:rsidRPr="00482C5B" w:rsidSect="00F67514">
          <w:pgSz w:w="11906" w:h="16838"/>
          <w:pgMar w:top="1440" w:right="1800" w:bottom="1440" w:left="1800" w:header="851" w:footer="992" w:gutter="0"/>
          <w:cols w:space="425"/>
          <w:docGrid w:type="lines" w:linePitch="312"/>
        </w:sectPr>
      </w:pPr>
    </w:p>
    <w:p w:rsidR="0057402A" w:rsidRPr="00F756F9" w:rsidRDefault="0057402A" w:rsidP="0057402A">
      <w:pPr>
        <w:pStyle w:val="1"/>
        <w:rPr>
          <w:rFonts w:ascii="宋体" w:cs="宋体"/>
          <w:b w:val="0"/>
          <w:kern w:val="0"/>
          <w:sz w:val="28"/>
          <w:szCs w:val="28"/>
        </w:rPr>
      </w:pPr>
      <w:r w:rsidRPr="0057402A">
        <w:rPr>
          <w:rFonts w:hint="eastAsia"/>
          <w:sz w:val="32"/>
          <w:szCs w:val="32"/>
        </w:rPr>
        <w:t>附件</w:t>
      </w:r>
      <w:r w:rsidR="007E7873">
        <w:rPr>
          <w:rFonts w:hint="eastAsia"/>
          <w:sz w:val="32"/>
          <w:szCs w:val="32"/>
        </w:rPr>
        <w:t>三</w:t>
      </w:r>
      <w:r w:rsidRPr="0057402A">
        <w:rPr>
          <w:rFonts w:hint="eastAsia"/>
          <w:sz w:val="32"/>
          <w:szCs w:val="32"/>
        </w:rPr>
        <w:t>：</w:t>
      </w:r>
    </w:p>
    <w:p w:rsidR="0057402A" w:rsidRPr="00F756F9" w:rsidRDefault="0057402A" w:rsidP="0057402A">
      <w:pPr>
        <w:autoSpaceDE w:val="0"/>
        <w:autoSpaceDN w:val="0"/>
        <w:adjustRightInd w:val="0"/>
        <w:spacing w:line="360" w:lineRule="auto"/>
        <w:jc w:val="center"/>
        <w:rPr>
          <w:rFonts w:ascii="宋体" w:cs="宋体"/>
          <w:b/>
          <w:kern w:val="0"/>
          <w:sz w:val="28"/>
          <w:szCs w:val="28"/>
        </w:rPr>
      </w:pPr>
      <w:r w:rsidRPr="00F756F9">
        <w:rPr>
          <w:rFonts w:ascii="宋体" w:cs="宋体" w:hint="eastAsia"/>
          <w:b/>
          <w:kern w:val="0"/>
          <w:sz w:val="28"/>
          <w:szCs w:val="28"/>
        </w:rPr>
        <w:t>授权委托书</w:t>
      </w:r>
    </w:p>
    <w:p w:rsidR="0057402A" w:rsidRPr="00F756F9" w:rsidRDefault="0057402A" w:rsidP="0057402A">
      <w:pPr>
        <w:autoSpaceDE w:val="0"/>
        <w:autoSpaceDN w:val="0"/>
        <w:adjustRightInd w:val="0"/>
        <w:spacing w:line="360" w:lineRule="auto"/>
        <w:ind w:firstLineChars="200" w:firstLine="480"/>
        <w:jc w:val="left"/>
        <w:rPr>
          <w:rFonts w:cs="宋体"/>
          <w:kern w:val="0"/>
          <w:sz w:val="24"/>
        </w:rPr>
      </w:pPr>
      <w:r w:rsidRPr="00F756F9">
        <w:rPr>
          <w:rFonts w:cs="宋体" w:hint="eastAsia"/>
          <w:kern w:val="0"/>
          <w:sz w:val="24"/>
        </w:rPr>
        <w:t>本人（或本机构）持有</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cs="宋体" w:hint="eastAsia"/>
          <w:kern w:val="0"/>
          <w:sz w:val="24"/>
        </w:rPr>
        <w:t>（以下简称“本基金”）的</w:t>
      </w:r>
      <w:r w:rsidRPr="00F756F9">
        <w:rPr>
          <w:rFonts w:ascii="宋体" w:hAnsi="宋体" w:cs="宋体" w:hint="eastAsia"/>
          <w:kern w:val="0"/>
          <w:sz w:val="24"/>
        </w:rPr>
        <w:t>基金份额，就</w:t>
      </w:r>
      <w:r w:rsidRPr="00F756F9">
        <w:rPr>
          <w:rFonts w:cs="宋体" w:hint="eastAsia"/>
          <w:kern w:val="0"/>
          <w:sz w:val="24"/>
        </w:rPr>
        <w:t>需基金份额持有人大会审议</w:t>
      </w:r>
      <w:r>
        <w:rPr>
          <w:rFonts w:cs="宋体" w:hint="eastAsia"/>
          <w:kern w:val="0"/>
          <w:sz w:val="24"/>
        </w:rPr>
        <w:t>的《</w:t>
      </w:r>
      <w:r w:rsidRPr="003878BF">
        <w:rPr>
          <w:rFonts w:cs="宋体" w:hint="eastAsia"/>
          <w:kern w:val="0"/>
          <w:sz w:val="24"/>
        </w:rPr>
        <w:t>关于</w:t>
      </w:r>
      <w:r w:rsidR="00A42367">
        <w:rPr>
          <w:rFonts w:cs="宋体" w:hint="eastAsia"/>
          <w:kern w:val="0"/>
          <w:sz w:val="24"/>
        </w:rPr>
        <w:t>东方红</w:t>
      </w:r>
      <w:r w:rsidR="00597A80">
        <w:rPr>
          <w:rFonts w:cs="宋体" w:hint="eastAsia"/>
          <w:kern w:val="0"/>
          <w:sz w:val="24"/>
        </w:rPr>
        <w:t>恒阳</w:t>
      </w:r>
      <w:r w:rsidR="00ED4487">
        <w:rPr>
          <w:rFonts w:cs="宋体" w:hint="eastAsia"/>
          <w:kern w:val="0"/>
          <w:sz w:val="24"/>
        </w:rPr>
        <w:t>五</w:t>
      </w:r>
      <w:r w:rsidR="00A42367">
        <w:rPr>
          <w:rFonts w:cs="宋体" w:hint="eastAsia"/>
          <w:kern w:val="0"/>
          <w:sz w:val="24"/>
        </w:rPr>
        <w:t>年定期开放混合型证券投资基金</w:t>
      </w:r>
      <w:r w:rsidR="006E440F">
        <w:rPr>
          <w:rFonts w:cs="宋体" w:hint="eastAsia"/>
          <w:kern w:val="0"/>
          <w:sz w:val="24"/>
        </w:rPr>
        <w:t>转型及</w:t>
      </w:r>
      <w:r w:rsidR="002B3FE2">
        <w:rPr>
          <w:rFonts w:cs="宋体" w:hint="eastAsia"/>
          <w:kern w:val="0"/>
          <w:sz w:val="24"/>
        </w:rPr>
        <w:t>修改基金合同</w:t>
      </w:r>
      <w:r w:rsidR="006E440F">
        <w:rPr>
          <w:rFonts w:cs="宋体" w:hint="eastAsia"/>
          <w:kern w:val="0"/>
          <w:sz w:val="24"/>
        </w:rPr>
        <w:t>有关事项</w:t>
      </w:r>
      <w:r>
        <w:rPr>
          <w:rFonts w:cs="宋体" w:hint="eastAsia"/>
          <w:kern w:val="0"/>
          <w:sz w:val="24"/>
        </w:rPr>
        <w:t>的</w:t>
      </w:r>
      <w:r w:rsidRPr="003878BF">
        <w:rPr>
          <w:rFonts w:cs="宋体" w:hint="eastAsia"/>
          <w:kern w:val="0"/>
          <w:sz w:val="24"/>
        </w:rPr>
        <w:t>议案</w:t>
      </w:r>
      <w:r>
        <w:rPr>
          <w:rFonts w:cs="宋体" w:hint="eastAsia"/>
          <w:kern w:val="0"/>
          <w:sz w:val="24"/>
        </w:rPr>
        <w:t>》</w:t>
      </w:r>
      <w:r w:rsidRPr="00F756F9">
        <w:rPr>
          <w:rFonts w:cs="宋体" w:hint="eastAsia"/>
          <w:kern w:val="0"/>
          <w:sz w:val="24"/>
        </w:rPr>
        <w:t>，本人（或本机构）的意见为（请在意见栏下方划“√”）：</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340"/>
        <w:gridCol w:w="2412"/>
      </w:tblGrid>
      <w:tr w:rsidR="0057402A" w:rsidRPr="00F756F9" w:rsidTr="00AC6ECC">
        <w:tc>
          <w:tcPr>
            <w:tcW w:w="2448"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同意</w:t>
            </w:r>
          </w:p>
        </w:tc>
        <w:tc>
          <w:tcPr>
            <w:tcW w:w="2340"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反对</w:t>
            </w:r>
          </w:p>
        </w:tc>
        <w:tc>
          <w:tcPr>
            <w:tcW w:w="2412" w:type="dxa"/>
            <w:vAlign w:val="center"/>
          </w:tcPr>
          <w:p w:rsidR="0057402A" w:rsidRPr="00F756F9" w:rsidRDefault="0057402A" w:rsidP="00AC6ECC">
            <w:pPr>
              <w:tabs>
                <w:tab w:val="left" w:pos="720"/>
              </w:tabs>
              <w:autoSpaceDE w:val="0"/>
              <w:autoSpaceDN w:val="0"/>
              <w:adjustRightInd w:val="0"/>
              <w:snapToGrid w:val="0"/>
              <w:spacing w:line="360" w:lineRule="auto"/>
              <w:jc w:val="center"/>
              <w:rPr>
                <w:rFonts w:cs="楷体_GB2312"/>
                <w:b/>
                <w:kern w:val="0"/>
                <w:sz w:val="24"/>
                <w:lang w:val="zh-CN"/>
              </w:rPr>
            </w:pPr>
            <w:r w:rsidRPr="00F756F9">
              <w:rPr>
                <w:rFonts w:cs="楷体_GB2312" w:hint="eastAsia"/>
                <w:b/>
                <w:kern w:val="0"/>
                <w:sz w:val="24"/>
                <w:lang w:val="zh-CN"/>
              </w:rPr>
              <w:t>弃权</w:t>
            </w:r>
          </w:p>
        </w:tc>
      </w:tr>
      <w:tr w:rsidR="0057402A" w:rsidRPr="00F756F9" w:rsidTr="009414EA">
        <w:tc>
          <w:tcPr>
            <w:tcW w:w="2448"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p w:rsidR="0057402A" w:rsidRPr="00F756F9" w:rsidRDefault="0057402A" w:rsidP="009414EA">
            <w:pPr>
              <w:tabs>
                <w:tab w:val="left" w:pos="720"/>
              </w:tabs>
              <w:autoSpaceDE w:val="0"/>
              <w:autoSpaceDN w:val="0"/>
              <w:adjustRightInd w:val="0"/>
              <w:snapToGrid w:val="0"/>
              <w:spacing w:line="360" w:lineRule="auto"/>
              <w:jc w:val="center"/>
              <w:rPr>
                <w:rFonts w:cs="楷体_GB2312"/>
                <w:color w:val="000080"/>
                <w:kern w:val="0"/>
                <w:sz w:val="24"/>
                <w:lang w:val="zh-CN"/>
              </w:rPr>
            </w:pPr>
          </w:p>
        </w:tc>
        <w:tc>
          <w:tcPr>
            <w:tcW w:w="2340"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c>
          <w:tcPr>
            <w:tcW w:w="2412" w:type="dxa"/>
            <w:vAlign w:val="center"/>
          </w:tcPr>
          <w:p w:rsidR="0057402A" w:rsidRPr="00F756F9" w:rsidRDefault="0057402A" w:rsidP="009414EA">
            <w:pPr>
              <w:tabs>
                <w:tab w:val="left" w:pos="720"/>
              </w:tabs>
              <w:autoSpaceDE w:val="0"/>
              <w:autoSpaceDN w:val="0"/>
              <w:adjustRightInd w:val="0"/>
              <w:snapToGrid w:val="0"/>
              <w:spacing w:line="360" w:lineRule="auto"/>
              <w:jc w:val="center"/>
              <w:rPr>
                <w:rFonts w:cs="楷体_GB2312"/>
                <w:b/>
                <w:bCs/>
                <w:color w:val="000080"/>
                <w:kern w:val="0"/>
                <w:sz w:val="24"/>
                <w:lang w:val="zh-CN"/>
              </w:rPr>
            </w:pPr>
          </w:p>
        </w:tc>
      </w:tr>
    </w:tbl>
    <w:p w:rsidR="0057402A" w:rsidRPr="00F756F9" w:rsidRDefault="0057402A" w:rsidP="008F3C70">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本人（或本机构）特此授权</w:t>
      </w:r>
      <w:r w:rsidRPr="00F756F9">
        <w:rPr>
          <w:rFonts w:ascii="Arial Unicode MS" w:hAnsi="Arial Unicode MS" w:hint="eastAsia"/>
          <w:sz w:val="24"/>
        </w:rPr>
        <w:t>__________________________</w:t>
      </w:r>
      <w:r w:rsidRPr="00F756F9">
        <w:rPr>
          <w:rFonts w:ascii="Arial Unicode MS" w:hAnsi="Arial Unicode MS" w:hint="eastAsia"/>
          <w:sz w:val="24"/>
        </w:rPr>
        <w:t>代表本人（或本机构）</w:t>
      </w:r>
      <w:r w:rsidR="00C150AD">
        <w:rPr>
          <w:rFonts w:ascii="Arial Unicode MS" w:hAnsi="Arial Unicode MS" w:hint="eastAsia"/>
          <w:sz w:val="24"/>
        </w:rPr>
        <w:t>参加</w:t>
      </w:r>
      <w:r w:rsidR="00A42367">
        <w:rPr>
          <w:rFonts w:ascii="Arial Unicode MS" w:hAnsi="Arial Unicode MS" w:hint="eastAsia"/>
          <w:sz w:val="24"/>
        </w:rPr>
        <w:t>东方红</w:t>
      </w:r>
      <w:r w:rsidR="00597A80">
        <w:rPr>
          <w:rFonts w:ascii="Arial Unicode MS" w:hAnsi="Arial Unicode MS" w:hint="eastAsia"/>
          <w:sz w:val="24"/>
        </w:rPr>
        <w:t>恒阳</w:t>
      </w:r>
      <w:r w:rsidR="00ED4487">
        <w:rPr>
          <w:rFonts w:ascii="Arial Unicode MS" w:hAnsi="Arial Unicode MS" w:hint="eastAsia"/>
          <w:sz w:val="24"/>
        </w:rPr>
        <w:t>五</w:t>
      </w:r>
      <w:r w:rsidR="00A42367">
        <w:rPr>
          <w:rFonts w:ascii="Arial Unicode MS" w:hAnsi="Arial Unicode MS" w:hint="eastAsia"/>
          <w:sz w:val="24"/>
        </w:rPr>
        <w:t>年定期开放混合型证券投资基金</w:t>
      </w:r>
      <w:r w:rsidRPr="00F756F9">
        <w:rPr>
          <w:rFonts w:ascii="Arial Unicode MS" w:hAnsi="Arial Unicode MS" w:hint="eastAsia"/>
          <w:sz w:val="24"/>
        </w:rPr>
        <w:t>基金份额持有人大会，并按照上述意见代为行使表决权。</w:t>
      </w:r>
    </w:p>
    <w:p w:rsidR="0057402A" w:rsidRPr="00F756F9" w:rsidRDefault="0057402A" w:rsidP="008F3C70">
      <w:pPr>
        <w:adjustRightInd w:val="0"/>
        <w:snapToGrid w:val="0"/>
        <w:spacing w:beforeLines="100" w:line="400" w:lineRule="exact"/>
        <w:ind w:firstLineChars="240" w:firstLine="576"/>
        <w:rPr>
          <w:rFonts w:ascii="Arial Unicode MS" w:hAnsi="Arial Unicode MS"/>
          <w:sz w:val="24"/>
        </w:rPr>
      </w:pPr>
      <w:r w:rsidRPr="00F756F9">
        <w:rPr>
          <w:rFonts w:ascii="Arial Unicode MS" w:hAnsi="Arial Unicode MS" w:hint="eastAsia"/>
          <w:sz w:val="24"/>
        </w:rPr>
        <w:t>上述授权有效期自签署日起至审议上述事项的基金份额持有人大会会议结束之日止。</w:t>
      </w:r>
      <w:r w:rsidRPr="00421B36">
        <w:rPr>
          <w:rFonts w:ascii="Arial Unicode MS" w:hAnsi="Arial Unicode MS" w:hint="eastAsia"/>
          <w:sz w:val="24"/>
        </w:rPr>
        <w:t>若本基金重新召开审议相同议案的持有人大会的，本授权继续有效。</w:t>
      </w:r>
    </w:p>
    <w:p w:rsidR="0057402A" w:rsidRPr="00F756F9" w:rsidRDefault="0057402A" w:rsidP="008F3C70">
      <w:pPr>
        <w:tabs>
          <w:tab w:val="left" w:pos="720"/>
        </w:tabs>
        <w:autoSpaceDE w:val="0"/>
        <w:autoSpaceDN w:val="0"/>
        <w:adjustRightInd w:val="0"/>
        <w:snapToGrid w:val="0"/>
        <w:spacing w:beforeLines="100" w:line="400" w:lineRule="exact"/>
        <w:ind w:left="277" w:right="18"/>
        <w:jc w:val="left"/>
        <w:rPr>
          <w:rFonts w:ascii="Arial Unicode MS" w:hAnsi="Arial Unicode MS" w:cs="楷体_GB2312"/>
          <w:color w:val="000080"/>
          <w:kern w:val="0"/>
          <w:sz w:val="24"/>
          <w:lang w:val="zh-CN"/>
        </w:rPr>
      </w:pPr>
    </w:p>
    <w:p w:rsidR="0057402A"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委托人（签字</w:t>
      </w:r>
      <w:r w:rsidRPr="00F756F9">
        <w:rPr>
          <w:rFonts w:ascii="宋体" w:cs="宋体"/>
          <w:kern w:val="0"/>
          <w:sz w:val="24"/>
          <w:szCs w:val="24"/>
        </w:rPr>
        <w:t>/</w:t>
      </w:r>
      <w:r w:rsidRPr="00F756F9">
        <w:rPr>
          <w:rFonts w:ascii="宋体" w:cs="宋体" w:hint="eastAsia"/>
          <w:kern w:val="0"/>
          <w:sz w:val="24"/>
          <w:szCs w:val="24"/>
        </w:rPr>
        <w:t>盖章）：</w:t>
      </w:r>
    </w:p>
    <w:p w:rsidR="00573F41" w:rsidRPr="00F756F9" w:rsidRDefault="0057402A" w:rsidP="0057402A">
      <w:pPr>
        <w:autoSpaceDE w:val="0"/>
        <w:autoSpaceDN w:val="0"/>
        <w:adjustRightInd w:val="0"/>
        <w:spacing w:line="360" w:lineRule="auto"/>
        <w:jc w:val="left"/>
        <w:rPr>
          <w:rFonts w:ascii="宋体" w:cs="宋体"/>
          <w:kern w:val="0"/>
          <w:sz w:val="24"/>
          <w:szCs w:val="24"/>
        </w:rPr>
      </w:pPr>
      <w:r w:rsidRPr="00F756F9">
        <w:rPr>
          <w:rFonts w:ascii="宋体" w:cs="宋体" w:hint="eastAsia"/>
          <w:kern w:val="0"/>
          <w:sz w:val="24"/>
          <w:szCs w:val="24"/>
        </w:rPr>
        <w:t>委托人身份证件号或营业执照号：</w:t>
      </w:r>
    </w:p>
    <w:p w:rsidR="0057402A" w:rsidRPr="00F756F9" w:rsidRDefault="0057402A" w:rsidP="0057402A">
      <w:pPr>
        <w:autoSpaceDE w:val="0"/>
        <w:autoSpaceDN w:val="0"/>
        <w:adjustRightInd w:val="0"/>
        <w:spacing w:line="360" w:lineRule="auto"/>
        <w:ind w:firstLineChars="200" w:firstLine="480"/>
        <w:jc w:val="left"/>
        <w:rPr>
          <w:rFonts w:ascii="宋体" w:cs="宋体"/>
          <w:kern w:val="0"/>
          <w:sz w:val="24"/>
          <w:szCs w:val="24"/>
        </w:rPr>
      </w:pP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（签字</w:t>
      </w:r>
      <w:r w:rsidR="0057402A" w:rsidRPr="00F756F9">
        <w:rPr>
          <w:rFonts w:ascii="宋体" w:cs="宋体"/>
          <w:kern w:val="0"/>
          <w:sz w:val="24"/>
          <w:szCs w:val="24"/>
        </w:rPr>
        <w:t>/</w:t>
      </w:r>
      <w:r w:rsidR="0057402A" w:rsidRPr="00F756F9">
        <w:rPr>
          <w:rFonts w:ascii="宋体" w:cs="宋体" w:hint="eastAsia"/>
          <w:kern w:val="0"/>
          <w:sz w:val="24"/>
          <w:szCs w:val="24"/>
        </w:rPr>
        <w:t>盖章）：</w:t>
      </w:r>
    </w:p>
    <w:p w:rsidR="0057402A" w:rsidRPr="00F756F9" w:rsidRDefault="00894D98" w:rsidP="0057402A">
      <w:pPr>
        <w:autoSpaceDE w:val="0"/>
        <w:autoSpaceDN w:val="0"/>
        <w:adjustRightInd w:val="0"/>
        <w:spacing w:line="360" w:lineRule="auto"/>
        <w:jc w:val="left"/>
        <w:rPr>
          <w:rFonts w:ascii="宋体" w:cs="宋体"/>
          <w:kern w:val="0"/>
          <w:sz w:val="24"/>
          <w:szCs w:val="24"/>
        </w:rPr>
      </w:pPr>
      <w:r>
        <w:rPr>
          <w:rFonts w:ascii="宋体" w:cs="宋体" w:hint="eastAsia"/>
          <w:kern w:val="0"/>
          <w:sz w:val="24"/>
          <w:szCs w:val="24"/>
        </w:rPr>
        <w:t>代理人</w:t>
      </w:r>
      <w:r w:rsidR="0057402A" w:rsidRPr="00F756F9">
        <w:rPr>
          <w:rFonts w:ascii="宋体" w:cs="宋体" w:hint="eastAsia"/>
          <w:kern w:val="0"/>
          <w:sz w:val="24"/>
          <w:szCs w:val="24"/>
        </w:rPr>
        <w:t>身份证件号或营业执照号：</w:t>
      </w:r>
    </w:p>
    <w:p w:rsidR="0057402A" w:rsidRPr="00F756F9" w:rsidRDefault="0057402A" w:rsidP="008F3C70">
      <w:pPr>
        <w:adjustRightInd w:val="0"/>
        <w:snapToGrid w:val="0"/>
        <w:spacing w:beforeLines="100" w:line="400" w:lineRule="exact"/>
        <w:ind w:firstLine="420"/>
        <w:jc w:val="right"/>
        <w:rPr>
          <w:rFonts w:ascii="Arial Unicode MS" w:hAnsi="Arial Unicode MS"/>
          <w:sz w:val="24"/>
        </w:rPr>
      </w:pPr>
    </w:p>
    <w:p w:rsidR="0057402A" w:rsidRPr="00F756F9" w:rsidRDefault="0057402A" w:rsidP="008F3C70">
      <w:pPr>
        <w:wordWrap w:val="0"/>
        <w:adjustRightInd w:val="0"/>
        <w:snapToGrid w:val="0"/>
        <w:spacing w:beforeLines="100" w:line="400" w:lineRule="exact"/>
        <w:ind w:firstLine="420"/>
        <w:jc w:val="right"/>
        <w:rPr>
          <w:rFonts w:ascii="Arial Unicode MS" w:hAnsi="Arial Unicode MS"/>
          <w:b/>
          <w:sz w:val="24"/>
        </w:rPr>
      </w:pPr>
      <w:r w:rsidRPr="00F756F9">
        <w:rPr>
          <w:rFonts w:ascii="Arial Unicode MS" w:hAnsi="Arial Unicode MS" w:hint="eastAsia"/>
          <w:sz w:val="24"/>
        </w:rPr>
        <w:t>签署日期：</w:t>
      </w:r>
      <w:r w:rsidRPr="00F756F9">
        <w:rPr>
          <w:rFonts w:ascii="Arial Unicode MS" w:hAnsi="Arial Unicode MS" w:hint="eastAsia"/>
          <w:sz w:val="24"/>
        </w:rPr>
        <w:t xml:space="preserve">   </w:t>
      </w:r>
      <w:r w:rsidRPr="00F756F9">
        <w:rPr>
          <w:rFonts w:ascii="Arial Unicode MS" w:hAnsi="Arial Unicode MS" w:hint="eastAsia"/>
          <w:sz w:val="24"/>
        </w:rPr>
        <w:t>年</w:t>
      </w:r>
      <w:r w:rsidRPr="00F756F9">
        <w:rPr>
          <w:rFonts w:ascii="Arial Unicode MS" w:hAnsi="Arial Unicode MS" w:hint="eastAsia"/>
          <w:sz w:val="24"/>
        </w:rPr>
        <w:t xml:space="preserve">  </w:t>
      </w:r>
      <w:r w:rsidRPr="00F756F9">
        <w:rPr>
          <w:rFonts w:ascii="Arial Unicode MS" w:hAnsi="Arial Unicode MS" w:hint="eastAsia"/>
          <w:sz w:val="24"/>
        </w:rPr>
        <w:t>月</w:t>
      </w:r>
      <w:r w:rsidRPr="00F756F9">
        <w:rPr>
          <w:rFonts w:ascii="Arial Unicode MS" w:hAnsi="Arial Unicode MS" w:hint="eastAsia"/>
          <w:sz w:val="24"/>
        </w:rPr>
        <w:t xml:space="preserve">  </w:t>
      </w:r>
      <w:r w:rsidRPr="00F756F9">
        <w:rPr>
          <w:rFonts w:ascii="Arial Unicode MS" w:hAnsi="Arial Unicode MS" w:hint="eastAsia"/>
          <w:sz w:val="24"/>
        </w:rPr>
        <w:t>日</w:t>
      </w:r>
    </w:p>
    <w:p w:rsidR="0057402A" w:rsidRPr="00F756F9" w:rsidRDefault="0057402A" w:rsidP="008F3C70">
      <w:pPr>
        <w:adjustRightInd w:val="0"/>
        <w:snapToGrid w:val="0"/>
        <w:spacing w:beforeLines="100" w:line="400" w:lineRule="exact"/>
        <w:rPr>
          <w:rFonts w:ascii="Arial Unicode MS" w:hAnsi="Arial Unicode MS"/>
          <w:b/>
          <w:sz w:val="24"/>
        </w:rPr>
      </w:pPr>
      <w:r w:rsidRPr="00F756F9">
        <w:rPr>
          <w:rFonts w:ascii="Arial Unicode MS" w:hAnsi="Arial Unicode MS"/>
          <w:b/>
          <w:sz w:val="24"/>
        </w:rPr>
        <w:br w:type="page"/>
      </w:r>
      <w:r w:rsidRPr="00F756F9">
        <w:rPr>
          <w:rFonts w:ascii="Arial Unicode MS" w:hAnsi="Arial Unicode MS" w:hint="eastAsia"/>
          <w:b/>
          <w:sz w:val="24"/>
        </w:rPr>
        <w:t>授权委托书填写注意事项</w:t>
      </w:r>
      <w:r w:rsidRPr="00F756F9">
        <w:rPr>
          <w:rFonts w:ascii="Arial Unicode MS" w:hAnsi="Arial Unicode MS" w:hint="eastAsia"/>
          <w:b/>
          <w:sz w:val="24"/>
        </w:rPr>
        <w:t>:</w:t>
      </w:r>
    </w:p>
    <w:p w:rsidR="0057402A" w:rsidRPr="00F756F9" w:rsidRDefault="0057402A" w:rsidP="008F3C70">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1</w:t>
      </w:r>
      <w:r w:rsidRPr="00F756F9">
        <w:rPr>
          <w:rFonts w:ascii="Arial Unicode MS" w:hAnsi="Arial Unicode MS" w:hint="eastAsia"/>
          <w:b/>
          <w:szCs w:val="21"/>
        </w:rPr>
        <w:t>．本授权委托书（样本）可</w:t>
      </w:r>
      <w:r>
        <w:rPr>
          <w:rFonts w:ascii="Arial Unicode MS" w:hAnsi="Arial Unicode MS" w:hint="eastAsia"/>
          <w:b/>
          <w:szCs w:val="21"/>
        </w:rPr>
        <w:t>打印</w:t>
      </w:r>
      <w:r w:rsidRPr="00F756F9">
        <w:rPr>
          <w:rFonts w:ascii="Arial Unicode MS" w:hAnsi="Arial Unicode MS" w:hint="eastAsia"/>
          <w:b/>
          <w:szCs w:val="21"/>
        </w:rPr>
        <w:t>或按以上格式自制，在填写完整并签字或盖章后均为有效。</w:t>
      </w:r>
    </w:p>
    <w:p w:rsidR="00894D98" w:rsidRDefault="00894D98" w:rsidP="008F3C70">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2. </w:t>
      </w:r>
      <w:r w:rsidRPr="00F756F9">
        <w:rPr>
          <w:rFonts w:ascii="Arial Unicode MS" w:hAnsi="Arial Unicode MS" w:hint="eastAsia"/>
          <w:b/>
          <w:szCs w:val="21"/>
        </w:rPr>
        <w:t>基金份额持有人可以委托本基金的基金管理人、基金</w:t>
      </w:r>
      <w:r w:rsidR="003E34D1">
        <w:rPr>
          <w:rFonts w:ascii="Arial Unicode MS" w:hAnsi="Arial Unicode MS" w:hint="eastAsia"/>
          <w:b/>
          <w:szCs w:val="21"/>
        </w:rPr>
        <w:t>销售</w:t>
      </w:r>
      <w:r w:rsidRPr="00F756F9">
        <w:rPr>
          <w:rFonts w:ascii="Arial Unicode MS" w:hAnsi="Arial Unicode MS" w:hint="eastAsia"/>
          <w:b/>
          <w:szCs w:val="21"/>
        </w:rPr>
        <w:t>机构以及其他符合法律</w:t>
      </w:r>
      <w:r w:rsidR="00775D9D">
        <w:rPr>
          <w:rFonts w:ascii="Arial Unicode MS" w:hAnsi="Arial Unicode MS" w:hint="eastAsia"/>
          <w:b/>
          <w:szCs w:val="21"/>
        </w:rPr>
        <w:t>法规</w:t>
      </w:r>
      <w:r w:rsidRPr="00F756F9">
        <w:rPr>
          <w:rFonts w:ascii="Arial Unicode MS" w:hAnsi="Arial Unicode MS" w:hint="eastAsia"/>
          <w:b/>
          <w:szCs w:val="21"/>
        </w:rPr>
        <w:t>规定的机构和个人，代为行使本次基金份额持有人大会上的表决权。如基金份额持有人</w:t>
      </w:r>
      <w:r w:rsidR="0075179C">
        <w:rPr>
          <w:rFonts w:ascii="Arial Unicode MS" w:hAnsi="Arial Unicode MS" w:hint="eastAsia"/>
          <w:b/>
          <w:szCs w:val="21"/>
        </w:rPr>
        <w:t>做出</w:t>
      </w:r>
      <w:r w:rsidR="0075179C" w:rsidRPr="0075179C">
        <w:rPr>
          <w:rFonts w:ascii="Arial Unicode MS" w:hAnsi="Arial Unicode MS" w:hint="eastAsia"/>
          <w:b/>
          <w:szCs w:val="21"/>
        </w:rPr>
        <w:t>多次有效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w:t>
      </w:r>
      <w:r w:rsidR="0075179C">
        <w:rPr>
          <w:rFonts w:ascii="Arial Unicode MS" w:hAnsi="Arial Unicode MS" w:hint="eastAsia"/>
          <w:b/>
          <w:szCs w:val="21"/>
        </w:rPr>
        <w:t>，</w:t>
      </w:r>
      <w:r w:rsidR="0075179C" w:rsidRPr="0075179C">
        <w:rPr>
          <w:rFonts w:ascii="Arial Unicode MS" w:hAnsi="Arial Unicode MS" w:hint="eastAsia"/>
          <w:b/>
          <w:szCs w:val="21"/>
        </w:rPr>
        <w:t>以代理人收到的最后一次有效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授权为准。如最后时间收到的有效</w:t>
      </w:r>
      <w:r w:rsidR="00514A0E">
        <w:rPr>
          <w:rFonts w:ascii="Arial Unicode MS" w:hAnsi="Arial Unicode MS" w:hint="eastAsia"/>
          <w:b/>
          <w:szCs w:val="21"/>
        </w:rPr>
        <w:t>纸质</w:t>
      </w:r>
      <w:r w:rsidR="0075179C" w:rsidRPr="0075179C">
        <w:rPr>
          <w:rFonts w:ascii="Arial Unicode MS" w:hAnsi="Arial Unicode MS" w:hint="eastAsia"/>
          <w:b/>
          <w:szCs w:val="21"/>
        </w:rPr>
        <w:t>授权有多次，不能确定最后一次有效</w:t>
      </w:r>
      <w:r w:rsidR="00514A0E">
        <w:rPr>
          <w:rFonts w:ascii="Arial Unicode MS" w:hAnsi="Arial Unicode MS" w:hint="eastAsia"/>
          <w:b/>
          <w:szCs w:val="21"/>
        </w:rPr>
        <w:t>纸质</w:t>
      </w:r>
      <w:r w:rsidR="0075179C" w:rsidRPr="0075179C">
        <w:rPr>
          <w:rFonts w:ascii="Arial Unicode MS" w:hAnsi="Arial Unicode MS" w:hint="eastAsia"/>
          <w:b/>
          <w:szCs w:val="21"/>
        </w:rPr>
        <w:t>授权的，按以下原则处理：若多次授权</w:t>
      </w:r>
      <w:r w:rsidR="007A4ABA">
        <w:rPr>
          <w:rFonts w:ascii="Arial Unicode MS" w:hAnsi="Arial Unicode MS" w:hint="eastAsia"/>
          <w:b/>
          <w:szCs w:val="21"/>
        </w:rPr>
        <w:t>的</w:t>
      </w:r>
      <w:r w:rsidR="0075179C" w:rsidRPr="0075179C">
        <w:rPr>
          <w:rFonts w:ascii="Arial Unicode MS" w:hAnsi="Arial Unicode MS" w:hint="eastAsia"/>
          <w:b/>
          <w:szCs w:val="21"/>
        </w:rPr>
        <w:t>授权表示一致的，以一致的授权表示为准；若多次授权同一代理人但授权表示不一致的，视为委托人授权代理人投弃权票；若授权不同代理人且授权表示不一致的，视为授权无效。</w:t>
      </w:r>
    </w:p>
    <w:p w:rsidR="0057402A" w:rsidRPr="00F756F9" w:rsidRDefault="00894D98" w:rsidP="008F3C70">
      <w:pPr>
        <w:adjustRightInd w:val="0"/>
        <w:snapToGrid w:val="0"/>
        <w:spacing w:beforeLines="100" w:line="400" w:lineRule="exact"/>
        <w:rPr>
          <w:rFonts w:ascii="Arial Unicode MS" w:hAnsi="Arial Unicode MS"/>
          <w:b/>
          <w:szCs w:val="21"/>
        </w:rPr>
      </w:pPr>
      <w:r w:rsidRPr="00F756F9">
        <w:rPr>
          <w:rFonts w:ascii="Arial Unicode MS" w:hAnsi="Arial Unicode MS"/>
          <w:b/>
          <w:szCs w:val="21"/>
        </w:rPr>
        <w:t xml:space="preserve">3. </w:t>
      </w:r>
      <w:r w:rsidRPr="00F40281">
        <w:rPr>
          <w:rFonts w:ascii="Arial Unicode MS" w:hAnsi="Arial Unicode MS" w:hint="eastAsia"/>
          <w:b/>
          <w:szCs w:val="21"/>
        </w:rPr>
        <w:t>如果委托人在授权委托书中明确其表决意见的，以委托人的表决意见为准；</w:t>
      </w:r>
      <w:r w:rsidRPr="00F756F9">
        <w:rPr>
          <w:rFonts w:ascii="Arial Unicode MS" w:hAnsi="Arial Unicode MS" w:hint="eastAsia"/>
          <w:b/>
          <w:szCs w:val="21"/>
        </w:rPr>
        <w:t>如委托人未在授权委托书表示中明确其表决意见的，视为委托人授权</w:t>
      </w:r>
      <w:r>
        <w:rPr>
          <w:rFonts w:ascii="Arial Unicode MS" w:hAnsi="Arial Unicode MS" w:hint="eastAsia"/>
          <w:b/>
          <w:szCs w:val="21"/>
        </w:rPr>
        <w:t>代理人</w:t>
      </w:r>
      <w:r w:rsidRPr="00F756F9">
        <w:rPr>
          <w:rFonts w:ascii="Arial Unicode MS" w:hAnsi="Arial Unicode MS" w:hint="eastAsia"/>
          <w:b/>
          <w:szCs w:val="21"/>
        </w:rPr>
        <w:t>按照</w:t>
      </w:r>
      <w:r>
        <w:rPr>
          <w:rFonts w:ascii="Arial Unicode MS" w:hAnsi="Arial Unicode MS" w:hint="eastAsia"/>
          <w:b/>
          <w:szCs w:val="21"/>
        </w:rPr>
        <w:t>代理人</w:t>
      </w:r>
      <w:r w:rsidRPr="00F756F9">
        <w:rPr>
          <w:rFonts w:ascii="Arial Unicode MS" w:hAnsi="Arial Unicode MS" w:hint="eastAsia"/>
          <w:b/>
          <w:szCs w:val="21"/>
        </w:rPr>
        <w:t>的意志</w:t>
      </w:r>
      <w:r w:rsidR="002400D0">
        <w:rPr>
          <w:rFonts w:ascii="Arial Unicode MS" w:hAnsi="Arial Unicode MS" w:hint="eastAsia"/>
          <w:b/>
          <w:szCs w:val="21"/>
        </w:rPr>
        <w:t>全权</w:t>
      </w:r>
      <w:r w:rsidRPr="00F756F9">
        <w:rPr>
          <w:rFonts w:ascii="Arial Unicode MS" w:hAnsi="Arial Unicode MS" w:hint="eastAsia"/>
          <w:b/>
          <w:szCs w:val="21"/>
        </w:rPr>
        <w:t>行使表决权；</w:t>
      </w:r>
      <w:r w:rsidRPr="004E3F9D">
        <w:rPr>
          <w:rFonts w:ascii="Arial Unicode MS" w:hAnsi="Arial Unicode MS" w:hint="eastAsia"/>
          <w:b/>
          <w:szCs w:val="21"/>
        </w:rPr>
        <w:t>如委托人在同一授权委托表示中表达多种表决意见的，视为委托人授权</w:t>
      </w:r>
      <w:r>
        <w:rPr>
          <w:rFonts w:ascii="Arial Unicode MS" w:hAnsi="Arial Unicode MS" w:hint="eastAsia"/>
          <w:b/>
          <w:szCs w:val="21"/>
        </w:rPr>
        <w:t>代理人</w:t>
      </w:r>
      <w:r w:rsidRPr="004E3F9D">
        <w:rPr>
          <w:rFonts w:ascii="Arial Unicode MS" w:hAnsi="Arial Unicode MS" w:hint="eastAsia"/>
          <w:b/>
          <w:szCs w:val="21"/>
        </w:rPr>
        <w:t>投弃权票。</w:t>
      </w:r>
    </w:p>
    <w:p w:rsidR="0057402A" w:rsidRPr="00F756F9" w:rsidRDefault="0057402A" w:rsidP="008F3C70">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 xml:space="preserve">4. </w:t>
      </w:r>
      <w:r w:rsidRPr="00F756F9">
        <w:rPr>
          <w:rFonts w:ascii="Arial Unicode MS" w:hAnsi="Arial Unicode MS" w:hint="eastAsia"/>
          <w:b/>
          <w:szCs w:val="21"/>
        </w:rPr>
        <w:t>本授权委托书中委托人</w:t>
      </w:r>
      <w:r w:rsidR="00007B0A" w:rsidRPr="00007B0A">
        <w:rPr>
          <w:rFonts w:ascii="Arial Unicode MS" w:hAnsi="Arial Unicode MS" w:hint="eastAsia"/>
          <w:b/>
          <w:szCs w:val="21"/>
        </w:rPr>
        <w:t>身份证件号或营业执照号</w:t>
      </w:r>
      <w:r w:rsidRPr="00F756F9">
        <w:rPr>
          <w:rFonts w:ascii="Arial Unicode MS" w:hAnsi="Arial Unicode MS" w:hint="eastAsia"/>
          <w:b/>
          <w:szCs w:val="21"/>
        </w:rPr>
        <w:t>，指基金份额持有人</w:t>
      </w:r>
      <w:r w:rsidR="007A4ABA">
        <w:rPr>
          <w:rFonts w:ascii="Arial Unicode MS" w:hAnsi="Arial Unicode MS" w:hint="eastAsia"/>
          <w:b/>
          <w:szCs w:val="21"/>
        </w:rPr>
        <w:t>持有</w:t>
      </w:r>
      <w:r w:rsidRPr="00F756F9">
        <w:rPr>
          <w:rFonts w:ascii="Arial Unicode MS" w:hAnsi="Arial Unicode MS" w:hint="eastAsia"/>
          <w:b/>
          <w:szCs w:val="21"/>
        </w:rPr>
        <w:t>本基金</w:t>
      </w:r>
      <w:r w:rsidR="007A4ABA">
        <w:rPr>
          <w:rFonts w:ascii="Arial Unicode MS" w:hAnsi="Arial Unicode MS" w:hint="eastAsia"/>
          <w:b/>
          <w:szCs w:val="21"/>
        </w:rPr>
        <w:t>基金份额</w:t>
      </w:r>
      <w:r w:rsidRPr="00F756F9">
        <w:rPr>
          <w:rFonts w:ascii="Arial Unicode MS" w:hAnsi="Arial Unicode MS" w:hint="eastAsia"/>
          <w:b/>
          <w:szCs w:val="21"/>
        </w:rPr>
        <w:t>时</w:t>
      </w:r>
      <w:r w:rsidR="007A4ABA">
        <w:rPr>
          <w:rFonts w:ascii="Arial Unicode MS" w:hAnsi="Arial Unicode MS" w:hint="eastAsia"/>
          <w:b/>
          <w:szCs w:val="21"/>
        </w:rPr>
        <w:t>所使用</w:t>
      </w:r>
      <w:r w:rsidRPr="00F756F9">
        <w:rPr>
          <w:rFonts w:ascii="Arial Unicode MS" w:hAnsi="Arial Unicode MS" w:hint="eastAsia"/>
          <w:b/>
          <w:szCs w:val="21"/>
        </w:rPr>
        <w:t>的证件号码或该证件号码的更新。</w:t>
      </w:r>
    </w:p>
    <w:p w:rsidR="0057402A" w:rsidRPr="00BE422B" w:rsidRDefault="0057402A" w:rsidP="008F3C70">
      <w:pPr>
        <w:adjustRightInd w:val="0"/>
        <w:snapToGrid w:val="0"/>
        <w:spacing w:beforeLines="100" w:line="400" w:lineRule="exact"/>
        <w:rPr>
          <w:rFonts w:ascii="Arial Unicode MS" w:hAnsi="Arial Unicode MS"/>
          <w:b/>
          <w:szCs w:val="21"/>
        </w:rPr>
      </w:pPr>
      <w:r w:rsidRPr="00F756F9">
        <w:rPr>
          <w:rFonts w:ascii="Arial Unicode MS" w:hAnsi="Arial Unicode MS" w:hint="eastAsia"/>
          <w:b/>
          <w:szCs w:val="21"/>
        </w:rPr>
        <w:t>5.</w:t>
      </w:r>
      <w:r w:rsidRPr="00F756F9">
        <w:rPr>
          <w:rFonts w:ascii="Arial Unicode MS" w:hAnsi="Arial Unicode MS" w:hint="eastAsia"/>
          <w:b/>
          <w:szCs w:val="21"/>
        </w:rPr>
        <w:t>授权委托书中委托人所持基金的份额以持有人大会权益登记日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以后登记在册的信息</w:t>
      </w:r>
      <w:r w:rsidRPr="00F756F9">
        <w:rPr>
          <w:rFonts w:ascii="Arial Unicode MS" w:hAnsi="Arial Unicode MS" w:hint="eastAsia"/>
          <w:b/>
          <w:szCs w:val="21"/>
        </w:rPr>
        <w:t>为准。如本次持有人大会权益登记日</w:t>
      </w:r>
      <w:r w:rsidR="0099395F">
        <w:rPr>
          <w:rFonts w:ascii="Arial Unicode MS" w:hAnsi="Arial Unicode MS" w:hint="eastAsia"/>
          <w:b/>
          <w:szCs w:val="21"/>
        </w:rPr>
        <w:t>交易时间</w:t>
      </w:r>
      <w:r w:rsidR="002154C5">
        <w:rPr>
          <w:rFonts w:ascii="Arial Unicode MS" w:hAnsi="Arial Unicode MS" w:hint="eastAsia"/>
          <w:b/>
          <w:szCs w:val="21"/>
        </w:rPr>
        <w:t>结束</w:t>
      </w:r>
      <w:r w:rsidR="0099395F">
        <w:rPr>
          <w:rFonts w:ascii="Arial Unicode MS" w:hAnsi="Arial Unicode MS" w:hint="eastAsia"/>
          <w:b/>
          <w:szCs w:val="21"/>
        </w:rPr>
        <w:t>后</w:t>
      </w:r>
      <w:r w:rsidRPr="00F756F9">
        <w:rPr>
          <w:rFonts w:ascii="Arial Unicode MS" w:hAnsi="Arial Unicode MS" w:hint="eastAsia"/>
          <w:b/>
          <w:szCs w:val="21"/>
        </w:rPr>
        <w:t>，投资者不再持有本基金的基金份额，则其授权委托书自动失效。</w:t>
      </w:r>
    </w:p>
    <w:p w:rsidR="0057402A" w:rsidRDefault="0057402A" w:rsidP="00CA0AE7">
      <w:pPr>
        <w:autoSpaceDE w:val="0"/>
        <w:autoSpaceDN w:val="0"/>
        <w:adjustRightInd w:val="0"/>
        <w:spacing w:line="360" w:lineRule="auto"/>
        <w:jc w:val="left"/>
        <w:rPr>
          <w:rFonts w:ascii="Arial Unicode MS" w:hAnsi="Arial Unicode MS"/>
          <w:b/>
          <w:szCs w:val="21"/>
        </w:rPr>
      </w:pPr>
    </w:p>
    <w:p w:rsidR="00994E0D" w:rsidRDefault="00994E0D" w:rsidP="00B60785">
      <w:pPr>
        <w:pStyle w:val="1"/>
        <w:rPr>
          <w:sz w:val="32"/>
          <w:szCs w:val="32"/>
        </w:rPr>
        <w:sectPr w:rsidR="00994E0D" w:rsidSect="00BF0B40">
          <w:pgSz w:w="11906" w:h="16838"/>
          <w:pgMar w:top="1440" w:right="1800" w:bottom="1440" w:left="1800" w:header="851" w:footer="992" w:gutter="0"/>
          <w:cols w:space="425"/>
          <w:docGrid w:type="lines" w:linePitch="312"/>
        </w:sectPr>
      </w:pPr>
    </w:p>
    <w:p w:rsidR="00EF473E" w:rsidRPr="00B60785" w:rsidRDefault="00EF473E" w:rsidP="00B60785">
      <w:pPr>
        <w:pStyle w:val="1"/>
        <w:rPr>
          <w:sz w:val="32"/>
          <w:szCs w:val="32"/>
        </w:rPr>
      </w:pPr>
      <w:r>
        <w:rPr>
          <w:rFonts w:hint="eastAsia"/>
          <w:sz w:val="32"/>
          <w:szCs w:val="32"/>
        </w:rPr>
        <w:t>附件</w:t>
      </w:r>
      <w:r w:rsidR="007E7873">
        <w:rPr>
          <w:rFonts w:hint="eastAsia"/>
          <w:sz w:val="32"/>
          <w:szCs w:val="32"/>
        </w:rPr>
        <w:t>四</w:t>
      </w:r>
      <w:r>
        <w:rPr>
          <w:rFonts w:hint="eastAsia"/>
          <w:sz w:val="32"/>
          <w:szCs w:val="32"/>
        </w:rPr>
        <w:t>：</w:t>
      </w: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52"/>
          <w:szCs w:val="52"/>
        </w:rPr>
      </w:pP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44"/>
          <w:szCs w:val="44"/>
        </w:rPr>
      </w:pPr>
      <w:r>
        <w:rPr>
          <w:rFonts w:ascii="仿宋" w:eastAsia="仿宋" w:hAnsi="仿宋" w:cs="SimSun,Bold" w:hint="eastAsia"/>
          <w:b/>
          <w:bCs/>
          <w:kern w:val="0"/>
          <w:sz w:val="44"/>
          <w:szCs w:val="44"/>
        </w:rPr>
        <w:t>东方红恒阳五年持有期混合型证券投资基金基金合同</w:t>
      </w: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48"/>
          <w:szCs w:val="48"/>
        </w:rPr>
      </w:pP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2" w:name="_Toc123701383"/>
      <w:bookmarkStart w:id="3" w:name="_Toc139992301"/>
      <w:bookmarkStart w:id="4" w:name="_Toc123112224"/>
      <w:bookmarkStart w:id="5" w:name="_Toc123112263"/>
      <w:bookmarkStart w:id="6" w:name="_Toc139991726"/>
      <w:r>
        <w:rPr>
          <w:rFonts w:ascii="仿宋" w:eastAsia="仿宋" w:hAnsi="仿宋" w:cs="SimSun,Bold" w:hint="eastAsia"/>
          <w:b/>
          <w:bCs/>
          <w:kern w:val="0"/>
          <w:sz w:val="36"/>
          <w:szCs w:val="36"/>
        </w:rPr>
        <w:t>基金管理人：</w:t>
      </w:r>
      <w:bookmarkEnd w:id="2"/>
      <w:bookmarkEnd w:id="3"/>
      <w:bookmarkEnd w:id="4"/>
      <w:bookmarkEnd w:id="5"/>
      <w:bookmarkEnd w:id="6"/>
      <w:r>
        <w:rPr>
          <w:rFonts w:ascii="仿宋" w:eastAsia="仿宋" w:hAnsi="仿宋" w:cs="SimSun,Bold" w:hint="eastAsia"/>
          <w:b/>
          <w:bCs/>
          <w:kern w:val="0"/>
          <w:sz w:val="36"/>
          <w:szCs w:val="36"/>
        </w:rPr>
        <w:t>上海东方证券资产管理有限公司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bookmarkStart w:id="7" w:name="_Toc123112225"/>
      <w:bookmarkStart w:id="8" w:name="_Toc123112264"/>
      <w:bookmarkStart w:id="9" w:name="_Toc139992302"/>
      <w:bookmarkStart w:id="10" w:name="_Toc139991727"/>
      <w:bookmarkStart w:id="11" w:name="_Toc123701384"/>
      <w:r>
        <w:rPr>
          <w:rFonts w:ascii="仿宋" w:eastAsia="仿宋" w:hAnsi="仿宋" w:cs="SimSun,Bold" w:hint="eastAsia"/>
          <w:b/>
          <w:bCs/>
          <w:kern w:val="0"/>
          <w:sz w:val="36"/>
          <w:szCs w:val="36"/>
        </w:rPr>
        <w:t>基金托管人：招商银行股份有限公司</w:t>
      </w:r>
    </w:p>
    <w:p w:rsidR="00E45E2B" w:rsidRDefault="00E45E2B" w:rsidP="00E45E2B">
      <w:pPr>
        <w:autoSpaceDE w:val="0"/>
        <w:autoSpaceDN w:val="0"/>
        <w:adjustRightInd w:val="0"/>
        <w:jc w:val="center"/>
        <w:rPr>
          <w:rFonts w:ascii="仿宋" w:eastAsia="仿宋" w:hAnsi="仿宋" w:cs="SimSun,Bold"/>
          <w:b/>
          <w:bCs/>
          <w:kern w:val="0"/>
          <w:sz w:val="36"/>
          <w:szCs w:val="36"/>
        </w:rPr>
      </w:pPr>
    </w:p>
    <w:p w:rsidR="00E45E2B" w:rsidRDefault="00E45E2B" w:rsidP="00E45E2B">
      <w:pPr>
        <w:autoSpaceDE w:val="0"/>
        <w:autoSpaceDN w:val="0"/>
        <w:adjustRightInd w:val="0"/>
        <w:jc w:val="center"/>
        <w:rPr>
          <w:rFonts w:ascii="仿宋" w:eastAsia="仿宋" w:hAnsi="仿宋" w:cs="SimSun,Bold"/>
          <w:b/>
          <w:bCs/>
          <w:kern w:val="0"/>
          <w:sz w:val="36"/>
          <w:szCs w:val="36"/>
        </w:rPr>
      </w:pPr>
      <w:r>
        <w:rPr>
          <w:rFonts w:ascii="仿宋" w:eastAsia="仿宋" w:hAnsi="仿宋" w:cs="SimSun,Bold" w:hint="eastAsia"/>
          <w:b/>
          <w:bCs/>
          <w:kern w:val="0"/>
          <w:sz w:val="36"/>
          <w:szCs w:val="36"/>
        </w:rPr>
        <w:t xml:space="preserve">二零二四年 </w:t>
      </w:r>
      <w:r>
        <w:rPr>
          <w:rFonts w:ascii="仿宋" w:eastAsia="仿宋" w:hAnsi="仿宋" w:cs="SimSun,Bold"/>
          <w:b/>
          <w:bCs/>
          <w:kern w:val="0"/>
          <w:sz w:val="36"/>
          <w:szCs w:val="36"/>
        </w:rPr>
        <w:t xml:space="preserve"> </w:t>
      </w:r>
      <w:r>
        <w:rPr>
          <w:rFonts w:ascii="仿宋" w:eastAsia="仿宋" w:hAnsi="仿宋" w:cs="SimSun,Bold" w:hint="eastAsia"/>
          <w:b/>
          <w:bCs/>
          <w:kern w:val="0"/>
          <w:sz w:val="36"/>
          <w:szCs w:val="36"/>
        </w:rPr>
        <w:t>月</w:t>
      </w:r>
    </w:p>
    <w:p w:rsidR="00E45E2B" w:rsidRDefault="00E45E2B" w:rsidP="00E45E2B">
      <w:pPr>
        <w:widowControl/>
        <w:jc w:val="left"/>
        <w:rPr>
          <w:rFonts w:ascii="仿宋" w:eastAsia="仿宋" w:hAnsi="仿宋" w:cs="SimSun,Bold"/>
          <w:b/>
          <w:bCs/>
          <w:kern w:val="0"/>
          <w:sz w:val="36"/>
          <w:szCs w:val="36"/>
        </w:rPr>
      </w:pPr>
      <w:r>
        <w:rPr>
          <w:rFonts w:ascii="仿宋" w:eastAsia="仿宋" w:hAnsi="仿宋" w:cs="SimSun,Bold"/>
          <w:b/>
          <w:bCs/>
          <w:kern w:val="0"/>
          <w:sz w:val="36"/>
          <w:szCs w:val="36"/>
        </w:rPr>
        <w:br w:type="page"/>
      </w:r>
    </w:p>
    <w:p w:rsidR="00E45E2B" w:rsidRDefault="00E45E2B" w:rsidP="00E45E2B">
      <w:pPr>
        <w:widowControl/>
        <w:jc w:val="center"/>
        <w:rPr>
          <w:rFonts w:ascii="仿宋" w:eastAsia="仿宋" w:hAnsi="仿宋"/>
          <w:sz w:val="28"/>
          <w:szCs w:val="28"/>
          <w:lang w:val="zh-CN"/>
        </w:rPr>
      </w:pPr>
    </w:p>
    <w:p w:rsidR="00E45E2B" w:rsidRDefault="00E45E2B" w:rsidP="00E45E2B">
      <w:pPr>
        <w:widowControl/>
        <w:jc w:val="center"/>
        <w:rPr>
          <w:rFonts w:ascii="仿宋" w:eastAsia="仿宋" w:hAnsi="仿宋"/>
          <w:sz w:val="28"/>
          <w:szCs w:val="28"/>
          <w:lang w:val="zh-CN"/>
        </w:rPr>
      </w:pPr>
      <w:r>
        <w:rPr>
          <w:rFonts w:ascii="仿宋" w:eastAsia="仿宋" w:hAnsi="仿宋" w:hint="eastAsia"/>
          <w:sz w:val="28"/>
          <w:szCs w:val="28"/>
          <w:lang w:val="zh-CN"/>
        </w:rPr>
        <w:t>目</w:t>
      </w:r>
      <w:r>
        <w:rPr>
          <w:rFonts w:ascii="仿宋" w:eastAsia="仿宋" w:hAnsi="仿宋" w:hint="eastAsia"/>
          <w:sz w:val="28"/>
          <w:szCs w:val="28"/>
        </w:rPr>
        <w:t xml:space="preserve"> </w:t>
      </w:r>
      <w:r>
        <w:rPr>
          <w:rFonts w:ascii="仿宋" w:eastAsia="仿宋" w:hAnsi="仿宋" w:hint="eastAsia"/>
          <w:sz w:val="28"/>
          <w:szCs w:val="28"/>
          <w:lang w:val="zh-CN"/>
        </w:rPr>
        <w:t>录</w:t>
      </w:r>
    </w:p>
    <w:bookmarkEnd w:id="7"/>
    <w:bookmarkEnd w:id="8"/>
    <w:bookmarkEnd w:id="9"/>
    <w:bookmarkEnd w:id="10"/>
    <w:bookmarkEnd w:id="11"/>
    <w:p w:rsidR="00E45E2B" w:rsidRDefault="00E45E2B" w:rsidP="00E45E2B">
      <w:pPr>
        <w:pStyle w:val="10"/>
        <w:tabs>
          <w:tab w:val="right" w:leader="dot" w:pos="8296"/>
        </w:tabs>
        <w:spacing w:line="360" w:lineRule="auto"/>
        <w:rPr>
          <w:rFonts w:ascii="仿宋" w:eastAsia="仿宋" w:hAnsi="仿宋"/>
          <w:kern w:val="0"/>
          <w:sz w:val="24"/>
          <w:szCs w:val="24"/>
        </w:rPr>
      </w:pPr>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r>
        <w:rPr>
          <w:rFonts w:ascii="仿宋" w:eastAsia="仿宋" w:hAnsi="仿宋"/>
          <w:kern w:val="0"/>
          <w:sz w:val="24"/>
          <w:szCs w:val="24"/>
        </w:rPr>
        <w:fldChar w:fldCharType="begin"/>
      </w:r>
      <w:r w:rsidR="00E45E2B">
        <w:rPr>
          <w:rFonts w:ascii="仿宋" w:eastAsia="仿宋" w:hAnsi="仿宋"/>
          <w:kern w:val="0"/>
          <w:sz w:val="24"/>
          <w:szCs w:val="24"/>
        </w:rPr>
        <w:instrText xml:space="preserve"> TOC \o "1-3" \h \z \u </w:instrText>
      </w:r>
      <w:r>
        <w:rPr>
          <w:rFonts w:ascii="仿宋" w:eastAsia="仿宋" w:hAnsi="仿宋"/>
          <w:kern w:val="0"/>
          <w:sz w:val="24"/>
          <w:szCs w:val="24"/>
        </w:rPr>
        <w:fldChar w:fldCharType="separate"/>
      </w:r>
      <w:hyperlink w:anchor="_Toc169163861" w:history="1">
        <w:r w:rsidR="00E45E2B" w:rsidRPr="008E5D99">
          <w:rPr>
            <w:rStyle w:val="a8"/>
            <w:noProof/>
          </w:rPr>
          <w:t>第一部分</w:t>
        </w:r>
        <w:r w:rsidR="00E45E2B" w:rsidRPr="008E5D99">
          <w:rPr>
            <w:rStyle w:val="a8"/>
            <w:noProof/>
          </w:rPr>
          <w:t xml:space="preserve">    </w:t>
        </w:r>
        <w:r w:rsidR="00E45E2B" w:rsidRPr="008E5D99">
          <w:rPr>
            <w:rStyle w:val="a8"/>
            <w:noProof/>
          </w:rPr>
          <w:t>前言</w:t>
        </w:r>
        <w:r w:rsidR="00E45E2B">
          <w:rPr>
            <w:noProof/>
            <w:webHidden/>
          </w:rPr>
          <w:tab/>
        </w:r>
        <w:r>
          <w:rPr>
            <w:noProof/>
            <w:webHidden/>
          </w:rPr>
          <w:fldChar w:fldCharType="begin"/>
        </w:r>
        <w:r w:rsidR="00E45E2B">
          <w:rPr>
            <w:noProof/>
            <w:webHidden/>
          </w:rPr>
          <w:instrText xml:space="preserve"> PAGEREF _Toc169163861 \h </w:instrText>
        </w:r>
        <w:r>
          <w:rPr>
            <w:noProof/>
            <w:webHidden/>
          </w:rPr>
        </w:r>
        <w:r>
          <w:rPr>
            <w:noProof/>
            <w:webHidden/>
          </w:rPr>
          <w:fldChar w:fldCharType="separate"/>
        </w:r>
        <w:r w:rsidR="00E45E2B">
          <w:rPr>
            <w:noProof/>
            <w:webHidden/>
          </w:rPr>
          <w:t>3</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2" w:history="1">
        <w:r w:rsidR="00E45E2B" w:rsidRPr="008E5D99">
          <w:rPr>
            <w:rStyle w:val="a8"/>
            <w:noProof/>
          </w:rPr>
          <w:t>第二部分</w:t>
        </w:r>
        <w:r w:rsidR="00E45E2B" w:rsidRPr="008E5D99">
          <w:rPr>
            <w:rStyle w:val="a8"/>
            <w:noProof/>
          </w:rPr>
          <w:t xml:space="preserve">    </w:t>
        </w:r>
        <w:r w:rsidR="00E45E2B" w:rsidRPr="008E5D99">
          <w:rPr>
            <w:rStyle w:val="a8"/>
            <w:noProof/>
          </w:rPr>
          <w:t>释义</w:t>
        </w:r>
        <w:r w:rsidR="00E45E2B">
          <w:rPr>
            <w:noProof/>
            <w:webHidden/>
          </w:rPr>
          <w:tab/>
        </w:r>
        <w:r>
          <w:rPr>
            <w:noProof/>
            <w:webHidden/>
          </w:rPr>
          <w:fldChar w:fldCharType="begin"/>
        </w:r>
        <w:r w:rsidR="00E45E2B">
          <w:rPr>
            <w:noProof/>
            <w:webHidden/>
          </w:rPr>
          <w:instrText xml:space="preserve"> PAGEREF _Toc169163862 \h </w:instrText>
        </w:r>
        <w:r>
          <w:rPr>
            <w:noProof/>
            <w:webHidden/>
          </w:rPr>
        </w:r>
        <w:r>
          <w:rPr>
            <w:noProof/>
            <w:webHidden/>
          </w:rPr>
          <w:fldChar w:fldCharType="separate"/>
        </w:r>
        <w:r w:rsidR="00E45E2B">
          <w:rPr>
            <w:noProof/>
            <w:webHidden/>
          </w:rPr>
          <w:t>6</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3" w:history="1">
        <w:r w:rsidR="00E45E2B" w:rsidRPr="008E5D99">
          <w:rPr>
            <w:rStyle w:val="a8"/>
            <w:noProof/>
          </w:rPr>
          <w:t>第三部分</w:t>
        </w:r>
        <w:r w:rsidR="00E45E2B" w:rsidRPr="008E5D99">
          <w:rPr>
            <w:rStyle w:val="a8"/>
            <w:noProof/>
          </w:rPr>
          <w:t xml:space="preserve">    </w:t>
        </w:r>
        <w:r w:rsidR="00E45E2B" w:rsidRPr="008E5D99">
          <w:rPr>
            <w:rStyle w:val="a8"/>
            <w:noProof/>
          </w:rPr>
          <w:t>基金的基本情况</w:t>
        </w:r>
        <w:r w:rsidR="00E45E2B">
          <w:rPr>
            <w:noProof/>
            <w:webHidden/>
          </w:rPr>
          <w:tab/>
        </w:r>
        <w:r>
          <w:rPr>
            <w:noProof/>
            <w:webHidden/>
          </w:rPr>
          <w:fldChar w:fldCharType="begin"/>
        </w:r>
        <w:r w:rsidR="00E45E2B">
          <w:rPr>
            <w:noProof/>
            <w:webHidden/>
          </w:rPr>
          <w:instrText xml:space="preserve"> PAGEREF _Toc169163863 \h </w:instrText>
        </w:r>
        <w:r>
          <w:rPr>
            <w:noProof/>
            <w:webHidden/>
          </w:rPr>
        </w:r>
        <w:r>
          <w:rPr>
            <w:noProof/>
            <w:webHidden/>
          </w:rPr>
          <w:fldChar w:fldCharType="separate"/>
        </w:r>
        <w:r w:rsidR="00E45E2B">
          <w:rPr>
            <w:noProof/>
            <w:webHidden/>
          </w:rPr>
          <w:t>12</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4" w:history="1">
        <w:r w:rsidR="00E45E2B" w:rsidRPr="008E5D99">
          <w:rPr>
            <w:rStyle w:val="a8"/>
            <w:noProof/>
            <w:kern w:val="0"/>
          </w:rPr>
          <w:t>第四部分</w:t>
        </w:r>
        <w:r w:rsidR="00E45E2B" w:rsidRPr="008E5D99">
          <w:rPr>
            <w:rStyle w:val="a8"/>
            <w:noProof/>
            <w:kern w:val="0"/>
          </w:rPr>
          <w:t xml:space="preserve">    </w:t>
        </w:r>
        <w:r w:rsidR="00E45E2B" w:rsidRPr="008E5D99">
          <w:rPr>
            <w:rStyle w:val="a8"/>
            <w:noProof/>
            <w:kern w:val="0"/>
          </w:rPr>
          <w:t>基金的历史沿革</w:t>
        </w:r>
        <w:r w:rsidR="00E45E2B">
          <w:rPr>
            <w:noProof/>
            <w:webHidden/>
          </w:rPr>
          <w:tab/>
        </w:r>
        <w:r>
          <w:rPr>
            <w:noProof/>
            <w:webHidden/>
          </w:rPr>
          <w:fldChar w:fldCharType="begin"/>
        </w:r>
        <w:r w:rsidR="00E45E2B">
          <w:rPr>
            <w:noProof/>
            <w:webHidden/>
          </w:rPr>
          <w:instrText xml:space="preserve"> PAGEREF _Toc169163864 \h </w:instrText>
        </w:r>
        <w:r>
          <w:rPr>
            <w:noProof/>
            <w:webHidden/>
          </w:rPr>
        </w:r>
        <w:r>
          <w:rPr>
            <w:noProof/>
            <w:webHidden/>
          </w:rPr>
          <w:fldChar w:fldCharType="separate"/>
        </w:r>
        <w:r w:rsidR="00E45E2B">
          <w:rPr>
            <w:noProof/>
            <w:webHidden/>
          </w:rPr>
          <w:t>13</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5" w:history="1">
        <w:r w:rsidR="00E45E2B" w:rsidRPr="008E5D99">
          <w:rPr>
            <w:rStyle w:val="a8"/>
            <w:noProof/>
            <w:kern w:val="0"/>
          </w:rPr>
          <w:t>第五部分</w:t>
        </w:r>
        <w:r w:rsidR="00E45E2B" w:rsidRPr="008E5D99">
          <w:rPr>
            <w:rStyle w:val="a8"/>
            <w:noProof/>
            <w:kern w:val="0"/>
          </w:rPr>
          <w:t xml:space="preserve">    </w:t>
        </w:r>
        <w:r w:rsidR="00E45E2B" w:rsidRPr="008E5D99">
          <w:rPr>
            <w:rStyle w:val="a8"/>
            <w:noProof/>
            <w:kern w:val="0"/>
          </w:rPr>
          <w:t>基金的存续</w:t>
        </w:r>
        <w:r w:rsidR="00E45E2B">
          <w:rPr>
            <w:noProof/>
            <w:webHidden/>
          </w:rPr>
          <w:tab/>
        </w:r>
        <w:r>
          <w:rPr>
            <w:noProof/>
            <w:webHidden/>
          </w:rPr>
          <w:fldChar w:fldCharType="begin"/>
        </w:r>
        <w:r w:rsidR="00E45E2B">
          <w:rPr>
            <w:noProof/>
            <w:webHidden/>
          </w:rPr>
          <w:instrText xml:space="preserve"> PAGEREF _Toc169163865 \h </w:instrText>
        </w:r>
        <w:r>
          <w:rPr>
            <w:noProof/>
            <w:webHidden/>
          </w:rPr>
        </w:r>
        <w:r>
          <w:rPr>
            <w:noProof/>
            <w:webHidden/>
          </w:rPr>
          <w:fldChar w:fldCharType="separate"/>
        </w:r>
        <w:r w:rsidR="00E45E2B">
          <w:rPr>
            <w:noProof/>
            <w:webHidden/>
          </w:rPr>
          <w:t>14</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6" w:history="1">
        <w:r w:rsidR="00E45E2B" w:rsidRPr="008E5D99">
          <w:rPr>
            <w:rStyle w:val="a8"/>
            <w:noProof/>
            <w:kern w:val="0"/>
          </w:rPr>
          <w:t>第六部分</w:t>
        </w:r>
        <w:r w:rsidR="00E45E2B" w:rsidRPr="008E5D99">
          <w:rPr>
            <w:rStyle w:val="a8"/>
            <w:noProof/>
            <w:kern w:val="0"/>
          </w:rPr>
          <w:t xml:space="preserve">    </w:t>
        </w:r>
        <w:r w:rsidR="00E45E2B" w:rsidRPr="008E5D99">
          <w:rPr>
            <w:rStyle w:val="a8"/>
            <w:noProof/>
            <w:kern w:val="0"/>
          </w:rPr>
          <w:t>基金份额的申购、赎回与转换</w:t>
        </w:r>
        <w:r w:rsidR="00E45E2B">
          <w:rPr>
            <w:noProof/>
            <w:webHidden/>
          </w:rPr>
          <w:tab/>
        </w:r>
        <w:r>
          <w:rPr>
            <w:noProof/>
            <w:webHidden/>
          </w:rPr>
          <w:fldChar w:fldCharType="begin"/>
        </w:r>
        <w:r w:rsidR="00E45E2B">
          <w:rPr>
            <w:noProof/>
            <w:webHidden/>
          </w:rPr>
          <w:instrText xml:space="preserve"> PAGEREF _Toc169163866 \h </w:instrText>
        </w:r>
        <w:r>
          <w:rPr>
            <w:noProof/>
            <w:webHidden/>
          </w:rPr>
        </w:r>
        <w:r>
          <w:rPr>
            <w:noProof/>
            <w:webHidden/>
          </w:rPr>
          <w:fldChar w:fldCharType="separate"/>
        </w:r>
        <w:r w:rsidR="00E45E2B">
          <w:rPr>
            <w:noProof/>
            <w:webHidden/>
          </w:rPr>
          <w:t>15</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7" w:history="1">
        <w:r w:rsidR="00E45E2B" w:rsidRPr="008E5D99">
          <w:rPr>
            <w:rStyle w:val="a8"/>
            <w:noProof/>
            <w:kern w:val="0"/>
          </w:rPr>
          <w:t>第七部分</w:t>
        </w:r>
        <w:r w:rsidR="00E45E2B" w:rsidRPr="008E5D99">
          <w:rPr>
            <w:rStyle w:val="a8"/>
            <w:noProof/>
            <w:kern w:val="0"/>
          </w:rPr>
          <w:t xml:space="preserve">    </w:t>
        </w:r>
        <w:r w:rsidR="00E45E2B" w:rsidRPr="008E5D99">
          <w:rPr>
            <w:rStyle w:val="a8"/>
            <w:noProof/>
            <w:kern w:val="0"/>
          </w:rPr>
          <w:t>基金合同当事人及权利义务</w:t>
        </w:r>
        <w:r w:rsidR="00E45E2B">
          <w:rPr>
            <w:noProof/>
            <w:webHidden/>
          </w:rPr>
          <w:tab/>
        </w:r>
        <w:r>
          <w:rPr>
            <w:noProof/>
            <w:webHidden/>
          </w:rPr>
          <w:fldChar w:fldCharType="begin"/>
        </w:r>
        <w:r w:rsidR="00E45E2B">
          <w:rPr>
            <w:noProof/>
            <w:webHidden/>
          </w:rPr>
          <w:instrText xml:space="preserve"> PAGEREF _Toc169163867 \h </w:instrText>
        </w:r>
        <w:r>
          <w:rPr>
            <w:noProof/>
            <w:webHidden/>
          </w:rPr>
        </w:r>
        <w:r>
          <w:rPr>
            <w:noProof/>
            <w:webHidden/>
          </w:rPr>
          <w:fldChar w:fldCharType="separate"/>
        </w:r>
        <w:r w:rsidR="00E45E2B">
          <w:rPr>
            <w:noProof/>
            <w:webHidden/>
          </w:rPr>
          <w:t>25</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8" w:history="1">
        <w:r w:rsidR="00E45E2B" w:rsidRPr="008E5D99">
          <w:rPr>
            <w:rStyle w:val="a8"/>
            <w:noProof/>
            <w:kern w:val="0"/>
          </w:rPr>
          <w:t>第八部分</w:t>
        </w:r>
        <w:r w:rsidR="00E45E2B" w:rsidRPr="008E5D99">
          <w:rPr>
            <w:rStyle w:val="a8"/>
            <w:noProof/>
            <w:kern w:val="0"/>
          </w:rPr>
          <w:t xml:space="preserve">    </w:t>
        </w:r>
        <w:r w:rsidR="00E45E2B" w:rsidRPr="008E5D99">
          <w:rPr>
            <w:rStyle w:val="a8"/>
            <w:noProof/>
            <w:kern w:val="0"/>
          </w:rPr>
          <w:t>基金份额持有人大会</w:t>
        </w:r>
        <w:r w:rsidR="00E45E2B">
          <w:rPr>
            <w:noProof/>
            <w:webHidden/>
          </w:rPr>
          <w:tab/>
        </w:r>
        <w:r>
          <w:rPr>
            <w:noProof/>
            <w:webHidden/>
          </w:rPr>
          <w:fldChar w:fldCharType="begin"/>
        </w:r>
        <w:r w:rsidR="00E45E2B">
          <w:rPr>
            <w:noProof/>
            <w:webHidden/>
          </w:rPr>
          <w:instrText xml:space="preserve"> PAGEREF _Toc169163868 \h </w:instrText>
        </w:r>
        <w:r>
          <w:rPr>
            <w:noProof/>
            <w:webHidden/>
          </w:rPr>
        </w:r>
        <w:r>
          <w:rPr>
            <w:noProof/>
            <w:webHidden/>
          </w:rPr>
          <w:fldChar w:fldCharType="separate"/>
        </w:r>
        <w:r w:rsidR="00E45E2B">
          <w:rPr>
            <w:noProof/>
            <w:webHidden/>
          </w:rPr>
          <w:t>33</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69" w:history="1">
        <w:r w:rsidR="00E45E2B" w:rsidRPr="008E5D99">
          <w:rPr>
            <w:rStyle w:val="a8"/>
            <w:noProof/>
          </w:rPr>
          <w:t>第九部分</w:t>
        </w:r>
        <w:r w:rsidR="00E45E2B" w:rsidRPr="008E5D99">
          <w:rPr>
            <w:rStyle w:val="a8"/>
            <w:noProof/>
          </w:rPr>
          <w:t xml:space="preserve">    </w:t>
        </w:r>
        <w:r w:rsidR="00E45E2B" w:rsidRPr="008E5D99">
          <w:rPr>
            <w:rStyle w:val="a8"/>
            <w:noProof/>
          </w:rPr>
          <w:t>基金管理人、基金托管人的更换条件和程序</w:t>
        </w:r>
        <w:r w:rsidR="00E45E2B">
          <w:rPr>
            <w:noProof/>
            <w:webHidden/>
          </w:rPr>
          <w:tab/>
        </w:r>
        <w:r>
          <w:rPr>
            <w:noProof/>
            <w:webHidden/>
          </w:rPr>
          <w:fldChar w:fldCharType="begin"/>
        </w:r>
        <w:r w:rsidR="00E45E2B">
          <w:rPr>
            <w:noProof/>
            <w:webHidden/>
          </w:rPr>
          <w:instrText xml:space="preserve"> PAGEREF _Toc169163869 \h </w:instrText>
        </w:r>
        <w:r>
          <w:rPr>
            <w:noProof/>
            <w:webHidden/>
          </w:rPr>
        </w:r>
        <w:r>
          <w:rPr>
            <w:noProof/>
            <w:webHidden/>
          </w:rPr>
          <w:fldChar w:fldCharType="separate"/>
        </w:r>
        <w:r w:rsidR="00E45E2B">
          <w:rPr>
            <w:noProof/>
            <w:webHidden/>
          </w:rPr>
          <w:t>42</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0" w:history="1">
        <w:r w:rsidR="00E45E2B" w:rsidRPr="008E5D99">
          <w:rPr>
            <w:rStyle w:val="a8"/>
            <w:noProof/>
          </w:rPr>
          <w:t>第十部分</w:t>
        </w:r>
        <w:r w:rsidR="00E45E2B" w:rsidRPr="008E5D99">
          <w:rPr>
            <w:rStyle w:val="a8"/>
            <w:noProof/>
          </w:rPr>
          <w:t xml:space="preserve">    </w:t>
        </w:r>
        <w:r w:rsidR="00E45E2B" w:rsidRPr="008E5D99">
          <w:rPr>
            <w:rStyle w:val="a8"/>
            <w:noProof/>
          </w:rPr>
          <w:t>基金的托管</w:t>
        </w:r>
        <w:r w:rsidR="00E45E2B">
          <w:rPr>
            <w:noProof/>
            <w:webHidden/>
          </w:rPr>
          <w:tab/>
        </w:r>
        <w:r>
          <w:rPr>
            <w:noProof/>
            <w:webHidden/>
          </w:rPr>
          <w:fldChar w:fldCharType="begin"/>
        </w:r>
        <w:r w:rsidR="00E45E2B">
          <w:rPr>
            <w:noProof/>
            <w:webHidden/>
          </w:rPr>
          <w:instrText xml:space="preserve"> PAGEREF _Toc169163870 \h </w:instrText>
        </w:r>
        <w:r>
          <w:rPr>
            <w:noProof/>
            <w:webHidden/>
          </w:rPr>
        </w:r>
        <w:r>
          <w:rPr>
            <w:noProof/>
            <w:webHidden/>
          </w:rPr>
          <w:fldChar w:fldCharType="separate"/>
        </w:r>
        <w:r w:rsidR="00E45E2B">
          <w:rPr>
            <w:noProof/>
            <w:webHidden/>
          </w:rPr>
          <w:t>45</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1" w:history="1">
        <w:r w:rsidR="00E45E2B" w:rsidRPr="008E5D99">
          <w:rPr>
            <w:rStyle w:val="a8"/>
            <w:noProof/>
            <w:kern w:val="0"/>
          </w:rPr>
          <w:t>第十一部分</w:t>
        </w:r>
        <w:r w:rsidR="00E45E2B" w:rsidRPr="008E5D99">
          <w:rPr>
            <w:rStyle w:val="a8"/>
            <w:noProof/>
            <w:kern w:val="0"/>
          </w:rPr>
          <w:t xml:space="preserve">    </w:t>
        </w:r>
        <w:r w:rsidR="00E45E2B" w:rsidRPr="008E5D99">
          <w:rPr>
            <w:rStyle w:val="a8"/>
            <w:noProof/>
            <w:kern w:val="0"/>
          </w:rPr>
          <w:t>基金份额的登记</w:t>
        </w:r>
        <w:r w:rsidR="00E45E2B">
          <w:rPr>
            <w:noProof/>
            <w:webHidden/>
          </w:rPr>
          <w:tab/>
        </w:r>
        <w:r>
          <w:rPr>
            <w:noProof/>
            <w:webHidden/>
          </w:rPr>
          <w:fldChar w:fldCharType="begin"/>
        </w:r>
        <w:r w:rsidR="00E45E2B">
          <w:rPr>
            <w:noProof/>
            <w:webHidden/>
          </w:rPr>
          <w:instrText xml:space="preserve"> PAGEREF _Toc169163871 \h </w:instrText>
        </w:r>
        <w:r>
          <w:rPr>
            <w:noProof/>
            <w:webHidden/>
          </w:rPr>
        </w:r>
        <w:r>
          <w:rPr>
            <w:noProof/>
            <w:webHidden/>
          </w:rPr>
          <w:fldChar w:fldCharType="separate"/>
        </w:r>
        <w:r w:rsidR="00E45E2B">
          <w:rPr>
            <w:noProof/>
            <w:webHidden/>
          </w:rPr>
          <w:t>46</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2" w:history="1">
        <w:r w:rsidR="00E45E2B" w:rsidRPr="008E5D99">
          <w:rPr>
            <w:rStyle w:val="a8"/>
            <w:noProof/>
            <w:kern w:val="0"/>
          </w:rPr>
          <w:t>第十二部分</w:t>
        </w:r>
        <w:r w:rsidR="00E45E2B" w:rsidRPr="008E5D99">
          <w:rPr>
            <w:rStyle w:val="a8"/>
            <w:noProof/>
            <w:kern w:val="0"/>
          </w:rPr>
          <w:t xml:space="preserve">    </w:t>
        </w:r>
        <w:r w:rsidR="00E45E2B" w:rsidRPr="008E5D99">
          <w:rPr>
            <w:rStyle w:val="a8"/>
            <w:noProof/>
            <w:kern w:val="0"/>
          </w:rPr>
          <w:t>基金的投资</w:t>
        </w:r>
        <w:r w:rsidR="00E45E2B">
          <w:rPr>
            <w:noProof/>
            <w:webHidden/>
          </w:rPr>
          <w:tab/>
        </w:r>
        <w:r>
          <w:rPr>
            <w:noProof/>
            <w:webHidden/>
          </w:rPr>
          <w:fldChar w:fldCharType="begin"/>
        </w:r>
        <w:r w:rsidR="00E45E2B">
          <w:rPr>
            <w:noProof/>
            <w:webHidden/>
          </w:rPr>
          <w:instrText xml:space="preserve"> PAGEREF _Toc169163872 \h </w:instrText>
        </w:r>
        <w:r>
          <w:rPr>
            <w:noProof/>
            <w:webHidden/>
          </w:rPr>
        </w:r>
        <w:r>
          <w:rPr>
            <w:noProof/>
            <w:webHidden/>
          </w:rPr>
          <w:fldChar w:fldCharType="separate"/>
        </w:r>
        <w:r w:rsidR="00E45E2B">
          <w:rPr>
            <w:noProof/>
            <w:webHidden/>
          </w:rPr>
          <w:t>48</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3" w:history="1">
        <w:r w:rsidR="00E45E2B" w:rsidRPr="008E5D99">
          <w:rPr>
            <w:rStyle w:val="a8"/>
            <w:noProof/>
            <w:kern w:val="0"/>
          </w:rPr>
          <w:t>第十三部分</w:t>
        </w:r>
        <w:r w:rsidR="00E45E2B" w:rsidRPr="008E5D99">
          <w:rPr>
            <w:rStyle w:val="a8"/>
            <w:noProof/>
            <w:kern w:val="0"/>
          </w:rPr>
          <w:t xml:space="preserve">    </w:t>
        </w:r>
        <w:r w:rsidR="00E45E2B" w:rsidRPr="008E5D99">
          <w:rPr>
            <w:rStyle w:val="a8"/>
            <w:noProof/>
            <w:kern w:val="0"/>
          </w:rPr>
          <w:t>基金的财产</w:t>
        </w:r>
        <w:r w:rsidR="00E45E2B">
          <w:rPr>
            <w:noProof/>
            <w:webHidden/>
          </w:rPr>
          <w:tab/>
        </w:r>
        <w:r>
          <w:rPr>
            <w:noProof/>
            <w:webHidden/>
          </w:rPr>
          <w:fldChar w:fldCharType="begin"/>
        </w:r>
        <w:r w:rsidR="00E45E2B">
          <w:rPr>
            <w:noProof/>
            <w:webHidden/>
          </w:rPr>
          <w:instrText xml:space="preserve"> PAGEREF _Toc169163873 \h </w:instrText>
        </w:r>
        <w:r>
          <w:rPr>
            <w:noProof/>
            <w:webHidden/>
          </w:rPr>
        </w:r>
        <w:r>
          <w:rPr>
            <w:noProof/>
            <w:webHidden/>
          </w:rPr>
          <w:fldChar w:fldCharType="separate"/>
        </w:r>
        <w:r w:rsidR="00E45E2B">
          <w:rPr>
            <w:noProof/>
            <w:webHidden/>
          </w:rPr>
          <w:t>60</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4" w:history="1">
        <w:r w:rsidR="00E45E2B" w:rsidRPr="008E5D99">
          <w:rPr>
            <w:rStyle w:val="a8"/>
            <w:noProof/>
            <w:kern w:val="0"/>
          </w:rPr>
          <w:t>第十四部分</w:t>
        </w:r>
        <w:r w:rsidR="00E45E2B" w:rsidRPr="008E5D99">
          <w:rPr>
            <w:rStyle w:val="a8"/>
            <w:noProof/>
            <w:kern w:val="0"/>
          </w:rPr>
          <w:t xml:space="preserve">    </w:t>
        </w:r>
        <w:r w:rsidR="00E45E2B" w:rsidRPr="008E5D99">
          <w:rPr>
            <w:rStyle w:val="a8"/>
            <w:noProof/>
            <w:kern w:val="0"/>
          </w:rPr>
          <w:t>基金资产估值</w:t>
        </w:r>
        <w:r w:rsidR="00E45E2B">
          <w:rPr>
            <w:noProof/>
            <w:webHidden/>
          </w:rPr>
          <w:tab/>
        </w:r>
        <w:r>
          <w:rPr>
            <w:noProof/>
            <w:webHidden/>
          </w:rPr>
          <w:fldChar w:fldCharType="begin"/>
        </w:r>
        <w:r w:rsidR="00E45E2B">
          <w:rPr>
            <w:noProof/>
            <w:webHidden/>
          </w:rPr>
          <w:instrText xml:space="preserve"> PAGEREF _Toc169163874 \h </w:instrText>
        </w:r>
        <w:r>
          <w:rPr>
            <w:noProof/>
            <w:webHidden/>
          </w:rPr>
        </w:r>
        <w:r>
          <w:rPr>
            <w:noProof/>
            <w:webHidden/>
          </w:rPr>
          <w:fldChar w:fldCharType="separate"/>
        </w:r>
        <w:r w:rsidR="00E45E2B">
          <w:rPr>
            <w:noProof/>
            <w:webHidden/>
          </w:rPr>
          <w:t>61</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5" w:history="1">
        <w:r w:rsidR="00E45E2B" w:rsidRPr="008E5D99">
          <w:rPr>
            <w:rStyle w:val="a8"/>
            <w:noProof/>
            <w:kern w:val="0"/>
          </w:rPr>
          <w:t>第十五部分</w:t>
        </w:r>
        <w:r w:rsidR="00E45E2B" w:rsidRPr="008E5D99">
          <w:rPr>
            <w:rStyle w:val="a8"/>
            <w:noProof/>
            <w:kern w:val="0"/>
          </w:rPr>
          <w:t xml:space="preserve">    </w:t>
        </w:r>
        <w:r w:rsidR="00E45E2B" w:rsidRPr="008E5D99">
          <w:rPr>
            <w:rStyle w:val="a8"/>
            <w:noProof/>
            <w:kern w:val="0"/>
          </w:rPr>
          <w:t>基金费用与税收</w:t>
        </w:r>
        <w:r w:rsidR="00E45E2B">
          <w:rPr>
            <w:noProof/>
            <w:webHidden/>
          </w:rPr>
          <w:tab/>
        </w:r>
        <w:r>
          <w:rPr>
            <w:noProof/>
            <w:webHidden/>
          </w:rPr>
          <w:fldChar w:fldCharType="begin"/>
        </w:r>
        <w:r w:rsidR="00E45E2B">
          <w:rPr>
            <w:noProof/>
            <w:webHidden/>
          </w:rPr>
          <w:instrText xml:space="preserve"> PAGEREF _Toc169163875 \h </w:instrText>
        </w:r>
        <w:r>
          <w:rPr>
            <w:noProof/>
            <w:webHidden/>
          </w:rPr>
        </w:r>
        <w:r>
          <w:rPr>
            <w:noProof/>
            <w:webHidden/>
          </w:rPr>
          <w:fldChar w:fldCharType="separate"/>
        </w:r>
        <w:r w:rsidR="00E45E2B">
          <w:rPr>
            <w:noProof/>
            <w:webHidden/>
          </w:rPr>
          <w:t>69</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6" w:history="1">
        <w:r w:rsidR="00E45E2B" w:rsidRPr="008E5D99">
          <w:rPr>
            <w:rStyle w:val="a8"/>
            <w:noProof/>
            <w:kern w:val="0"/>
          </w:rPr>
          <w:t>第十六部分</w:t>
        </w:r>
        <w:r w:rsidR="00E45E2B" w:rsidRPr="008E5D99">
          <w:rPr>
            <w:rStyle w:val="a8"/>
            <w:noProof/>
            <w:kern w:val="0"/>
          </w:rPr>
          <w:t xml:space="preserve">    </w:t>
        </w:r>
        <w:r w:rsidR="00E45E2B" w:rsidRPr="008E5D99">
          <w:rPr>
            <w:rStyle w:val="a8"/>
            <w:noProof/>
            <w:kern w:val="0"/>
          </w:rPr>
          <w:t>基金的收益与分配</w:t>
        </w:r>
        <w:r w:rsidR="00E45E2B">
          <w:rPr>
            <w:noProof/>
            <w:webHidden/>
          </w:rPr>
          <w:tab/>
        </w:r>
        <w:r>
          <w:rPr>
            <w:noProof/>
            <w:webHidden/>
          </w:rPr>
          <w:fldChar w:fldCharType="begin"/>
        </w:r>
        <w:r w:rsidR="00E45E2B">
          <w:rPr>
            <w:noProof/>
            <w:webHidden/>
          </w:rPr>
          <w:instrText xml:space="preserve"> PAGEREF _Toc169163876 \h </w:instrText>
        </w:r>
        <w:r>
          <w:rPr>
            <w:noProof/>
            <w:webHidden/>
          </w:rPr>
        </w:r>
        <w:r>
          <w:rPr>
            <w:noProof/>
            <w:webHidden/>
          </w:rPr>
          <w:fldChar w:fldCharType="separate"/>
        </w:r>
        <w:r w:rsidR="00E45E2B">
          <w:rPr>
            <w:noProof/>
            <w:webHidden/>
          </w:rPr>
          <w:t>72</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7" w:history="1">
        <w:r w:rsidR="00E45E2B" w:rsidRPr="008E5D99">
          <w:rPr>
            <w:rStyle w:val="a8"/>
            <w:noProof/>
            <w:kern w:val="0"/>
          </w:rPr>
          <w:t>第十七部分</w:t>
        </w:r>
        <w:r w:rsidR="00E45E2B" w:rsidRPr="008E5D99">
          <w:rPr>
            <w:rStyle w:val="a8"/>
            <w:noProof/>
            <w:kern w:val="0"/>
          </w:rPr>
          <w:t xml:space="preserve">    </w:t>
        </w:r>
        <w:r w:rsidR="00E45E2B" w:rsidRPr="008E5D99">
          <w:rPr>
            <w:rStyle w:val="a8"/>
            <w:noProof/>
            <w:kern w:val="0"/>
          </w:rPr>
          <w:t>基金的会计与审计</w:t>
        </w:r>
        <w:r w:rsidR="00E45E2B">
          <w:rPr>
            <w:noProof/>
            <w:webHidden/>
          </w:rPr>
          <w:tab/>
        </w:r>
        <w:r>
          <w:rPr>
            <w:noProof/>
            <w:webHidden/>
          </w:rPr>
          <w:fldChar w:fldCharType="begin"/>
        </w:r>
        <w:r w:rsidR="00E45E2B">
          <w:rPr>
            <w:noProof/>
            <w:webHidden/>
          </w:rPr>
          <w:instrText xml:space="preserve"> PAGEREF _Toc169163877 \h </w:instrText>
        </w:r>
        <w:r>
          <w:rPr>
            <w:noProof/>
            <w:webHidden/>
          </w:rPr>
        </w:r>
        <w:r>
          <w:rPr>
            <w:noProof/>
            <w:webHidden/>
          </w:rPr>
          <w:fldChar w:fldCharType="separate"/>
        </w:r>
        <w:r w:rsidR="00E45E2B">
          <w:rPr>
            <w:noProof/>
            <w:webHidden/>
          </w:rPr>
          <w:t>74</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8" w:history="1">
        <w:r w:rsidR="00E45E2B" w:rsidRPr="008E5D99">
          <w:rPr>
            <w:rStyle w:val="a8"/>
            <w:noProof/>
            <w:kern w:val="0"/>
          </w:rPr>
          <w:t>第十八部分</w:t>
        </w:r>
        <w:r w:rsidR="00E45E2B" w:rsidRPr="008E5D99">
          <w:rPr>
            <w:rStyle w:val="a8"/>
            <w:noProof/>
            <w:kern w:val="0"/>
          </w:rPr>
          <w:t xml:space="preserve">    </w:t>
        </w:r>
        <w:r w:rsidR="00E45E2B" w:rsidRPr="008E5D99">
          <w:rPr>
            <w:rStyle w:val="a8"/>
            <w:noProof/>
            <w:kern w:val="0"/>
          </w:rPr>
          <w:t>基金的信息披露</w:t>
        </w:r>
        <w:r w:rsidR="00E45E2B">
          <w:rPr>
            <w:noProof/>
            <w:webHidden/>
          </w:rPr>
          <w:tab/>
        </w:r>
        <w:r>
          <w:rPr>
            <w:noProof/>
            <w:webHidden/>
          </w:rPr>
          <w:fldChar w:fldCharType="begin"/>
        </w:r>
        <w:r w:rsidR="00E45E2B">
          <w:rPr>
            <w:noProof/>
            <w:webHidden/>
          </w:rPr>
          <w:instrText xml:space="preserve"> PAGEREF _Toc169163878 \h </w:instrText>
        </w:r>
        <w:r>
          <w:rPr>
            <w:noProof/>
            <w:webHidden/>
          </w:rPr>
        </w:r>
        <w:r>
          <w:rPr>
            <w:noProof/>
            <w:webHidden/>
          </w:rPr>
          <w:fldChar w:fldCharType="separate"/>
        </w:r>
        <w:r w:rsidR="00E45E2B">
          <w:rPr>
            <w:noProof/>
            <w:webHidden/>
          </w:rPr>
          <w:t>75</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79" w:history="1">
        <w:r w:rsidR="00E45E2B" w:rsidRPr="008E5D99">
          <w:rPr>
            <w:rStyle w:val="a8"/>
            <w:noProof/>
            <w:kern w:val="0"/>
          </w:rPr>
          <w:t>第十九部分</w:t>
        </w:r>
        <w:r w:rsidR="00E45E2B" w:rsidRPr="008E5D99">
          <w:rPr>
            <w:rStyle w:val="a8"/>
            <w:noProof/>
            <w:kern w:val="0"/>
          </w:rPr>
          <w:t xml:space="preserve">    </w:t>
        </w:r>
        <w:r w:rsidR="00E45E2B" w:rsidRPr="008E5D99">
          <w:rPr>
            <w:rStyle w:val="a8"/>
            <w:noProof/>
            <w:kern w:val="0"/>
          </w:rPr>
          <w:t>基金合同的变更、终止与基金财产的清算</w:t>
        </w:r>
        <w:r w:rsidR="00E45E2B">
          <w:rPr>
            <w:noProof/>
            <w:webHidden/>
          </w:rPr>
          <w:tab/>
        </w:r>
        <w:r>
          <w:rPr>
            <w:noProof/>
            <w:webHidden/>
          </w:rPr>
          <w:fldChar w:fldCharType="begin"/>
        </w:r>
        <w:r w:rsidR="00E45E2B">
          <w:rPr>
            <w:noProof/>
            <w:webHidden/>
          </w:rPr>
          <w:instrText xml:space="preserve"> PAGEREF _Toc169163879 \h </w:instrText>
        </w:r>
        <w:r>
          <w:rPr>
            <w:noProof/>
            <w:webHidden/>
          </w:rPr>
        </w:r>
        <w:r>
          <w:rPr>
            <w:noProof/>
            <w:webHidden/>
          </w:rPr>
          <w:fldChar w:fldCharType="separate"/>
        </w:r>
        <w:r w:rsidR="00E45E2B">
          <w:rPr>
            <w:noProof/>
            <w:webHidden/>
          </w:rPr>
          <w:t>83</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80" w:history="1">
        <w:r w:rsidR="00E45E2B" w:rsidRPr="008E5D99">
          <w:rPr>
            <w:rStyle w:val="a8"/>
            <w:noProof/>
            <w:kern w:val="0"/>
          </w:rPr>
          <w:t>第二十部分</w:t>
        </w:r>
        <w:r w:rsidR="00E45E2B" w:rsidRPr="008E5D99">
          <w:rPr>
            <w:rStyle w:val="a8"/>
            <w:noProof/>
            <w:kern w:val="0"/>
          </w:rPr>
          <w:t xml:space="preserve">    </w:t>
        </w:r>
        <w:r w:rsidR="00E45E2B" w:rsidRPr="008E5D99">
          <w:rPr>
            <w:rStyle w:val="a8"/>
            <w:noProof/>
            <w:kern w:val="0"/>
          </w:rPr>
          <w:t>违约责任</w:t>
        </w:r>
        <w:r w:rsidR="00E45E2B">
          <w:rPr>
            <w:noProof/>
            <w:webHidden/>
          </w:rPr>
          <w:tab/>
        </w:r>
        <w:r>
          <w:rPr>
            <w:noProof/>
            <w:webHidden/>
          </w:rPr>
          <w:fldChar w:fldCharType="begin"/>
        </w:r>
        <w:r w:rsidR="00E45E2B">
          <w:rPr>
            <w:noProof/>
            <w:webHidden/>
          </w:rPr>
          <w:instrText xml:space="preserve"> PAGEREF _Toc169163880 \h </w:instrText>
        </w:r>
        <w:r>
          <w:rPr>
            <w:noProof/>
            <w:webHidden/>
          </w:rPr>
        </w:r>
        <w:r>
          <w:rPr>
            <w:noProof/>
            <w:webHidden/>
          </w:rPr>
          <w:fldChar w:fldCharType="separate"/>
        </w:r>
        <w:r w:rsidR="00E45E2B">
          <w:rPr>
            <w:noProof/>
            <w:webHidden/>
          </w:rPr>
          <w:t>85</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81" w:history="1">
        <w:r w:rsidR="00E45E2B" w:rsidRPr="008E5D99">
          <w:rPr>
            <w:rStyle w:val="a8"/>
            <w:noProof/>
            <w:kern w:val="0"/>
          </w:rPr>
          <w:t>第二十一部分</w:t>
        </w:r>
        <w:r w:rsidR="00E45E2B" w:rsidRPr="008E5D99">
          <w:rPr>
            <w:rStyle w:val="a8"/>
            <w:noProof/>
            <w:kern w:val="0"/>
          </w:rPr>
          <w:t xml:space="preserve">    </w:t>
        </w:r>
        <w:r w:rsidR="00E45E2B" w:rsidRPr="008E5D99">
          <w:rPr>
            <w:rStyle w:val="a8"/>
            <w:noProof/>
            <w:kern w:val="0"/>
          </w:rPr>
          <w:t>争议的处理和适用的法律</w:t>
        </w:r>
        <w:r w:rsidR="00E45E2B">
          <w:rPr>
            <w:noProof/>
            <w:webHidden/>
          </w:rPr>
          <w:tab/>
        </w:r>
        <w:r>
          <w:rPr>
            <w:noProof/>
            <w:webHidden/>
          </w:rPr>
          <w:fldChar w:fldCharType="begin"/>
        </w:r>
        <w:r w:rsidR="00E45E2B">
          <w:rPr>
            <w:noProof/>
            <w:webHidden/>
          </w:rPr>
          <w:instrText xml:space="preserve"> PAGEREF _Toc169163881 \h </w:instrText>
        </w:r>
        <w:r>
          <w:rPr>
            <w:noProof/>
            <w:webHidden/>
          </w:rPr>
        </w:r>
        <w:r>
          <w:rPr>
            <w:noProof/>
            <w:webHidden/>
          </w:rPr>
          <w:fldChar w:fldCharType="separate"/>
        </w:r>
        <w:r w:rsidR="00E45E2B">
          <w:rPr>
            <w:noProof/>
            <w:webHidden/>
          </w:rPr>
          <w:t>86</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82" w:history="1">
        <w:r w:rsidR="00E45E2B" w:rsidRPr="008E5D99">
          <w:rPr>
            <w:rStyle w:val="a8"/>
            <w:noProof/>
            <w:kern w:val="0"/>
          </w:rPr>
          <w:t>第二十二部分</w:t>
        </w:r>
        <w:r w:rsidR="00E45E2B" w:rsidRPr="008E5D99">
          <w:rPr>
            <w:rStyle w:val="a8"/>
            <w:noProof/>
            <w:kern w:val="0"/>
          </w:rPr>
          <w:t xml:space="preserve">    </w:t>
        </w:r>
        <w:r w:rsidR="00E45E2B" w:rsidRPr="008E5D99">
          <w:rPr>
            <w:rStyle w:val="a8"/>
            <w:noProof/>
            <w:kern w:val="0"/>
          </w:rPr>
          <w:t>基金合同的效力</w:t>
        </w:r>
        <w:r w:rsidR="00E45E2B">
          <w:rPr>
            <w:noProof/>
            <w:webHidden/>
          </w:rPr>
          <w:tab/>
        </w:r>
        <w:r>
          <w:rPr>
            <w:noProof/>
            <w:webHidden/>
          </w:rPr>
          <w:fldChar w:fldCharType="begin"/>
        </w:r>
        <w:r w:rsidR="00E45E2B">
          <w:rPr>
            <w:noProof/>
            <w:webHidden/>
          </w:rPr>
          <w:instrText xml:space="preserve"> PAGEREF _Toc169163882 \h </w:instrText>
        </w:r>
        <w:r>
          <w:rPr>
            <w:noProof/>
            <w:webHidden/>
          </w:rPr>
        </w:r>
        <w:r>
          <w:rPr>
            <w:noProof/>
            <w:webHidden/>
          </w:rPr>
          <w:fldChar w:fldCharType="separate"/>
        </w:r>
        <w:r w:rsidR="00E45E2B">
          <w:rPr>
            <w:noProof/>
            <w:webHidden/>
          </w:rPr>
          <w:t>87</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83" w:history="1">
        <w:r w:rsidR="00E45E2B" w:rsidRPr="008E5D99">
          <w:rPr>
            <w:rStyle w:val="a8"/>
            <w:noProof/>
            <w:kern w:val="0"/>
          </w:rPr>
          <w:t>第二十三部分</w:t>
        </w:r>
        <w:r w:rsidR="00E45E2B" w:rsidRPr="008E5D99">
          <w:rPr>
            <w:rStyle w:val="a8"/>
            <w:noProof/>
            <w:kern w:val="0"/>
          </w:rPr>
          <w:t xml:space="preserve">    </w:t>
        </w:r>
        <w:r w:rsidR="00E45E2B" w:rsidRPr="008E5D99">
          <w:rPr>
            <w:rStyle w:val="a8"/>
            <w:noProof/>
            <w:kern w:val="0"/>
          </w:rPr>
          <w:t>其他事项</w:t>
        </w:r>
        <w:r w:rsidR="00E45E2B">
          <w:rPr>
            <w:noProof/>
            <w:webHidden/>
          </w:rPr>
          <w:tab/>
        </w:r>
        <w:r>
          <w:rPr>
            <w:noProof/>
            <w:webHidden/>
          </w:rPr>
          <w:fldChar w:fldCharType="begin"/>
        </w:r>
        <w:r w:rsidR="00E45E2B">
          <w:rPr>
            <w:noProof/>
            <w:webHidden/>
          </w:rPr>
          <w:instrText xml:space="preserve"> PAGEREF _Toc169163883 \h </w:instrText>
        </w:r>
        <w:r>
          <w:rPr>
            <w:noProof/>
            <w:webHidden/>
          </w:rPr>
        </w:r>
        <w:r>
          <w:rPr>
            <w:noProof/>
            <w:webHidden/>
          </w:rPr>
          <w:fldChar w:fldCharType="separate"/>
        </w:r>
        <w:r w:rsidR="00E45E2B">
          <w:rPr>
            <w:noProof/>
            <w:webHidden/>
          </w:rPr>
          <w:t>88</w:t>
        </w:r>
        <w:r>
          <w:rPr>
            <w:noProof/>
            <w:webHidden/>
          </w:rPr>
          <w:fldChar w:fldCharType="end"/>
        </w:r>
      </w:hyperlink>
    </w:p>
    <w:p w:rsidR="00E45E2B" w:rsidRDefault="00911457" w:rsidP="00E45E2B">
      <w:pPr>
        <w:pStyle w:val="10"/>
        <w:tabs>
          <w:tab w:val="right" w:leader="dot" w:pos="8296"/>
        </w:tabs>
        <w:spacing w:line="360" w:lineRule="auto"/>
        <w:rPr>
          <w:rFonts w:asciiTheme="minorHAnsi" w:eastAsiaTheme="minorEastAsia" w:hAnsiTheme="minorHAnsi" w:cstheme="minorBidi"/>
          <w:noProof/>
        </w:rPr>
      </w:pPr>
      <w:hyperlink w:anchor="_Toc169163884" w:history="1">
        <w:r w:rsidR="00E45E2B" w:rsidRPr="008E5D99">
          <w:rPr>
            <w:rStyle w:val="a8"/>
            <w:noProof/>
            <w:kern w:val="0"/>
          </w:rPr>
          <w:t>第二十四部分</w:t>
        </w:r>
        <w:r w:rsidR="00E45E2B" w:rsidRPr="008E5D99">
          <w:rPr>
            <w:rStyle w:val="a8"/>
            <w:noProof/>
            <w:kern w:val="0"/>
          </w:rPr>
          <w:t xml:space="preserve">    </w:t>
        </w:r>
        <w:r w:rsidR="00E45E2B" w:rsidRPr="008E5D99">
          <w:rPr>
            <w:rStyle w:val="a8"/>
            <w:noProof/>
            <w:kern w:val="0"/>
          </w:rPr>
          <w:t>基金合同内容摘要</w:t>
        </w:r>
        <w:r w:rsidR="00E45E2B">
          <w:rPr>
            <w:noProof/>
            <w:webHidden/>
          </w:rPr>
          <w:tab/>
        </w:r>
        <w:r>
          <w:rPr>
            <w:noProof/>
            <w:webHidden/>
          </w:rPr>
          <w:fldChar w:fldCharType="begin"/>
        </w:r>
        <w:r w:rsidR="00E45E2B">
          <w:rPr>
            <w:noProof/>
            <w:webHidden/>
          </w:rPr>
          <w:instrText xml:space="preserve"> PAGEREF _Toc169163884 \h </w:instrText>
        </w:r>
        <w:r>
          <w:rPr>
            <w:noProof/>
            <w:webHidden/>
          </w:rPr>
        </w:r>
        <w:r>
          <w:rPr>
            <w:noProof/>
            <w:webHidden/>
          </w:rPr>
          <w:fldChar w:fldCharType="separate"/>
        </w:r>
        <w:r w:rsidR="00E45E2B">
          <w:rPr>
            <w:noProof/>
            <w:webHidden/>
          </w:rPr>
          <w:t>89</w:t>
        </w:r>
        <w:r>
          <w:rPr>
            <w:noProof/>
            <w:webHidden/>
          </w:rPr>
          <w:fldChar w:fldCharType="end"/>
        </w:r>
      </w:hyperlink>
    </w:p>
    <w:p w:rsidR="00E45E2B" w:rsidRDefault="00911457" w:rsidP="00E45E2B">
      <w:pPr>
        <w:pStyle w:val="10"/>
        <w:tabs>
          <w:tab w:val="right" w:leader="dot" w:pos="8296"/>
        </w:tabs>
        <w:spacing w:line="360" w:lineRule="auto"/>
        <w:rPr>
          <w:rFonts w:ascii="仿宋" w:eastAsia="仿宋" w:hAnsi="仿宋"/>
          <w:kern w:val="0"/>
          <w:sz w:val="24"/>
          <w:szCs w:val="24"/>
        </w:rPr>
      </w:pPr>
      <w:r>
        <w:rPr>
          <w:rFonts w:ascii="仿宋" w:eastAsia="仿宋" w:hAnsi="仿宋"/>
          <w:kern w:val="0"/>
          <w:sz w:val="24"/>
          <w:szCs w:val="24"/>
        </w:rPr>
        <w:fldChar w:fldCharType="end"/>
      </w:r>
      <w:bookmarkStart w:id="12" w:name="_Toc4867"/>
      <w:bookmarkStart w:id="13" w:name="_Toc4966"/>
      <w:bookmarkStart w:id="14" w:name="_Toc6306"/>
      <w:bookmarkStart w:id="15" w:name="_Toc26897"/>
      <w:bookmarkStart w:id="16" w:name="_Toc11660"/>
      <w:bookmarkStart w:id="17" w:name="_Toc23386"/>
      <w:bookmarkStart w:id="18" w:name="_Toc30935"/>
      <w:bookmarkStart w:id="19" w:name="_Toc29629"/>
      <w:bookmarkStart w:id="20" w:name="_Toc15517"/>
      <w:bookmarkStart w:id="21" w:name="_Toc139991730"/>
      <w:bookmarkStart w:id="22" w:name="_Toc8727"/>
      <w:bookmarkStart w:id="23" w:name="_Toc141703880"/>
      <w:bookmarkStart w:id="24" w:name="_Toc32639"/>
      <w:bookmarkStart w:id="25" w:name="_Toc123701389"/>
      <w:bookmarkStart w:id="26" w:name="_Toc123112229"/>
      <w:bookmarkStart w:id="27" w:name="_Toc123112268"/>
      <w:bookmarkStart w:id="28" w:name="_Toc233456271"/>
    </w:p>
    <w:p w:rsidR="00E45E2B" w:rsidRDefault="00E45E2B" w:rsidP="00E45E2B">
      <w:pPr>
        <w:widowControl/>
        <w:jc w:val="left"/>
        <w:rPr>
          <w:rFonts w:ascii="仿宋" w:eastAsia="仿宋" w:hAnsi="仿宋"/>
          <w:kern w:val="0"/>
          <w:sz w:val="24"/>
          <w:szCs w:val="24"/>
        </w:rPr>
      </w:pPr>
      <w:r>
        <w:rPr>
          <w:rFonts w:ascii="仿宋" w:eastAsia="仿宋" w:hAnsi="仿宋"/>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29" w:name="_Toc377998616"/>
      <w:bookmarkStart w:id="30" w:name="_Toc459291238"/>
      <w:bookmarkStart w:id="31" w:name="_Toc169163861"/>
      <w:r w:rsidRPr="004F6C89">
        <w:rPr>
          <w:rFonts w:eastAsia="仿宋" w:hint="eastAsia"/>
          <w:sz w:val="30"/>
          <w:szCs w:val="30"/>
          <w:lang w:val="zh-CN"/>
        </w:rPr>
        <w:t>第一部分</w:t>
      </w:r>
      <w:r w:rsidRPr="004F6C89">
        <w:rPr>
          <w:rFonts w:eastAsia="仿宋" w:hint="eastAsia"/>
          <w:sz w:val="30"/>
          <w:szCs w:val="30"/>
          <w:lang w:val="zh-CN"/>
        </w:rPr>
        <w:t xml:space="preserve">    </w:t>
      </w:r>
      <w:r w:rsidRPr="004F6C89">
        <w:rPr>
          <w:rFonts w:eastAsia="仿宋" w:hint="eastAsia"/>
          <w:sz w:val="30"/>
          <w:szCs w:val="30"/>
          <w:lang w:val="zh-CN"/>
        </w:rPr>
        <w:t>前言</w:t>
      </w:r>
      <w:bookmarkEnd w:id="12"/>
      <w:bookmarkEnd w:id="13"/>
      <w:bookmarkEnd w:id="14"/>
      <w:bookmarkEnd w:id="15"/>
      <w:bookmarkEnd w:id="16"/>
      <w:bookmarkEnd w:id="17"/>
      <w:bookmarkEnd w:id="18"/>
      <w:bookmarkEnd w:id="19"/>
      <w:bookmarkEnd w:id="20"/>
      <w:bookmarkEnd w:id="21"/>
      <w:bookmarkEnd w:id="22"/>
      <w:bookmarkEnd w:id="23"/>
      <w:bookmarkEnd w:id="24"/>
      <w:bookmarkEnd w:id="29"/>
      <w:bookmarkEnd w:id="30"/>
      <w:bookmarkEnd w:id="31"/>
    </w:p>
    <w:p w:rsidR="00E45E2B" w:rsidRDefault="00E45E2B" w:rsidP="00E45E2B">
      <w:pPr>
        <w:spacing w:line="360" w:lineRule="auto"/>
        <w:ind w:firstLineChars="200" w:firstLine="480"/>
        <w:rPr>
          <w:rFonts w:ascii="仿宋" w:eastAsia="仿宋" w:hAnsi="仿宋" w:cs="宋体"/>
          <w:kern w:val="0"/>
          <w:sz w:val="24"/>
          <w:szCs w:val="24"/>
        </w:rPr>
      </w:pPr>
      <w:bookmarkStart w:id="32" w:name="_Toc139991731"/>
      <w:bookmarkStart w:id="33" w:name="_Toc258829399"/>
      <w:r>
        <w:rPr>
          <w:rFonts w:ascii="仿宋" w:eastAsia="仿宋" w:hAnsi="仿宋" w:cs="宋体" w:hint="eastAsia"/>
          <w:kern w:val="0"/>
          <w:sz w:val="24"/>
          <w:szCs w:val="24"/>
        </w:rPr>
        <w:t>一</w:t>
      </w:r>
      <w:bookmarkEnd w:id="25"/>
      <w:bookmarkEnd w:id="26"/>
      <w:bookmarkEnd w:id="27"/>
      <w:bookmarkEnd w:id="32"/>
      <w:r>
        <w:rPr>
          <w:rFonts w:ascii="仿宋" w:eastAsia="仿宋" w:hAnsi="仿宋" w:cs="宋体" w:hint="eastAsia"/>
          <w:kern w:val="0"/>
          <w:sz w:val="24"/>
          <w:szCs w:val="24"/>
        </w:rPr>
        <w:t>、</w:t>
      </w:r>
      <w:r>
        <w:rPr>
          <w:rFonts w:ascii="仿宋" w:eastAsia="仿宋" w:hAnsi="仿宋" w:cs="宋体"/>
          <w:kern w:val="0"/>
          <w:sz w:val="24"/>
          <w:szCs w:val="24"/>
        </w:rPr>
        <w:t>订立本基金合同的目的、依据和原则</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Pr>
          <w:rFonts w:ascii="仿宋" w:eastAsia="仿宋" w:hAnsi="仿宋" w:cs="宋体"/>
          <w:kern w:val="0"/>
          <w:sz w:val="24"/>
          <w:szCs w:val="24"/>
        </w:rPr>
        <w:t>订立本基金合同的目的是保护投资人合法权益，明确基金合同当事人的权利义务，规范基金运作。</w:t>
      </w:r>
    </w:p>
    <w:p w:rsidR="00E45E2B" w:rsidRDefault="00E45E2B" w:rsidP="00E45E2B">
      <w:pPr>
        <w:spacing w:line="360" w:lineRule="auto"/>
        <w:ind w:firstLineChars="200" w:firstLine="480"/>
        <w:rPr>
          <w:rFonts w:ascii="仿宋" w:eastAsia="仿宋" w:hAnsi="仿宋" w:cs="宋体"/>
          <w:kern w:val="0"/>
          <w:sz w:val="24"/>
          <w:szCs w:val="24"/>
        </w:rPr>
      </w:pPr>
      <w:bookmarkStart w:id="34" w:name="OLE_LINK1"/>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kern w:val="0"/>
          <w:sz w:val="24"/>
          <w:szCs w:val="24"/>
        </w:rPr>
        <w:t>订立本基金合同的依据是</w:t>
      </w:r>
      <w:r w:rsidRPr="007B5422">
        <w:rPr>
          <w:rFonts w:ascii="仿宋" w:eastAsia="仿宋" w:hAnsi="仿宋" w:cs="宋体" w:hint="eastAsia"/>
          <w:kern w:val="0"/>
          <w:sz w:val="24"/>
          <w:szCs w:val="24"/>
        </w:rPr>
        <w:t>《中华人民共和国民法典》</w:t>
      </w:r>
      <w:r>
        <w:rPr>
          <w:rFonts w:ascii="仿宋" w:eastAsia="仿宋" w:hAnsi="仿宋" w:cs="宋体"/>
          <w:kern w:val="0"/>
          <w:sz w:val="24"/>
          <w:szCs w:val="24"/>
        </w:rPr>
        <w:t>、《中华人民共和国证券投资基金法》(以下简称“《基金法》”)、《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证券投资基金运作管理办法》(以下简称“《运作办法》”)、</w:t>
      </w:r>
      <w:r>
        <w:rPr>
          <w:rFonts w:ascii="仿宋" w:eastAsia="仿宋" w:hAnsi="仿宋" w:cs="宋体" w:hint="eastAsia"/>
          <w:kern w:val="0"/>
          <w:sz w:val="24"/>
          <w:szCs w:val="24"/>
        </w:rPr>
        <w:t>《公开募集证券投资基金销售机构监督管理办法》</w:t>
      </w:r>
      <w:r>
        <w:rPr>
          <w:rFonts w:ascii="仿宋" w:eastAsia="仿宋" w:hAnsi="仿宋" w:cs="宋体"/>
          <w:kern w:val="0"/>
          <w:sz w:val="24"/>
          <w:szCs w:val="24"/>
        </w:rPr>
        <w:t>(以下简称“《销售办法》”)、《</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证券投资基金信息披露管理办法》(以下简称“《信息披露办法》”)</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(以下简称“</w:t>
      </w:r>
      <w:r w:rsidRPr="007B5422">
        <w:rPr>
          <w:rFonts w:ascii="仿宋" w:eastAsia="仿宋" w:hAnsi="仿宋" w:cs="宋体" w:hint="eastAsia"/>
          <w:kern w:val="0"/>
          <w:sz w:val="24"/>
          <w:szCs w:val="24"/>
        </w:rPr>
        <w:t>《流动性风险管理规定》</w:t>
      </w:r>
      <w:r>
        <w:rPr>
          <w:rFonts w:ascii="仿宋" w:eastAsia="仿宋" w:hAnsi="仿宋" w:cs="宋体"/>
          <w:kern w:val="0"/>
          <w:sz w:val="24"/>
          <w:szCs w:val="24"/>
        </w:rPr>
        <w:t>”)和其他有关法律法规。</w:t>
      </w:r>
      <w:bookmarkEnd w:id="34"/>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Pr>
          <w:rFonts w:ascii="仿宋" w:eastAsia="仿宋" w:hAnsi="仿宋" w:cs="宋体"/>
          <w:kern w:val="0"/>
          <w:sz w:val="24"/>
          <w:szCs w:val="24"/>
        </w:rPr>
        <w:t>订立本基金合同的原则是平等自愿、诚实信用、充分保护投资人合法权益。</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二、</w:t>
      </w:r>
      <w:r>
        <w:rPr>
          <w:rFonts w:ascii="仿宋" w:eastAsia="仿宋" w:hAnsi="仿宋" w:cs="宋体"/>
          <w:kern w:val="0"/>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三、东方红恒阳五年持有期混合型证券投资基金</w:t>
      </w:r>
      <w:r>
        <w:rPr>
          <w:rFonts w:ascii="仿宋" w:eastAsia="仿宋" w:hAnsi="仿宋" w:cs="宋体"/>
          <w:kern w:val="0"/>
          <w:sz w:val="24"/>
          <w:szCs w:val="24"/>
        </w:rPr>
        <w:t>由</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hint="eastAsia"/>
          <w:kern w:val="0"/>
          <w:sz w:val="24"/>
          <w:szCs w:val="24"/>
        </w:rPr>
        <w:t>转型而来，</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由</w:t>
      </w:r>
      <w:r>
        <w:rPr>
          <w:rFonts w:ascii="仿宋" w:eastAsia="仿宋" w:hAnsi="仿宋" w:cs="宋体"/>
          <w:kern w:val="0"/>
          <w:sz w:val="24"/>
          <w:szCs w:val="24"/>
        </w:rPr>
        <w:t>基金管理人依照《基金法》、</w:t>
      </w:r>
      <w:r>
        <w:rPr>
          <w:rFonts w:ascii="仿宋" w:eastAsia="仿宋" w:hAnsi="仿宋" w:cs="宋体" w:hint="eastAsia"/>
          <w:kern w:val="0"/>
          <w:sz w:val="24"/>
          <w:szCs w:val="24"/>
        </w:rPr>
        <w:t>《</w:t>
      </w:r>
      <w:r w:rsidRPr="005773D1">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773D1">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5773D1">
        <w:rPr>
          <w:rFonts w:ascii="仿宋" w:eastAsia="仿宋" w:hAnsi="仿宋" w:cs="宋体" w:hint="eastAsia"/>
          <w:kern w:val="0"/>
          <w:sz w:val="24"/>
          <w:szCs w:val="24"/>
        </w:rPr>
        <w:t>混合型证券投资基金</w:t>
      </w:r>
      <w:r>
        <w:rPr>
          <w:rFonts w:ascii="仿宋" w:eastAsia="仿宋" w:hAnsi="仿宋" w:cs="宋体"/>
          <w:kern w:val="0"/>
          <w:sz w:val="24"/>
          <w:szCs w:val="24"/>
        </w:rPr>
        <w:t>基金合同</w:t>
      </w:r>
      <w:r>
        <w:rPr>
          <w:rFonts w:ascii="仿宋" w:eastAsia="仿宋" w:hAnsi="仿宋" w:cs="宋体" w:hint="eastAsia"/>
          <w:kern w:val="0"/>
          <w:sz w:val="24"/>
          <w:szCs w:val="24"/>
        </w:rPr>
        <w:t>》</w:t>
      </w:r>
      <w:r>
        <w:rPr>
          <w:rFonts w:ascii="仿宋" w:eastAsia="仿宋" w:hAnsi="仿宋" w:cs="宋体"/>
          <w:kern w:val="0"/>
          <w:sz w:val="24"/>
          <w:szCs w:val="24"/>
        </w:rPr>
        <w:t>及其他有关规定募集，并经中国证券监督管理委员会(以下简称“中国证监会”)</w:t>
      </w:r>
      <w:r>
        <w:rPr>
          <w:rFonts w:ascii="仿宋" w:eastAsia="仿宋" w:hAnsi="仿宋" w:cs="宋体" w:hint="eastAsia"/>
          <w:kern w:val="0"/>
          <w:sz w:val="24"/>
          <w:szCs w:val="24"/>
        </w:rPr>
        <w:t>注册</w:t>
      </w:r>
      <w:r>
        <w:rPr>
          <w:rFonts w:ascii="仿宋" w:eastAsia="仿宋" w:hAnsi="仿宋" w:cs="宋体"/>
          <w:kern w:val="0"/>
          <w:sz w:val="24"/>
          <w:szCs w:val="24"/>
        </w:rPr>
        <w:t>。</w:t>
      </w:r>
      <w:r w:rsidRPr="0022124B">
        <w:rPr>
          <w:rFonts w:ascii="仿宋" w:eastAsia="仿宋" w:hAnsi="仿宋" w:cs="宋体" w:hint="eastAsia"/>
          <w:kern w:val="0"/>
          <w:sz w:val="24"/>
          <w:szCs w:val="24"/>
        </w:rPr>
        <w:t>变更后的东方红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年持有期混合型证券投资基金已经中国证监会变更注册。</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中国证监会对</w:t>
      </w:r>
      <w:r w:rsidRPr="0022124B">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22124B">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变更为本基金</w:t>
      </w:r>
      <w:r>
        <w:rPr>
          <w:rFonts w:ascii="仿宋" w:eastAsia="仿宋" w:hAnsi="仿宋" w:cs="宋体"/>
          <w:kern w:val="0"/>
          <w:sz w:val="24"/>
          <w:szCs w:val="24"/>
        </w:rPr>
        <w:t>的</w:t>
      </w:r>
      <w:r>
        <w:rPr>
          <w:rFonts w:ascii="仿宋" w:eastAsia="仿宋" w:hAnsi="仿宋" w:cs="宋体" w:hint="eastAsia"/>
          <w:kern w:val="0"/>
          <w:sz w:val="24"/>
          <w:szCs w:val="24"/>
        </w:rPr>
        <w:t>注册</w:t>
      </w:r>
      <w:r>
        <w:rPr>
          <w:rFonts w:ascii="仿宋" w:eastAsia="仿宋" w:hAnsi="仿宋" w:cs="宋体"/>
          <w:kern w:val="0"/>
          <w:sz w:val="24"/>
          <w:szCs w:val="24"/>
        </w:rPr>
        <w:t>，并不表明其对本基金的</w:t>
      </w:r>
      <w:r>
        <w:rPr>
          <w:rFonts w:ascii="仿宋" w:eastAsia="仿宋" w:hAnsi="仿宋" w:cs="宋体" w:hint="eastAsia"/>
          <w:kern w:val="0"/>
          <w:sz w:val="24"/>
          <w:szCs w:val="24"/>
        </w:rPr>
        <w:t>投资</w:t>
      </w:r>
      <w:r>
        <w:rPr>
          <w:rFonts w:ascii="仿宋" w:eastAsia="仿宋" w:hAnsi="仿宋" w:cs="宋体"/>
          <w:kern w:val="0"/>
          <w:sz w:val="24"/>
          <w:szCs w:val="24"/>
        </w:rPr>
        <w:t>价值和</w:t>
      </w:r>
      <w:r>
        <w:rPr>
          <w:rFonts w:ascii="仿宋" w:eastAsia="仿宋" w:hAnsi="仿宋" w:cs="宋体" w:hint="eastAsia"/>
          <w:kern w:val="0"/>
          <w:sz w:val="24"/>
          <w:szCs w:val="24"/>
        </w:rPr>
        <w:t>市场前景</w:t>
      </w:r>
      <w:r>
        <w:rPr>
          <w:rFonts w:ascii="仿宋" w:eastAsia="仿宋" w:hAnsi="仿宋" w:cs="宋体"/>
          <w:kern w:val="0"/>
          <w:sz w:val="24"/>
          <w:szCs w:val="24"/>
        </w:rPr>
        <w:t>做出实质性判断或保证，也不表明投资于本基金没有风险。</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基金管理人依照恪尽职守、诚实信用、谨慎勤勉的原则管理和运用基金财产，但不保证投资于本基金一定盈利，也不保证最低收益。</w:t>
      </w:r>
    </w:p>
    <w:p w:rsidR="00E45E2B" w:rsidRDefault="00E45E2B" w:rsidP="00E45E2B">
      <w:pPr>
        <w:numPr>
          <w:ilvl w:val="0"/>
          <w:numId w:val="22"/>
        </w:num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基金管理人、基金托管人在本基金合同之外披露涉及本基金的信息，其内容涉及界定基金合同当事人之间权利义务关系的，如与基金合同有冲突，以基金合同为准。</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投资者</w:t>
      </w:r>
      <w:r>
        <w:rPr>
          <w:rFonts w:ascii="仿宋" w:eastAsia="仿宋" w:hAnsi="仿宋" w:cs="宋体"/>
          <w:kern w:val="0"/>
          <w:sz w:val="24"/>
          <w:szCs w:val="24"/>
        </w:rPr>
        <w:t>应当认真阅读</w:t>
      </w:r>
      <w:r>
        <w:rPr>
          <w:rFonts w:ascii="仿宋" w:eastAsia="仿宋" w:hAnsi="仿宋" w:cs="宋体" w:hint="eastAsia"/>
          <w:kern w:val="0"/>
          <w:sz w:val="24"/>
          <w:szCs w:val="24"/>
        </w:rPr>
        <w:t>基金合同、</w:t>
      </w:r>
      <w:r>
        <w:rPr>
          <w:rFonts w:ascii="仿宋" w:eastAsia="仿宋" w:hAnsi="仿宋" w:cs="宋体"/>
          <w:kern w:val="0"/>
          <w:sz w:val="24"/>
          <w:szCs w:val="24"/>
        </w:rPr>
        <w:t>基金招募说明书</w:t>
      </w:r>
      <w:r>
        <w:rPr>
          <w:rFonts w:ascii="仿宋" w:eastAsia="仿宋" w:hAnsi="仿宋" w:cs="宋体" w:hint="eastAsia"/>
          <w:kern w:val="0"/>
          <w:sz w:val="24"/>
          <w:szCs w:val="24"/>
        </w:rPr>
        <w:t>、基金产品资料概要</w:t>
      </w:r>
      <w:r>
        <w:rPr>
          <w:rFonts w:ascii="仿宋" w:eastAsia="仿宋" w:hAnsi="仿宋" w:cs="宋体"/>
          <w:kern w:val="0"/>
          <w:sz w:val="24"/>
          <w:szCs w:val="24"/>
        </w:rPr>
        <w:t>等信息披露文件，自主判断基金的投资价值，自主做出投资决策，自行承担投资风险。</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五、本基金按照中国法律法规成立并运作，若</w:t>
      </w:r>
      <w:r>
        <w:rPr>
          <w:rFonts w:ascii="仿宋" w:eastAsia="仿宋" w:hAnsi="仿宋" w:cs="宋体"/>
          <w:kern w:val="0"/>
          <w:sz w:val="24"/>
          <w:szCs w:val="24"/>
        </w:rPr>
        <w:t>基金合同的内容与届时有效的法律法规的强制性规定不一致，应当以届时有效的法律法规的规定为准。</w:t>
      </w:r>
    </w:p>
    <w:p w:rsidR="00E45E2B" w:rsidRDefault="00E45E2B" w:rsidP="00E45E2B">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六、本基金可通过</w:t>
      </w:r>
      <w:r>
        <w:rPr>
          <w:rFonts w:ascii="仿宋" w:eastAsia="仿宋" w:hAnsi="仿宋" w:cs="宋体"/>
          <w:kern w:val="0"/>
          <w:sz w:val="24"/>
          <w:szCs w:val="24"/>
        </w:rPr>
        <w:t>内地与香港</w:t>
      </w:r>
      <w:r>
        <w:rPr>
          <w:rFonts w:ascii="仿宋" w:eastAsia="仿宋" w:hAnsi="仿宋" w:cs="宋体" w:hint="eastAsia"/>
          <w:kern w:val="0"/>
          <w:sz w:val="24"/>
          <w:szCs w:val="24"/>
        </w:rPr>
        <w:t>股票市场交易互联互通机制（以下简称“港股通机制”）买卖规定范围内的香港联合交易所上市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本基金可根据投资策略需要或不同配置地市场环境的变化，选择将部分基金资产投资于港股或选择不将基金资产投资于港股，基金资产并非必然投资港股。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揭示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本基金可根据投资策略需要或市场环境的变化，选择将部分基金资产投资于存托凭证或选择不将基金资产投资于存托凭证，基金资产并非必然投资存托凭证。</w:t>
      </w:r>
    </w:p>
    <w:p w:rsidR="00E45E2B" w:rsidRPr="0097304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八、本基金可投资股指期货、国债期货、股票期权等金融衍生品，金融衍生产品具有杠杆效应且价格波动剧烈，会放大收益或损失，在某些情况下甚至会导致投资亏损高于初始投资金额。本基金可根据投资策略需要或市场环境的变化，选择将部分基金资产投资于金融衍生品或选择不将基金资产投资于金融衍生品，基金资产并非必然投资金融衍生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7304A">
        <w:rPr>
          <w:rFonts w:ascii="仿宋" w:eastAsia="仿宋" w:hAnsi="仿宋" w:cs="宋体" w:hint="eastAsia"/>
          <w:kern w:val="0"/>
          <w:sz w:val="24"/>
          <w:szCs w:val="24"/>
        </w:rPr>
        <w:t>九、为对冲信用风险，本基金可能投资于信用衍生品，信用衍生品投资可能面临流动性风险、偿付风险以及价格波动风险等。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w:t>
      </w:r>
      <w:r w:rsidRPr="001F64BF">
        <w:rPr>
          <w:rFonts w:ascii="仿宋" w:eastAsia="仿宋" w:hAnsi="仿宋" w:cs="宋体" w:hint="eastAsia"/>
          <w:kern w:val="0"/>
          <w:sz w:val="24"/>
          <w:szCs w:val="24"/>
        </w:rPr>
        <w:t>当本基金持有特定资产且存在或潜在大额赎回申请时，基金管理人履行相应程序后，可以启用侧袋机制，具体详见基金合同和招募说明书的相关内容。侧袋机制实施期间，基金管理人将对基金简称进行特殊标识，并且不办理侧袋账户的申购赎回。侧袋机制的具体风险烦请查阅本基金招募说明书“风险揭示”章节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35" w:name="OLE_LINK2"/>
      <w:r>
        <w:rPr>
          <w:rFonts w:ascii="仿宋" w:eastAsia="仿宋" w:hAnsi="仿宋" w:cs="宋体" w:hint="eastAsia"/>
          <w:kern w:val="0"/>
          <w:sz w:val="24"/>
          <w:szCs w:val="24"/>
        </w:rPr>
        <w:t>十一、</w:t>
      </w:r>
      <w:bookmarkEnd w:id="35"/>
      <w:r>
        <w:rPr>
          <w:rFonts w:ascii="仿宋" w:eastAsia="仿宋" w:hAnsi="仿宋" w:cs="宋体" w:hint="eastAsia"/>
          <w:kern w:val="0"/>
          <w:sz w:val="24"/>
          <w:szCs w:val="24"/>
        </w:rPr>
        <w:t>除基金合同另有约定外，</w:t>
      </w:r>
      <w:r w:rsidRPr="00B80856">
        <w:rPr>
          <w:rFonts w:ascii="仿宋" w:eastAsia="仿宋" w:hAnsi="仿宋" w:cs="宋体" w:hint="eastAsia"/>
          <w:kern w:val="0"/>
          <w:sz w:val="24"/>
          <w:szCs w:val="24"/>
        </w:rPr>
        <w:t>本基金每份基金份额设置</w:t>
      </w:r>
      <w:r>
        <w:rPr>
          <w:rFonts w:ascii="仿宋" w:eastAsia="仿宋" w:hAnsi="仿宋" w:cs="宋体" w:hint="eastAsia"/>
          <w:kern w:val="0"/>
          <w:sz w:val="24"/>
          <w:szCs w:val="24"/>
        </w:rPr>
        <w:t>五</w:t>
      </w:r>
      <w:r w:rsidRPr="00B80856">
        <w:rPr>
          <w:rFonts w:ascii="仿宋" w:eastAsia="仿宋" w:hAnsi="仿宋" w:cs="宋体" w:hint="eastAsia"/>
          <w:kern w:val="0"/>
          <w:sz w:val="24"/>
          <w:szCs w:val="24"/>
        </w:rPr>
        <w:t>年锁定持有期，基金份额在锁定持有期内不办理赎回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转换转出业务。锁定持有期到期后进入开放持有期，每份基金份额自其开放持有期首个开放日起开始办理赎回及转换转出业务。因此基金份额持有人面临在锁定持有期内不能赎回</w:t>
      </w:r>
      <w:r>
        <w:rPr>
          <w:rFonts w:ascii="仿宋" w:eastAsia="仿宋" w:hAnsi="仿宋" w:cs="宋体" w:hint="eastAsia"/>
          <w:kern w:val="0"/>
          <w:sz w:val="24"/>
          <w:szCs w:val="24"/>
        </w:rPr>
        <w:t>、</w:t>
      </w:r>
      <w:r w:rsidRPr="00B80856">
        <w:rPr>
          <w:rFonts w:ascii="仿宋" w:eastAsia="仿宋" w:hAnsi="仿宋" w:cs="宋体" w:hint="eastAsia"/>
          <w:kern w:val="0"/>
          <w:sz w:val="24"/>
          <w:szCs w:val="24"/>
        </w:rPr>
        <w:t>转换转出基金份额的风险。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十二、</w:t>
      </w:r>
      <w:r w:rsidRPr="00110C29">
        <w:rPr>
          <w:rFonts w:ascii="仿宋" w:eastAsia="仿宋" w:hAnsi="仿宋" w:cs="宋体" w:hint="eastAsia"/>
          <w:kern w:val="0"/>
          <w:sz w:val="24"/>
          <w:szCs w:val="24"/>
        </w:rPr>
        <w:t>基金单一投资者持有基金份额数不得达到或超过基金份额总数的50%，但在基金运作过程中因基金份额赎回等基金管理人无法予以控制的情形导致被动达到或超过50%的除外。法律法规或监管部门另有规定的，从其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bookmarkStart w:id="36" w:name="_Toc22864"/>
      <w:bookmarkStart w:id="37" w:name="_Toc13020"/>
      <w:bookmarkStart w:id="38" w:name="_Toc15067"/>
      <w:bookmarkStart w:id="39" w:name="_Toc31551"/>
      <w:bookmarkStart w:id="40" w:name="_Toc3224"/>
      <w:bookmarkStart w:id="41" w:name="_Toc24860"/>
      <w:bookmarkStart w:id="42" w:name="_Toc2465"/>
      <w:bookmarkStart w:id="43" w:name="_Toc19592"/>
      <w:bookmarkStart w:id="44" w:name="_Toc6617"/>
      <w:bookmarkStart w:id="45" w:name="_Toc819"/>
      <w:bookmarkStart w:id="46" w:name="_Toc21301"/>
    </w:p>
    <w:p w:rsidR="00E45E2B" w:rsidRPr="004F6C89" w:rsidRDefault="00E45E2B" w:rsidP="004F6C89">
      <w:pPr>
        <w:pStyle w:val="1"/>
        <w:spacing w:line="360" w:lineRule="auto"/>
        <w:jc w:val="center"/>
        <w:rPr>
          <w:rFonts w:eastAsia="仿宋"/>
          <w:sz w:val="30"/>
          <w:szCs w:val="30"/>
          <w:lang w:val="zh-CN"/>
        </w:rPr>
      </w:pPr>
      <w:bookmarkStart w:id="47" w:name="_Toc377998617"/>
      <w:bookmarkStart w:id="48" w:name="_Toc459291239"/>
      <w:bookmarkStart w:id="49" w:name="_Toc169163862"/>
      <w:r w:rsidRPr="004F6C89">
        <w:rPr>
          <w:rFonts w:eastAsia="仿宋" w:hint="eastAsia"/>
          <w:sz w:val="30"/>
          <w:szCs w:val="30"/>
          <w:lang w:val="zh-CN"/>
        </w:rPr>
        <w:t>第二部分</w:t>
      </w:r>
      <w:r w:rsidRPr="004F6C89">
        <w:rPr>
          <w:rFonts w:eastAsia="仿宋" w:hint="eastAsia"/>
          <w:sz w:val="30"/>
          <w:szCs w:val="30"/>
          <w:lang w:val="zh-CN"/>
        </w:rPr>
        <w:t xml:space="preserve">    </w:t>
      </w:r>
      <w:r w:rsidRPr="004F6C89">
        <w:rPr>
          <w:rFonts w:eastAsia="仿宋" w:hint="eastAsia"/>
          <w:sz w:val="30"/>
          <w:szCs w:val="30"/>
          <w:lang w:val="zh-CN"/>
        </w:rPr>
        <w:t>释义</w:t>
      </w:r>
      <w:bookmarkEnd w:id="28"/>
      <w:bookmarkEnd w:id="33"/>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《基金合同》中除非文意另有所指，下列词语或简称具有如下含义：</w:t>
      </w:r>
    </w:p>
    <w:p w:rsidR="00E45E2B" w:rsidRPr="0093321E"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sidRPr="0093321E">
        <w:rPr>
          <w:rFonts w:ascii="仿宋" w:eastAsia="仿宋" w:hAnsi="仿宋" w:cs="宋体" w:hint="eastAsia"/>
          <w:b/>
          <w:kern w:val="0"/>
          <w:sz w:val="24"/>
          <w:szCs w:val="24"/>
        </w:rPr>
        <w:t>基金或本基金</w:t>
      </w:r>
      <w:r w:rsidRPr="0093321E">
        <w:rPr>
          <w:rFonts w:ascii="仿宋" w:eastAsia="仿宋" w:hAnsi="仿宋" w:cs="宋体" w:hint="eastAsia"/>
          <w:kern w:val="0"/>
          <w:sz w:val="24"/>
          <w:szCs w:val="24"/>
        </w:rPr>
        <w:t>：指东方红恒阳五年持有期混合型证券投资基金，本基金由东方红恒阳五年定期开放混合型证券投资基金变更而来</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基金管理人：</w:t>
      </w:r>
      <w:r>
        <w:rPr>
          <w:rFonts w:ascii="仿宋" w:eastAsia="仿宋" w:hAnsi="仿宋" w:cs="宋体" w:hint="eastAsia"/>
          <w:kern w:val="0"/>
          <w:sz w:val="24"/>
          <w:szCs w:val="24"/>
        </w:rPr>
        <w:t>指上海东方证券资产管理有限公司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基金托管人：</w:t>
      </w:r>
      <w:r>
        <w:rPr>
          <w:rFonts w:ascii="仿宋" w:eastAsia="仿宋" w:hAnsi="仿宋" w:cs="宋体" w:hint="eastAsia"/>
          <w:kern w:val="0"/>
          <w:sz w:val="24"/>
          <w:szCs w:val="24"/>
        </w:rPr>
        <w:t>指</w:t>
      </w:r>
      <w:r>
        <w:rPr>
          <w:rFonts w:ascii="仿宋" w:eastAsia="仿宋" w:hAnsi="仿宋" w:cs="宋体" w:hint="eastAsia"/>
          <w:color w:val="000000"/>
          <w:kern w:val="0"/>
          <w:sz w:val="24"/>
        </w:rPr>
        <w:t>招商银行股份有限公司</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本基金合同、《基金合同》：</w:t>
      </w:r>
      <w:r>
        <w:rPr>
          <w:rFonts w:ascii="仿宋" w:eastAsia="仿宋" w:hAnsi="仿宋" w:cs="宋体" w:hint="eastAsia"/>
          <w:kern w:val="0"/>
          <w:sz w:val="24"/>
          <w:szCs w:val="24"/>
        </w:rPr>
        <w:t>指《东方红恒阳五年持有期混合型证券投资基金基金合同》及对本基金合同的任何有效的修订和补充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托管协议：</w:t>
      </w:r>
      <w:r>
        <w:rPr>
          <w:rFonts w:ascii="仿宋" w:eastAsia="仿宋" w:hAnsi="仿宋" w:cs="宋体" w:hint="eastAsia"/>
          <w:kern w:val="0"/>
          <w:sz w:val="24"/>
          <w:szCs w:val="24"/>
        </w:rPr>
        <w:t>指基金管理人与基金托管人签订的《东方红恒阳五年持有期混合型证券投资基金托管协议》及其任何有效修订和补充</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招募说明书：</w:t>
      </w:r>
      <w:r>
        <w:rPr>
          <w:rFonts w:ascii="仿宋" w:eastAsia="仿宋" w:hAnsi="仿宋" w:cs="宋体" w:hint="eastAsia"/>
          <w:kern w:val="0"/>
          <w:sz w:val="24"/>
          <w:szCs w:val="24"/>
        </w:rPr>
        <w:t>指《东方红恒阳五年持有期混合型证券投资基金招募说明书》及其更新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bCs/>
          <w:kern w:val="0"/>
          <w:sz w:val="24"/>
          <w:szCs w:val="24"/>
        </w:rPr>
        <w:t>基金产品资料概要：</w:t>
      </w:r>
      <w:r>
        <w:rPr>
          <w:rFonts w:ascii="仿宋" w:eastAsia="仿宋" w:hAnsi="仿宋" w:cs="宋体" w:hint="eastAsia"/>
          <w:kern w:val="0"/>
          <w:sz w:val="24"/>
          <w:szCs w:val="24"/>
        </w:rPr>
        <w:t>指《东方红恒阳五年持有期混合型证券投资基金基金产品资料概要》及其更新</w:t>
      </w:r>
    </w:p>
    <w:p w:rsidR="00E45E2B" w:rsidRDefault="00E45E2B" w:rsidP="00E45E2B">
      <w:pPr>
        <w:pStyle w:val="-11"/>
        <w:numPr>
          <w:ilvl w:val="0"/>
          <w:numId w:val="5"/>
        </w:numPr>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法律法规：</w:t>
      </w:r>
      <w:r w:rsidRPr="0016670E">
        <w:rPr>
          <w:rFonts w:ascii="仿宋" w:eastAsia="仿宋" w:hAnsi="仿宋" w:cs="宋体" w:hint="eastAsia"/>
          <w:kern w:val="0"/>
          <w:sz w:val="24"/>
          <w:szCs w:val="24"/>
        </w:rPr>
        <w:t>指中国现行有效并公布实施的法律、行政法规、规范性文件、司法解释、行政规章以及其他对基金合同当事人有约束力的决定、决议、通知等</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《基金法》：</w:t>
      </w:r>
      <w:r>
        <w:rPr>
          <w:rFonts w:ascii="仿宋" w:eastAsia="仿宋" w:hAnsi="仿宋" w:cs="宋体" w:hint="eastAsia"/>
          <w:kern w:val="0"/>
          <w:sz w:val="24"/>
          <w:szCs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《销售办法》</w:t>
      </w:r>
      <w:r>
        <w:rPr>
          <w:rFonts w:ascii="仿宋" w:eastAsia="仿宋" w:hAnsi="仿宋" w:cs="宋体" w:hint="eastAsia"/>
          <w:kern w:val="0"/>
          <w:sz w:val="24"/>
          <w:szCs w:val="24"/>
        </w:rPr>
        <w:t>：</w:t>
      </w:r>
      <w:r>
        <w:rPr>
          <w:rFonts w:ascii="仿宋" w:eastAsia="仿宋" w:hAnsi="仿宋" w:cs="宋体"/>
          <w:kern w:val="0"/>
          <w:sz w:val="24"/>
          <w:szCs w:val="24"/>
        </w:rPr>
        <w:t>指</w:t>
      </w:r>
      <w:r>
        <w:rPr>
          <w:rFonts w:ascii="仿宋" w:eastAsia="仿宋" w:hAnsi="仿宋" w:cs="宋体" w:hint="eastAsia"/>
          <w:kern w:val="0"/>
          <w:sz w:val="24"/>
          <w:szCs w:val="24"/>
        </w:rPr>
        <w:t>中国证监会2020年8月28日</w:t>
      </w:r>
      <w:r>
        <w:rPr>
          <w:rFonts w:ascii="仿宋" w:eastAsia="仿宋" w:hAnsi="仿宋" w:cs="宋体"/>
          <w:kern w:val="0"/>
          <w:sz w:val="24"/>
          <w:szCs w:val="24"/>
        </w:rPr>
        <w:t>颁布</w:t>
      </w:r>
      <w:r>
        <w:rPr>
          <w:rFonts w:ascii="仿宋" w:eastAsia="仿宋" w:hAnsi="仿宋" w:cs="宋体" w:hint="eastAsia"/>
          <w:kern w:val="0"/>
          <w:sz w:val="24"/>
          <w:szCs w:val="24"/>
        </w:rPr>
        <w:t>、同年10月1日实施的《公开募集证券投资基金销售机构监督管理办法》及颁布</w:t>
      </w:r>
      <w:r>
        <w:rPr>
          <w:rFonts w:ascii="仿宋" w:eastAsia="仿宋" w:hAnsi="仿宋" w:cs="宋体"/>
          <w:kern w:val="0"/>
          <w:sz w:val="24"/>
          <w:szCs w:val="24"/>
        </w:rPr>
        <w:t>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《信息披露办法》</w:t>
      </w:r>
      <w:r>
        <w:rPr>
          <w:rFonts w:ascii="仿宋" w:eastAsia="仿宋" w:hAnsi="仿宋" w:cs="宋体" w:hint="eastAsia"/>
          <w:kern w:val="0"/>
          <w:sz w:val="24"/>
          <w:szCs w:val="24"/>
        </w:rPr>
        <w:t>：指</w:t>
      </w:r>
      <w:r>
        <w:rPr>
          <w:rFonts w:ascii="仿宋" w:eastAsia="仿宋" w:hAnsi="仿宋" w:cs="宋体"/>
          <w:kern w:val="0"/>
          <w:sz w:val="24"/>
          <w:szCs w:val="24"/>
        </w:rPr>
        <w:t>中国证监会20</w:t>
      </w:r>
      <w:r>
        <w:rPr>
          <w:rFonts w:ascii="仿宋" w:eastAsia="仿宋" w:hAnsi="仿宋" w:cs="宋体" w:hint="eastAsia"/>
          <w:kern w:val="0"/>
          <w:sz w:val="24"/>
          <w:szCs w:val="24"/>
        </w:rPr>
        <w:t>19</w:t>
      </w:r>
      <w:r>
        <w:rPr>
          <w:rFonts w:ascii="仿宋" w:eastAsia="仿宋" w:hAnsi="仿宋" w:cs="宋体"/>
          <w:kern w:val="0"/>
          <w:sz w:val="24"/>
          <w:szCs w:val="24"/>
        </w:rPr>
        <w:t>年</w:t>
      </w:r>
      <w:r>
        <w:rPr>
          <w:rFonts w:ascii="仿宋" w:eastAsia="仿宋" w:hAnsi="仿宋" w:cs="宋体" w:hint="eastAsia"/>
          <w:kern w:val="0"/>
          <w:sz w:val="24"/>
          <w:szCs w:val="24"/>
        </w:rPr>
        <w:t>7</w:t>
      </w:r>
      <w:r>
        <w:rPr>
          <w:rFonts w:ascii="仿宋" w:eastAsia="仿宋" w:hAnsi="仿宋" w:cs="宋体"/>
          <w:kern w:val="0"/>
          <w:sz w:val="24"/>
          <w:szCs w:val="24"/>
        </w:rPr>
        <w:t>月</w:t>
      </w:r>
      <w:r>
        <w:rPr>
          <w:rFonts w:ascii="仿宋" w:eastAsia="仿宋" w:hAnsi="仿宋" w:cs="宋体" w:hint="eastAsia"/>
          <w:kern w:val="0"/>
          <w:sz w:val="24"/>
          <w:szCs w:val="24"/>
        </w:rPr>
        <w:t>26</w:t>
      </w:r>
      <w:r>
        <w:rPr>
          <w:rFonts w:ascii="仿宋" w:eastAsia="仿宋" w:hAnsi="仿宋" w:cs="宋体"/>
          <w:kern w:val="0"/>
          <w:sz w:val="24"/>
          <w:szCs w:val="24"/>
        </w:rPr>
        <w:t>日颁布、同年</w:t>
      </w:r>
      <w:r>
        <w:rPr>
          <w:rFonts w:ascii="仿宋" w:eastAsia="仿宋" w:hAnsi="仿宋" w:cs="宋体" w:hint="eastAsia"/>
          <w:kern w:val="0"/>
          <w:sz w:val="24"/>
          <w:szCs w:val="24"/>
        </w:rPr>
        <w:t>9</w:t>
      </w:r>
      <w:r>
        <w:rPr>
          <w:rFonts w:ascii="仿宋" w:eastAsia="仿宋" w:hAnsi="仿宋" w:cs="宋体"/>
          <w:kern w:val="0"/>
          <w:sz w:val="24"/>
          <w:szCs w:val="24"/>
        </w:rPr>
        <w:t>月1日实施</w:t>
      </w:r>
      <w:r>
        <w:rPr>
          <w:rFonts w:ascii="仿宋" w:eastAsia="仿宋" w:hAnsi="仿宋" w:cs="宋体" w:hint="eastAsia"/>
          <w:kern w:val="0"/>
          <w:sz w:val="24"/>
          <w:szCs w:val="24"/>
        </w:rPr>
        <w:t>，</w:t>
      </w:r>
      <w:r w:rsidRPr="00B91F90">
        <w:rPr>
          <w:rFonts w:ascii="仿宋" w:eastAsia="仿宋" w:hAnsi="仿宋" w:cs="宋体" w:hint="eastAsia"/>
          <w:kern w:val="0"/>
          <w:sz w:val="24"/>
          <w:szCs w:val="24"/>
        </w:rPr>
        <w:t>并经2020年3月20日中国证监会《关于修改部分证券期货规章的决定》修正</w:t>
      </w:r>
      <w:r>
        <w:rPr>
          <w:rFonts w:ascii="仿宋" w:eastAsia="仿宋" w:hAnsi="仿宋" w:cs="宋体"/>
          <w:kern w:val="0"/>
          <w:sz w:val="24"/>
          <w:szCs w:val="24"/>
        </w:rPr>
        <w:t>的《</w:t>
      </w:r>
      <w:r>
        <w:rPr>
          <w:rFonts w:ascii="仿宋" w:eastAsia="仿宋" w:hAnsi="仿宋" w:cs="宋体" w:hint="eastAsia"/>
          <w:kern w:val="0"/>
          <w:sz w:val="24"/>
          <w:szCs w:val="24"/>
        </w:rPr>
        <w:t>公开募集</w:t>
      </w:r>
      <w:r>
        <w:rPr>
          <w:rFonts w:ascii="仿宋" w:eastAsia="仿宋" w:hAnsi="仿宋" w:cs="宋体"/>
          <w:kern w:val="0"/>
          <w:sz w:val="24"/>
          <w:szCs w:val="24"/>
        </w:rPr>
        <w:t>证券投资基金信息披露管理办法》及颁布机关对其不时做出的修订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《运作办法》</w:t>
      </w:r>
      <w:r>
        <w:rPr>
          <w:rFonts w:ascii="仿宋" w:eastAsia="仿宋" w:hAnsi="仿宋" w:cs="宋体" w:hint="eastAsia"/>
          <w:kern w:val="0"/>
          <w:sz w:val="24"/>
          <w:szCs w:val="24"/>
        </w:rPr>
        <w:t>：指中国证监会2014年7月7日颁布、同年8月8日实施的</w:t>
      </w:r>
      <w:r>
        <w:rPr>
          <w:rFonts w:ascii="仿宋" w:eastAsia="仿宋" w:hAnsi="仿宋" w:cs="宋体"/>
          <w:kern w:val="0"/>
          <w:sz w:val="24"/>
          <w:szCs w:val="24"/>
        </w:rPr>
        <w:t>《</w:t>
      </w:r>
      <w:r>
        <w:rPr>
          <w:rFonts w:ascii="仿宋" w:eastAsia="仿宋" w:hAnsi="仿宋" w:cs="宋体" w:hint="eastAsia"/>
          <w:kern w:val="0"/>
          <w:sz w:val="24"/>
          <w:szCs w:val="24"/>
        </w:rPr>
        <w:t>公开募集证券投资基金运作管理办法</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《流动性风险管理规定》：</w:t>
      </w:r>
      <w:r>
        <w:rPr>
          <w:rFonts w:ascii="仿宋" w:eastAsia="仿宋" w:hAnsi="仿宋" w:cs="宋体" w:hint="eastAsia"/>
          <w:kern w:val="0"/>
          <w:sz w:val="24"/>
          <w:szCs w:val="24"/>
        </w:rPr>
        <w:t>指中国证监会2017年8月31日颁布、同年10月1日实施的</w:t>
      </w:r>
      <w:r>
        <w:rPr>
          <w:rFonts w:ascii="仿宋" w:eastAsia="仿宋" w:hAnsi="仿宋" w:cs="宋体"/>
          <w:kern w:val="0"/>
          <w:sz w:val="24"/>
          <w:szCs w:val="24"/>
        </w:rPr>
        <w:t>《</w:t>
      </w:r>
      <w:r>
        <w:rPr>
          <w:rFonts w:ascii="仿宋" w:eastAsia="仿宋" w:hAnsi="仿宋" w:cs="宋体" w:hint="eastAsia"/>
          <w:kern w:val="0"/>
          <w:sz w:val="24"/>
          <w:szCs w:val="24"/>
        </w:rPr>
        <w:t>公开募集开放式证券投资基金流动性风险管理规定</w:t>
      </w:r>
      <w:r>
        <w:rPr>
          <w:rFonts w:ascii="仿宋" w:eastAsia="仿宋" w:hAnsi="仿宋" w:cs="宋体"/>
          <w:kern w:val="0"/>
          <w:sz w:val="24"/>
          <w:szCs w:val="24"/>
        </w:rPr>
        <w:t>》及颁布机关对其不时做出的修订</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中国证监会</w:t>
      </w:r>
      <w:r>
        <w:rPr>
          <w:rFonts w:ascii="仿宋" w:eastAsia="仿宋" w:hAnsi="仿宋" w:cs="宋体" w:hint="eastAsia"/>
          <w:kern w:val="0"/>
          <w:sz w:val="24"/>
          <w:szCs w:val="24"/>
        </w:rPr>
        <w:t>：指中国证券监督管理委员会</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银行业监督管理机构</w:t>
      </w:r>
      <w:r>
        <w:rPr>
          <w:rFonts w:ascii="仿宋" w:eastAsia="仿宋" w:hAnsi="仿宋" w:cs="宋体"/>
          <w:kern w:val="0"/>
          <w:sz w:val="24"/>
          <w:szCs w:val="24"/>
        </w:rPr>
        <w:t>：指中国人民银行和/或</w:t>
      </w:r>
      <w:r w:rsidRPr="00B91F90">
        <w:rPr>
          <w:rFonts w:ascii="仿宋" w:eastAsia="仿宋" w:hAnsi="仿宋" w:cs="宋体" w:hint="eastAsia"/>
          <w:kern w:val="0"/>
          <w:sz w:val="24"/>
          <w:szCs w:val="24"/>
        </w:rPr>
        <w:t>国家金融监督管理总局</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基金合同当事人</w:t>
      </w:r>
      <w:r>
        <w:rPr>
          <w:rFonts w:ascii="仿宋" w:eastAsia="仿宋" w:hAnsi="仿宋" w:cs="宋体" w:hint="eastAsia"/>
          <w:kern w:val="0"/>
          <w:sz w:val="24"/>
          <w:szCs w:val="24"/>
        </w:rPr>
        <w:t>：</w:t>
      </w:r>
      <w:r>
        <w:rPr>
          <w:rFonts w:ascii="仿宋" w:eastAsia="仿宋" w:hAnsi="仿宋" w:cs="宋体"/>
          <w:kern w:val="0"/>
          <w:sz w:val="24"/>
          <w:szCs w:val="24"/>
        </w:rPr>
        <w:t>指受基金合同约束，根据基金合同享有权利并承担义务的法律主体，包括基金管理人、基金托管人和基金份额持有人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个人投资者：</w:t>
      </w:r>
      <w:r>
        <w:rPr>
          <w:rFonts w:ascii="仿宋" w:eastAsia="仿宋" w:hAnsi="仿宋" w:cs="宋体" w:hint="eastAsia"/>
          <w:kern w:val="0"/>
          <w:sz w:val="24"/>
          <w:szCs w:val="24"/>
        </w:rPr>
        <w:t>指</w:t>
      </w:r>
      <w:r w:rsidRPr="00B91F90">
        <w:rPr>
          <w:rFonts w:ascii="仿宋" w:eastAsia="仿宋" w:hAnsi="仿宋" w:cs="宋体" w:hint="eastAsia"/>
          <w:kern w:val="0"/>
          <w:sz w:val="24"/>
          <w:szCs w:val="24"/>
        </w:rPr>
        <w:t>依据有关</w:t>
      </w:r>
      <w:r>
        <w:rPr>
          <w:rFonts w:ascii="仿宋" w:eastAsia="仿宋" w:hAnsi="仿宋" w:cs="宋体" w:hint="eastAsia"/>
          <w:kern w:val="0"/>
          <w:sz w:val="24"/>
          <w:szCs w:val="24"/>
        </w:rPr>
        <w:t>法律法规规定可投资于证券投资基金的自然人</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机构投资者：</w:t>
      </w:r>
      <w:r w:rsidRPr="00B91F90">
        <w:rPr>
          <w:rFonts w:ascii="仿宋" w:eastAsia="仿宋" w:hAnsi="仿宋" w:cs="宋体" w:hint="eastAsia"/>
          <w:kern w:val="0"/>
          <w:sz w:val="24"/>
          <w:szCs w:val="24"/>
        </w:rPr>
        <w:t>指依法可以投资证券投资基金的、在中华人民共和国境内合法登记并存续或经有关政府部门批准设立并存续的企业法人、事业法人、社会团体或其他组织</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合格境外投资者：</w:t>
      </w:r>
      <w:r w:rsidRPr="00B91F90">
        <w:rPr>
          <w:rFonts w:ascii="仿宋" w:eastAsia="仿宋" w:hAnsi="仿宋" w:cs="宋体" w:hint="eastAsia"/>
          <w:kern w:val="0"/>
          <w:sz w:val="24"/>
          <w:szCs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C13660">
        <w:rPr>
          <w:rFonts w:ascii="仿宋" w:eastAsia="仿宋" w:hAnsi="仿宋" w:cs="宋体" w:hint="eastAsia"/>
          <w:b/>
          <w:kern w:val="0"/>
          <w:sz w:val="24"/>
          <w:szCs w:val="24"/>
        </w:rPr>
        <w:t>投资人、投资者：</w:t>
      </w:r>
      <w:r w:rsidRPr="004D5E5D">
        <w:rPr>
          <w:rFonts w:ascii="仿宋" w:eastAsia="仿宋" w:hAnsi="仿宋" w:cs="宋体" w:hint="eastAsia"/>
          <w:kern w:val="0"/>
          <w:sz w:val="24"/>
          <w:szCs w:val="24"/>
        </w:rPr>
        <w:t>指个人投资者、机构投资者、合格境外投资者以及法律法规或中国证监会允许购买证券投资基金的其他投资人的合称</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基金份额持有人：</w:t>
      </w:r>
      <w:r>
        <w:rPr>
          <w:rFonts w:ascii="仿宋" w:eastAsia="仿宋" w:hAnsi="仿宋" w:cs="宋体" w:hint="eastAsia"/>
          <w:kern w:val="0"/>
          <w:sz w:val="24"/>
          <w:szCs w:val="24"/>
        </w:rPr>
        <w:t>指</w:t>
      </w:r>
      <w:r w:rsidRPr="00C13660">
        <w:rPr>
          <w:rFonts w:ascii="仿宋" w:eastAsia="仿宋" w:hAnsi="仿宋" w:cs="宋体" w:hint="eastAsia"/>
          <w:kern w:val="0"/>
          <w:sz w:val="24"/>
          <w:szCs w:val="24"/>
        </w:rPr>
        <w:t>依</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基金合同</w:t>
      </w:r>
      <w:r>
        <w:rPr>
          <w:rFonts w:ascii="仿宋" w:eastAsia="仿宋" w:hAnsi="仿宋" w:cs="宋体" w:hint="eastAsia"/>
          <w:kern w:val="0"/>
          <w:sz w:val="24"/>
          <w:szCs w:val="24"/>
        </w:rPr>
        <w:t>》</w:t>
      </w:r>
      <w:r w:rsidRPr="00C13660">
        <w:rPr>
          <w:rFonts w:ascii="仿宋" w:eastAsia="仿宋" w:hAnsi="仿宋" w:cs="宋体" w:hint="eastAsia"/>
          <w:kern w:val="0"/>
          <w:sz w:val="24"/>
          <w:szCs w:val="24"/>
        </w:rPr>
        <w:t>和招募说明书</w:t>
      </w:r>
      <w:r>
        <w:rPr>
          <w:rFonts w:ascii="仿宋" w:eastAsia="仿宋" w:hAnsi="仿宋" w:cs="宋体" w:hint="eastAsia"/>
          <w:kern w:val="0"/>
          <w:sz w:val="24"/>
          <w:szCs w:val="24"/>
        </w:rPr>
        <w:t>合法取得本基金基金份额的投资人</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cs="宋体" w:hint="eastAsia"/>
          <w:b/>
          <w:kern w:val="0"/>
          <w:sz w:val="24"/>
          <w:szCs w:val="24"/>
        </w:rPr>
        <w:t>基金销售业务：</w:t>
      </w:r>
      <w:r>
        <w:rPr>
          <w:rFonts w:ascii="仿宋" w:eastAsia="仿宋" w:hAnsi="仿宋" w:cs="宋体" w:hint="eastAsia"/>
          <w:kern w:val="0"/>
          <w:sz w:val="24"/>
          <w:szCs w:val="24"/>
        </w:rPr>
        <w:t>指基金管理人或销售机构宣传推介基金，办理基金份额的申购、赎回、转换、转托管及定期定额投资等业务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销售机构：</w:t>
      </w:r>
      <w:r>
        <w:rPr>
          <w:rFonts w:ascii="仿宋" w:eastAsia="仿宋" w:hAnsi="仿宋" w:cs="宋体" w:hint="eastAsia"/>
          <w:kern w:val="0"/>
          <w:sz w:val="24"/>
          <w:szCs w:val="24"/>
        </w:rPr>
        <w:t>指基金管理人以及符合《销售办法》和中国证监会规定的其他条件，取得基金销售业务资格并与基金管理人签订了基金销售服务</w:t>
      </w:r>
      <w:r w:rsidRPr="00EF37FB">
        <w:rPr>
          <w:rFonts w:ascii="仿宋" w:eastAsia="仿宋" w:hAnsi="仿宋" w:cs="宋体" w:hint="eastAsia"/>
          <w:kern w:val="0"/>
          <w:sz w:val="24"/>
          <w:szCs w:val="24"/>
        </w:rPr>
        <w:t>协议，办理基金销售业务的机构</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登记业务</w:t>
      </w:r>
      <w:r>
        <w:rPr>
          <w:rFonts w:ascii="仿宋" w:eastAsia="仿宋" w:hAnsi="仿宋" w:cs="宋体" w:hint="eastAsia"/>
          <w:kern w:val="0"/>
          <w:sz w:val="24"/>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601E41">
        <w:rPr>
          <w:rFonts w:ascii="仿宋" w:eastAsia="仿宋" w:hAnsi="仿宋" w:cs="宋体" w:hint="eastAsia"/>
          <w:b/>
          <w:kern w:val="0"/>
          <w:sz w:val="24"/>
          <w:szCs w:val="24"/>
        </w:rPr>
        <w:t>登记机构：</w:t>
      </w:r>
      <w:r w:rsidRPr="00601E41">
        <w:rPr>
          <w:rFonts w:ascii="仿宋" w:eastAsia="仿宋" w:hAnsi="仿宋" w:cs="宋体" w:hint="eastAsia"/>
          <w:kern w:val="0"/>
          <w:sz w:val="24"/>
          <w:szCs w:val="24"/>
        </w:rPr>
        <w:t>指办理基金登记业务的机构，本基金的登记机构为上海东方证券资产管理有限公司或接受上海东方证券资产管理有限公司委托代为办理基金登记业务的机构</w:t>
      </w:r>
      <w:r>
        <w:rPr>
          <w:rFonts w:ascii="仿宋" w:eastAsia="仿宋" w:hAnsi="仿宋" w:cs="宋体" w:hint="eastAsia"/>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基金账户：</w:t>
      </w:r>
      <w:r w:rsidRPr="007649F7">
        <w:rPr>
          <w:rFonts w:ascii="仿宋" w:eastAsia="仿宋" w:hAnsi="仿宋" w:cs="宋体" w:hint="eastAsia"/>
          <w:kern w:val="0"/>
          <w:sz w:val="24"/>
          <w:szCs w:val="24"/>
        </w:rPr>
        <w:t>指登记机构为投资人开立的、记录其持有的、基金管理人所管理的基金份额余额及其变动情况的账户</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基金交易账户：</w:t>
      </w:r>
      <w:r>
        <w:rPr>
          <w:rFonts w:ascii="仿宋" w:eastAsia="仿宋" w:hAnsi="仿宋" w:cs="宋体" w:hint="eastAsia"/>
          <w:kern w:val="0"/>
          <w:sz w:val="24"/>
          <w:szCs w:val="24"/>
        </w:rPr>
        <w:t>指各销售机构为投资人开立的、记录投资人通过该销售机构办理基金申购、赎回、转换、转托管及定期定额投资等业务而引起的基金份额的变动及结余情况的账户</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基金合同生效日：</w:t>
      </w:r>
      <w:r w:rsidRPr="008548A6">
        <w:rPr>
          <w:rFonts w:ascii="仿宋" w:eastAsia="仿宋" w:hAnsi="仿宋" w:cs="宋体" w:hint="eastAsia"/>
          <w:kern w:val="0"/>
          <w:sz w:val="24"/>
          <w:szCs w:val="24"/>
        </w:rPr>
        <w:t>指《东方红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年持有期混合型证券投资基金基金合同》生效日，原《东方红</w:t>
      </w:r>
      <w:r>
        <w:rPr>
          <w:rFonts w:ascii="仿宋" w:eastAsia="仿宋" w:hAnsi="仿宋" w:cs="宋体" w:hint="eastAsia"/>
          <w:kern w:val="0"/>
          <w:sz w:val="24"/>
          <w:szCs w:val="24"/>
        </w:rPr>
        <w:t>恒阳五</w:t>
      </w:r>
      <w:r w:rsidRPr="008548A6">
        <w:rPr>
          <w:rFonts w:ascii="仿宋" w:eastAsia="仿宋" w:hAnsi="仿宋" w:cs="宋体" w:hint="eastAsia"/>
          <w:kern w:val="0"/>
          <w:sz w:val="24"/>
          <w:szCs w:val="24"/>
        </w:rPr>
        <w:t>年定期开放混合型证券投资基金基金合同》自同一日终止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基金合同终止日</w:t>
      </w:r>
      <w:r>
        <w:rPr>
          <w:rFonts w:ascii="仿宋" w:eastAsia="仿宋" w:hAnsi="仿宋" w:cs="宋体"/>
          <w:kern w:val="0"/>
          <w:sz w:val="24"/>
          <w:szCs w:val="24"/>
        </w:rPr>
        <w:t>：指基金合同规定的基金合同终止事由出现后，基金财产清算完毕，清算结果报中国证监会备案并予以公告的日期</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基金存续期：</w:t>
      </w:r>
      <w:r>
        <w:rPr>
          <w:rFonts w:ascii="仿宋" w:eastAsia="仿宋" w:hAnsi="仿宋" w:cs="宋体" w:hint="eastAsia"/>
          <w:kern w:val="0"/>
          <w:sz w:val="24"/>
          <w:szCs w:val="24"/>
        </w:rPr>
        <w:t>指《</w:t>
      </w:r>
      <w:r w:rsidRPr="005955EA">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5955EA">
        <w:rPr>
          <w:rFonts w:ascii="仿宋" w:eastAsia="仿宋" w:hAnsi="仿宋" w:cs="宋体" w:hint="eastAsia"/>
          <w:kern w:val="0"/>
          <w:sz w:val="24"/>
          <w:szCs w:val="24"/>
        </w:rPr>
        <w:t>年定期开放混合型证券投资基金</w:t>
      </w:r>
      <w:r>
        <w:rPr>
          <w:rFonts w:ascii="仿宋" w:eastAsia="仿宋" w:hAnsi="仿宋" w:cs="宋体" w:hint="eastAsia"/>
          <w:kern w:val="0"/>
          <w:sz w:val="24"/>
          <w:szCs w:val="24"/>
        </w:rPr>
        <w:t>基金合同》生效</w:t>
      </w:r>
      <w:r w:rsidRPr="00E2636A">
        <w:rPr>
          <w:rFonts w:ascii="仿宋" w:eastAsia="仿宋" w:hAnsi="仿宋" w:cs="宋体" w:hint="eastAsia"/>
          <w:kern w:val="0"/>
          <w:sz w:val="24"/>
          <w:szCs w:val="24"/>
        </w:rPr>
        <w:t>至终止之间的不定期</w:t>
      </w:r>
      <w:r>
        <w:rPr>
          <w:rFonts w:ascii="仿宋" w:eastAsia="仿宋" w:hAnsi="仿宋" w:cs="宋体" w:hint="eastAsia"/>
          <w:kern w:val="0"/>
          <w:sz w:val="24"/>
          <w:szCs w:val="24"/>
        </w:rPr>
        <w:t>期间</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工作日：</w:t>
      </w:r>
      <w:r>
        <w:rPr>
          <w:rFonts w:ascii="仿宋" w:eastAsia="仿宋" w:hAnsi="仿宋" w:cs="宋体" w:hint="eastAsia"/>
          <w:kern w:val="0"/>
          <w:sz w:val="24"/>
          <w:szCs w:val="24"/>
        </w:rPr>
        <w:t>指上海证券交易所和深圳证券交易所的正常交易日</w:t>
      </w:r>
    </w:p>
    <w:p w:rsidR="00E45E2B" w:rsidRDefault="00E45E2B" w:rsidP="00E45E2B">
      <w:pPr>
        <w:pStyle w:val="ae"/>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rPr>
      </w:pPr>
      <w:r>
        <w:rPr>
          <w:rFonts w:ascii="仿宋" w:eastAsia="仿宋" w:hAnsi="仿宋" w:cs="宋体" w:hint="eastAsia"/>
          <w:b/>
          <w:kern w:val="0"/>
          <w:sz w:val="24"/>
        </w:rPr>
        <w:t>年度对日：</w:t>
      </w:r>
      <w:r>
        <w:rPr>
          <w:rFonts w:ascii="仿宋" w:eastAsia="仿宋" w:hAnsi="仿宋" w:cs="宋体" w:hint="eastAsia"/>
          <w:kern w:val="0"/>
          <w:sz w:val="24"/>
        </w:rPr>
        <w:t>指某一特定日期在后续日历年份中的对应日期，如该对应日期为非工作日，则顺延至下一个工作日，若该日历年份中不存在对应日期的，则顺延至该月最后一日的下一工作日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T</w:t>
      </w:r>
      <w:r>
        <w:rPr>
          <w:rFonts w:ascii="仿宋" w:eastAsia="仿宋" w:hAnsi="仿宋" w:cs="宋体" w:hint="eastAsia"/>
          <w:b/>
          <w:kern w:val="0"/>
          <w:sz w:val="24"/>
          <w:szCs w:val="24"/>
        </w:rPr>
        <w:t>日：</w:t>
      </w:r>
      <w:r>
        <w:rPr>
          <w:rFonts w:ascii="仿宋" w:eastAsia="仿宋" w:hAnsi="仿宋" w:cs="宋体" w:hint="eastAsia"/>
          <w:kern w:val="0"/>
          <w:sz w:val="24"/>
          <w:szCs w:val="24"/>
        </w:rPr>
        <w:t>指</w:t>
      </w:r>
      <w:r w:rsidRPr="00742559">
        <w:rPr>
          <w:rFonts w:ascii="仿宋" w:eastAsia="仿宋" w:hAnsi="仿宋" w:cs="宋体" w:hint="eastAsia"/>
          <w:kern w:val="0"/>
          <w:sz w:val="24"/>
          <w:szCs w:val="24"/>
        </w:rPr>
        <w:t>销售机构在规定时间受理投资人</w:t>
      </w:r>
      <w:r>
        <w:rPr>
          <w:rFonts w:ascii="仿宋" w:eastAsia="仿宋" w:hAnsi="仿宋" w:cs="宋体" w:hint="eastAsia"/>
          <w:kern w:val="0"/>
          <w:sz w:val="24"/>
          <w:szCs w:val="24"/>
        </w:rPr>
        <w:t>申购、赎回或其他基金业务申请的开放日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b/>
          <w:kern w:val="0"/>
          <w:sz w:val="24"/>
          <w:szCs w:val="24"/>
        </w:rPr>
        <w:t xml:space="preserve">T+n </w:t>
      </w:r>
      <w:r>
        <w:rPr>
          <w:rFonts w:ascii="仿宋" w:eastAsia="仿宋" w:hAnsi="仿宋" w:cs="宋体" w:hint="eastAsia"/>
          <w:b/>
          <w:kern w:val="0"/>
          <w:sz w:val="24"/>
          <w:szCs w:val="24"/>
        </w:rPr>
        <w:t>日：</w:t>
      </w:r>
      <w:r>
        <w:rPr>
          <w:rFonts w:ascii="仿宋" w:eastAsia="仿宋" w:hAnsi="仿宋" w:cs="宋体" w:hint="eastAsia"/>
          <w:kern w:val="0"/>
          <w:sz w:val="24"/>
          <w:szCs w:val="24"/>
        </w:rPr>
        <w:t>指自</w:t>
      </w:r>
      <w:r>
        <w:rPr>
          <w:rFonts w:ascii="仿宋" w:eastAsia="仿宋" w:hAnsi="仿宋" w:cs="宋体"/>
          <w:kern w:val="0"/>
          <w:sz w:val="24"/>
          <w:szCs w:val="24"/>
        </w:rPr>
        <w:t>T</w:t>
      </w:r>
      <w:r>
        <w:rPr>
          <w:rFonts w:ascii="仿宋" w:eastAsia="仿宋" w:hAnsi="仿宋" w:cs="宋体" w:hint="eastAsia"/>
          <w:kern w:val="0"/>
          <w:sz w:val="24"/>
          <w:szCs w:val="24"/>
        </w:rPr>
        <w:t>日起第</w:t>
      </w:r>
      <w:r>
        <w:rPr>
          <w:rFonts w:ascii="仿宋" w:eastAsia="仿宋" w:hAnsi="仿宋" w:cs="宋体"/>
          <w:kern w:val="0"/>
          <w:sz w:val="24"/>
          <w:szCs w:val="24"/>
        </w:rPr>
        <w:t>n</w:t>
      </w:r>
      <w:r>
        <w:rPr>
          <w:rFonts w:ascii="仿宋" w:eastAsia="仿宋" w:hAnsi="仿宋" w:cs="宋体" w:hint="eastAsia"/>
          <w:kern w:val="0"/>
          <w:sz w:val="24"/>
          <w:szCs w:val="24"/>
        </w:rPr>
        <w:t>个工作日（不包含</w:t>
      </w:r>
      <w:r>
        <w:rPr>
          <w:rFonts w:ascii="仿宋" w:eastAsia="仿宋" w:hAnsi="仿宋" w:cs="宋体"/>
          <w:kern w:val="0"/>
          <w:sz w:val="24"/>
          <w:szCs w:val="24"/>
        </w:rPr>
        <w:t>T</w:t>
      </w:r>
      <w:r>
        <w:rPr>
          <w:rFonts w:ascii="仿宋" w:eastAsia="仿宋" w:hAnsi="仿宋" w:cs="宋体" w:hint="eastAsia"/>
          <w:kern w:val="0"/>
          <w:sz w:val="24"/>
          <w:szCs w:val="24"/>
        </w:rPr>
        <w:t>日）</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开放日：</w:t>
      </w:r>
      <w:r w:rsidRPr="00616F3E">
        <w:rPr>
          <w:rFonts w:ascii="仿宋" w:eastAsia="仿宋" w:hAnsi="仿宋" w:cs="宋体" w:hint="eastAsia"/>
          <w:kern w:val="0"/>
          <w:sz w:val="24"/>
          <w:szCs w:val="24"/>
        </w:rPr>
        <w:t>指为投资人办理基金份额申购、赎回或其他业务的工作日，若该工作日为非港股通交易日，则基金管理人有权决定本基金是否开放</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开放时间</w:t>
      </w:r>
      <w:r>
        <w:rPr>
          <w:rFonts w:ascii="仿宋" w:eastAsia="仿宋" w:hAnsi="仿宋" w:cs="宋体" w:hint="eastAsia"/>
          <w:kern w:val="0"/>
          <w:sz w:val="24"/>
          <w:szCs w:val="24"/>
        </w:rPr>
        <w:t>：指开放日基金接受申购、赎回或其他交易的时间段</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EC7EBF">
        <w:rPr>
          <w:rFonts w:ascii="仿宋" w:eastAsia="仿宋" w:hAnsi="仿宋" w:cs="宋体" w:hint="eastAsia"/>
          <w:b/>
          <w:kern w:val="0"/>
          <w:sz w:val="24"/>
          <w:szCs w:val="24"/>
        </w:rPr>
        <w:t>锁定持有期</w:t>
      </w:r>
      <w:r w:rsidRPr="00616F3E">
        <w:rPr>
          <w:rFonts w:ascii="仿宋" w:eastAsia="仿宋" w:hAnsi="仿宋" w:cs="宋体" w:hint="eastAsia"/>
          <w:kern w:val="0"/>
          <w:sz w:val="24"/>
          <w:szCs w:val="24"/>
        </w:rPr>
        <w:t>：</w:t>
      </w:r>
      <w:r>
        <w:rPr>
          <w:rFonts w:ascii="仿宋" w:eastAsia="仿宋" w:hAnsi="仿宋" w:cs="宋体" w:hint="eastAsia"/>
          <w:kern w:val="0"/>
          <w:sz w:val="24"/>
          <w:szCs w:val="24"/>
        </w:rPr>
        <w:t>除基金合同另有约定外，</w:t>
      </w:r>
      <w:r w:rsidRPr="00F05EBC">
        <w:rPr>
          <w:rFonts w:ascii="仿宋" w:eastAsia="仿宋" w:hAnsi="仿宋" w:cs="宋体" w:hint="eastAsia"/>
          <w:kern w:val="0"/>
          <w:sz w:val="24"/>
          <w:szCs w:val="24"/>
        </w:rPr>
        <w:t>对于每份基金份额，锁定持有期指</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F05EBC">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年的年度对日的前一日（即锁定持有期到期日）之间的区间，基金份额在锁定持有期内不办理赎回</w:t>
      </w:r>
      <w:r>
        <w:rPr>
          <w:rFonts w:ascii="仿宋" w:eastAsia="仿宋" w:hAnsi="仿宋" w:cs="宋体" w:hint="eastAsia"/>
          <w:kern w:val="0"/>
          <w:sz w:val="24"/>
          <w:szCs w:val="24"/>
        </w:rPr>
        <w:t>、</w:t>
      </w:r>
      <w:r w:rsidRPr="00F05EBC">
        <w:rPr>
          <w:rFonts w:ascii="仿宋" w:eastAsia="仿宋" w:hAnsi="仿宋" w:cs="宋体" w:hint="eastAsia"/>
          <w:kern w:val="0"/>
          <w:sz w:val="24"/>
          <w:szCs w:val="24"/>
        </w:rPr>
        <w:t>转换转出业务</w:t>
      </w:r>
    </w:p>
    <w:p w:rsidR="00E45E2B" w:rsidRPr="00EB4BDA"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9032CE">
        <w:rPr>
          <w:rFonts w:ascii="仿宋" w:eastAsia="仿宋" w:hAnsi="仿宋" w:cs="宋体" w:hint="eastAsia"/>
          <w:b/>
          <w:kern w:val="0"/>
          <w:sz w:val="24"/>
          <w:szCs w:val="24"/>
        </w:rPr>
        <w:t>开放持有期：</w:t>
      </w:r>
      <w:r w:rsidRPr="00F05EBC">
        <w:rPr>
          <w:rFonts w:ascii="仿宋" w:eastAsia="仿宋" w:hAnsi="仿宋" w:cs="宋体" w:hint="eastAsia"/>
          <w:kern w:val="0"/>
          <w:sz w:val="24"/>
          <w:szCs w:val="24"/>
        </w:rPr>
        <w:t>除基金合同另有约定外，对于每份基金份额，自锁定持有期结束后即进入开放持有期，开放持有期首日为锁定持有期起始日次</w:t>
      </w:r>
      <w:r>
        <w:rPr>
          <w:rFonts w:ascii="仿宋" w:eastAsia="仿宋" w:hAnsi="仿宋" w:cs="宋体" w:hint="eastAsia"/>
          <w:kern w:val="0"/>
          <w:sz w:val="24"/>
          <w:szCs w:val="24"/>
        </w:rPr>
        <w:t>五</w:t>
      </w:r>
      <w:r w:rsidRPr="00F05EBC">
        <w:rPr>
          <w:rFonts w:ascii="仿宋" w:eastAsia="仿宋" w:hAnsi="仿宋" w:cs="宋体" w:hint="eastAsia"/>
          <w:kern w:val="0"/>
          <w:sz w:val="24"/>
          <w:szCs w:val="24"/>
        </w:rPr>
        <w:t>年的年度对日。每份基金份额在开放持有期期间的开放日可以办理赎回及转换转出业务</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《业务规则》：</w:t>
      </w:r>
      <w:r>
        <w:rPr>
          <w:rFonts w:ascii="仿宋" w:eastAsia="仿宋" w:hAnsi="仿宋" w:cs="宋体" w:hint="eastAsia"/>
          <w:kern w:val="0"/>
          <w:sz w:val="24"/>
          <w:szCs w:val="24"/>
        </w:rPr>
        <w:t>指《上海东方证券资产管理有限公司开放式基金业务规则》以及其他适用于证券投资基金的业务规则</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申购：</w:t>
      </w:r>
      <w:r>
        <w:rPr>
          <w:rFonts w:ascii="仿宋" w:eastAsia="仿宋" w:hAnsi="仿宋" w:cs="宋体" w:hint="eastAsia"/>
          <w:kern w:val="0"/>
          <w:sz w:val="24"/>
          <w:szCs w:val="24"/>
        </w:rPr>
        <w:t>指基金合同生效后，投资人根据基金合同和招募说明书的规定申请购买基金份额的行为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赎回：</w:t>
      </w:r>
      <w:r>
        <w:rPr>
          <w:rFonts w:ascii="仿宋" w:eastAsia="仿宋" w:hAnsi="仿宋" w:cs="宋体" w:hint="eastAsia"/>
          <w:kern w:val="0"/>
          <w:sz w:val="24"/>
          <w:szCs w:val="24"/>
        </w:rPr>
        <w:t>指基金合同生效后，基金份额持有人按基金合同和招募说明书规定的条件要求将基金份额兑换为现金的行为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基金转换</w:t>
      </w:r>
      <w:r>
        <w:rPr>
          <w:rFonts w:ascii="仿宋" w:eastAsia="仿宋" w:hAnsi="仿宋" w:cs="宋体" w:hint="eastAsia"/>
          <w:kern w:val="0"/>
          <w:sz w:val="24"/>
          <w:szCs w:val="24"/>
        </w:rPr>
        <w:t>：指基金份额持有人按照本基金合同和基金管理人届时有效公告规定的条件，申请将其持有基金管理人管理的、某一基金的基金份额转换为基金管理人管理的其他基金基金份额的行为</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b/>
          <w:kern w:val="0"/>
          <w:sz w:val="24"/>
          <w:szCs w:val="24"/>
        </w:rPr>
        <w:t>转托管：</w:t>
      </w:r>
      <w:r>
        <w:rPr>
          <w:rFonts w:ascii="仿宋" w:eastAsia="仿宋" w:hAnsi="仿宋" w:cs="宋体"/>
          <w:kern w:val="0"/>
          <w:sz w:val="24"/>
          <w:szCs w:val="24"/>
        </w:rPr>
        <w:t>指基金份额持有人在本基金的不同销售机构之间实施的变更所持基金份额销售机构的操作</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定期定额投资计划</w:t>
      </w:r>
      <w:r>
        <w:rPr>
          <w:rFonts w:ascii="仿宋" w:eastAsia="仿宋" w:hAnsi="仿宋" w:cs="宋体" w:hint="eastAsia"/>
          <w:kern w:val="0"/>
          <w:sz w:val="24"/>
          <w:szCs w:val="24"/>
        </w:rPr>
        <w:t>：指投资人通过有关销售机构提出申请，约定每期申购日、扣款金额及扣款方式，由销售机构于每期约定扣款日在投资人指定银行账户内自动完成扣款及受理基金申购申请的一种投资方式</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巨额赎回：</w:t>
      </w:r>
      <w:r w:rsidRPr="00E906F3">
        <w:rPr>
          <w:rFonts w:ascii="仿宋" w:eastAsia="仿宋" w:hAnsi="仿宋" w:cs="宋体" w:hint="eastAsia"/>
          <w:kern w:val="0"/>
          <w:sz w:val="24"/>
          <w:szCs w:val="24"/>
        </w:rPr>
        <w:t>指本基金单个开放日，基金净赎回申请（赎回申请份额总数加上基金转换中转出申请份额总数后扣除申购申请份额总数及基金转换中转入申请份额总数后的余额）超过上一工作日基金总份额的10%时的情形</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元：</w:t>
      </w:r>
      <w:r>
        <w:rPr>
          <w:rFonts w:ascii="仿宋" w:eastAsia="仿宋" w:hAnsi="仿宋" w:cs="宋体" w:hint="eastAsia"/>
          <w:kern w:val="0"/>
          <w:sz w:val="24"/>
          <w:szCs w:val="24"/>
        </w:rPr>
        <w:t>指人民币元</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基金收益</w:t>
      </w:r>
      <w:r>
        <w:rPr>
          <w:rFonts w:ascii="仿宋" w:eastAsia="仿宋" w:hAnsi="仿宋" w:cs="宋体" w:hint="eastAsia"/>
          <w:kern w:val="0"/>
          <w:sz w:val="24"/>
          <w:szCs w:val="24"/>
        </w:rPr>
        <w:t>：指基金投资所得红利、股息、债券利息、买卖证券价差、银行存款利息、已实现的其他合法收入及因运用基金财产带来的成本和费用的节约</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基金资产总值：</w:t>
      </w:r>
      <w:r>
        <w:rPr>
          <w:rFonts w:ascii="仿宋" w:eastAsia="仿宋" w:hAnsi="仿宋" w:cs="宋体" w:hint="eastAsia"/>
          <w:kern w:val="0"/>
          <w:sz w:val="24"/>
          <w:szCs w:val="24"/>
        </w:rPr>
        <w:t>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、银行存款本息、基金应收申购基金款及其他资产的价值总和</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基金资产净值：</w:t>
      </w:r>
      <w:r>
        <w:rPr>
          <w:rFonts w:ascii="仿宋" w:eastAsia="仿宋" w:hAnsi="仿宋" w:cs="宋体" w:hint="eastAsia"/>
          <w:kern w:val="0"/>
          <w:sz w:val="24"/>
          <w:szCs w:val="24"/>
        </w:rPr>
        <w:t>指基金资产总值减去基金负债后的价值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基金份额净值：</w:t>
      </w:r>
      <w:r>
        <w:rPr>
          <w:rFonts w:ascii="仿宋" w:eastAsia="仿宋" w:hAnsi="仿宋" w:cs="宋体" w:hint="eastAsia"/>
          <w:kern w:val="0"/>
          <w:sz w:val="24"/>
          <w:szCs w:val="24"/>
        </w:rPr>
        <w:t>指计算日基金资产净值除以计算日基金份额总数的数值</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7E07F1">
        <w:rPr>
          <w:rFonts w:ascii="仿宋" w:eastAsia="仿宋" w:hAnsi="仿宋" w:cs="宋体" w:hint="eastAsia"/>
          <w:b/>
          <w:kern w:val="0"/>
          <w:sz w:val="24"/>
          <w:szCs w:val="24"/>
        </w:rPr>
        <w:t>基金份额累计净值：</w:t>
      </w:r>
      <w:r w:rsidRPr="00512075">
        <w:rPr>
          <w:rFonts w:ascii="仿宋" w:eastAsia="仿宋" w:hAnsi="仿宋" w:cs="宋体" w:hint="eastAsia"/>
          <w:kern w:val="0"/>
          <w:sz w:val="24"/>
          <w:szCs w:val="24"/>
        </w:rPr>
        <w:t>指计算日基金份额净值与每份基金份额累计分红之和</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基金资产估值：</w:t>
      </w:r>
      <w:r>
        <w:rPr>
          <w:rFonts w:ascii="仿宋" w:eastAsia="仿宋" w:hAnsi="仿宋" w:cs="宋体" w:hint="eastAsia"/>
          <w:kern w:val="0"/>
          <w:sz w:val="24"/>
          <w:szCs w:val="24"/>
        </w:rPr>
        <w:t>指计算评估基金资产和负债的价值，以确定基金资产净值和基金份额净值的过程</w:t>
      </w:r>
    </w:p>
    <w:p w:rsidR="00E45E2B" w:rsidRPr="004D5E5D"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512075">
        <w:rPr>
          <w:rFonts w:ascii="仿宋" w:eastAsia="仿宋" w:hAnsi="仿宋" w:cs="宋体" w:hint="eastAsia"/>
          <w:b/>
          <w:kern w:val="0"/>
          <w:sz w:val="24"/>
          <w:szCs w:val="24"/>
        </w:rPr>
        <w:t>规定媒介：</w:t>
      </w:r>
      <w:r w:rsidRPr="004D5E5D">
        <w:rPr>
          <w:rFonts w:ascii="仿宋" w:eastAsia="仿宋" w:hAnsi="仿宋" w:cs="宋体" w:hint="eastAsia"/>
          <w:kern w:val="0"/>
          <w:sz w:val="24"/>
          <w:szCs w:val="24"/>
        </w:rPr>
        <w:t>指符合中国证监会规定条件的用以进行信息披露的全国性报刊及《信息披露办法》规定的互联网网站（包括基金管理人网站、基金托管人网站、中国证监会基金电子披露网站）等媒介</w:t>
      </w:r>
      <w:r>
        <w:rPr>
          <w:rFonts w:ascii="仿宋" w:eastAsia="仿宋" w:hAnsi="仿宋" w:cs="宋体" w:hint="eastAsia"/>
          <w:b/>
          <w:kern w:val="0"/>
          <w:sz w:val="24"/>
          <w:szCs w:val="24"/>
        </w:rPr>
        <w:t xml:space="preserve"> </w:t>
      </w:r>
      <w:r>
        <w:rPr>
          <w:rFonts w:ascii="仿宋" w:eastAsia="仿宋" w:hAnsi="仿宋" w:cs="宋体"/>
          <w:b/>
          <w:kern w:val="0"/>
          <w:sz w:val="24"/>
          <w:szCs w:val="24"/>
        </w:rPr>
        <w:t xml:space="preserve"> </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Pr>
          <w:rFonts w:ascii="仿宋" w:eastAsia="仿宋" w:hAnsi="仿宋" w:cs="宋体" w:hint="eastAsia"/>
          <w:b/>
          <w:kern w:val="0"/>
          <w:sz w:val="24"/>
          <w:szCs w:val="24"/>
        </w:rPr>
        <w:t>不可抗力：</w:t>
      </w:r>
      <w:r w:rsidRPr="00A04094">
        <w:rPr>
          <w:rFonts w:ascii="仿宋" w:eastAsia="仿宋" w:hAnsi="仿宋" w:cs="宋体" w:hint="eastAsia"/>
          <w:kern w:val="0"/>
          <w:sz w:val="24"/>
          <w:szCs w:val="24"/>
        </w:rPr>
        <w:t>指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E45E2B" w:rsidRDefault="00E45E2B" w:rsidP="00E45E2B">
      <w:pPr>
        <w:pStyle w:val="-11"/>
        <w:numPr>
          <w:ilvl w:val="0"/>
          <w:numId w:val="5"/>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bookmarkStart w:id="50" w:name="_Hlt88031774"/>
      <w:bookmarkStart w:id="51" w:name="_Toc79392573"/>
      <w:bookmarkStart w:id="52" w:name="_Toc233456272"/>
      <w:bookmarkStart w:id="53" w:name="_Toc258829400"/>
      <w:bookmarkEnd w:id="50"/>
      <w:r>
        <w:rPr>
          <w:rFonts w:ascii="仿宋" w:eastAsia="仿宋" w:hAnsi="仿宋" w:cs="宋体" w:hint="eastAsia"/>
          <w:b/>
          <w:kern w:val="0"/>
          <w:sz w:val="24"/>
          <w:szCs w:val="24"/>
        </w:rPr>
        <w:t>基金销售网点</w:t>
      </w:r>
      <w:r>
        <w:rPr>
          <w:rFonts w:ascii="仿宋" w:eastAsia="仿宋" w:hAnsi="仿宋" w:cs="宋体" w:hint="eastAsia"/>
          <w:kern w:val="0"/>
          <w:sz w:val="24"/>
          <w:szCs w:val="24"/>
        </w:rPr>
        <w:t>：指基金管理人的直销网点及其他基金销售机构的销售网点</w:t>
      </w:r>
    </w:p>
    <w:p w:rsidR="00E45E2B" w:rsidRDefault="00E45E2B" w:rsidP="00E45E2B">
      <w:pPr>
        <w:pStyle w:val="-11"/>
        <w:numPr>
          <w:ilvl w:val="0"/>
          <w:numId w:val="5"/>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Pr>
          <w:rFonts w:ascii="仿宋" w:eastAsia="仿宋" w:hAnsi="仿宋" w:cs="宋体" w:hint="eastAsia"/>
          <w:b/>
          <w:kern w:val="0"/>
          <w:sz w:val="24"/>
          <w:szCs w:val="24"/>
        </w:rPr>
        <w:t>货币市场工具：</w:t>
      </w:r>
      <w:r>
        <w:rPr>
          <w:rFonts w:ascii="仿宋" w:eastAsia="仿宋" w:hAnsi="仿宋" w:cs="宋体" w:hint="eastAsia"/>
          <w:kern w:val="0"/>
          <w:sz w:val="24"/>
          <w:szCs w:val="24"/>
        </w:rPr>
        <w:t>指现金（活期存款）；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rsidR="00E45E2B" w:rsidRPr="00E3274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港股通标的股票：</w:t>
      </w:r>
      <w:r>
        <w:rPr>
          <w:rFonts w:ascii="仿宋" w:eastAsia="仿宋" w:hAnsi="仿宋" w:cs="宋体" w:hint="eastAsia"/>
          <w:kern w:val="0"/>
          <w:sz w:val="24"/>
          <w:szCs w:val="24"/>
        </w:rPr>
        <w:t>指内地投资者委托内地证券公司，经由上海证券交易所、深圳证券交易所或者经中国证监会认可的机构设立的证券交易服务公司，向香港联合交易所有限公司（以下简称“香港联合交易所”）进行申报、买卖规定范围内的香港联合交易所上市的股票</w:t>
      </w:r>
    </w:p>
    <w:p w:rsidR="00E45E2B" w:rsidRDefault="00E45E2B" w:rsidP="00E45E2B">
      <w:pPr>
        <w:pStyle w:val="14"/>
        <w:numPr>
          <w:ilvl w:val="0"/>
          <w:numId w:val="5"/>
        </w:numPr>
        <w:ind w:firstLineChars="0"/>
        <w:rPr>
          <w:rFonts w:ascii="仿宋" w:hAnsi="仿宋"/>
        </w:rPr>
      </w:pPr>
      <w:r>
        <w:rPr>
          <w:rFonts w:ascii="仿宋" w:hAnsi="仿宋"/>
          <w:b/>
        </w:rPr>
        <w:t>信用衍生品</w:t>
      </w:r>
      <w:r>
        <w:rPr>
          <w:rFonts w:ascii="仿宋" w:hAnsi="仿宋"/>
        </w:rPr>
        <w:t>：指符合证券交易所或银行间市场相关业务规则，专门用于管理信用风险的信用衍生工具</w:t>
      </w:r>
    </w:p>
    <w:p w:rsidR="00E45E2B" w:rsidRDefault="00E45E2B" w:rsidP="00E45E2B">
      <w:pPr>
        <w:pStyle w:val="14"/>
        <w:numPr>
          <w:ilvl w:val="0"/>
          <w:numId w:val="5"/>
        </w:numPr>
        <w:ind w:firstLineChars="0"/>
        <w:rPr>
          <w:rFonts w:ascii="仿宋" w:hAnsi="仿宋"/>
        </w:rPr>
      </w:pPr>
      <w:r>
        <w:rPr>
          <w:rFonts w:ascii="仿宋" w:hAnsi="仿宋"/>
          <w:b/>
        </w:rPr>
        <w:t>信用保护买方</w:t>
      </w:r>
      <w:r>
        <w:rPr>
          <w:rFonts w:ascii="仿宋" w:hAnsi="仿宋"/>
        </w:rPr>
        <w:t>：亦称信用保护购买方，指接受信用风险保护的一方</w:t>
      </w:r>
    </w:p>
    <w:p w:rsidR="00E45E2B" w:rsidRDefault="00E45E2B" w:rsidP="00E45E2B">
      <w:pPr>
        <w:pStyle w:val="14"/>
        <w:numPr>
          <w:ilvl w:val="0"/>
          <w:numId w:val="5"/>
        </w:numPr>
        <w:ind w:firstLineChars="0"/>
        <w:rPr>
          <w:rFonts w:ascii="仿宋" w:hAnsi="仿宋"/>
        </w:rPr>
      </w:pPr>
      <w:r>
        <w:rPr>
          <w:rFonts w:ascii="仿宋" w:hAnsi="仿宋"/>
          <w:b/>
        </w:rPr>
        <w:t>信用保护卖方</w:t>
      </w:r>
      <w:r>
        <w:rPr>
          <w:rFonts w:ascii="仿宋" w:hAnsi="仿宋"/>
        </w:rPr>
        <w:t>：亦称信用保护提供方，指提供信用风险保护的一方</w:t>
      </w:r>
    </w:p>
    <w:p w:rsidR="00E45E2B" w:rsidRPr="00E3274D" w:rsidRDefault="00E45E2B" w:rsidP="00E45E2B">
      <w:pPr>
        <w:pStyle w:val="14"/>
        <w:numPr>
          <w:ilvl w:val="0"/>
          <w:numId w:val="5"/>
        </w:numPr>
        <w:ind w:firstLineChars="0"/>
        <w:rPr>
          <w:rFonts w:ascii="仿宋" w:hAnsi="仿宋"/>
        </w:rPr>
      </w:pPr>
      <w:r>
        <w:rPr>
          <w:rFonts w:ascii="仿宋" w:hAnsi="仿宋"/>
          <w:b/>
        </w:rPr>
        <w:t>名义本金</w:t>
      </w:r>
      <w:r>
        <w:rPr>
          <w:rFonts w:ascii="仿宋" w:hAnsi="仿宋"/>
        </w:rPr>
        <w:t>：亦称交易名义本金，指一笔信用衍生品交易提供信用保护的金额，各项支付和结算以此金额为计算基准</w:t>
      </w:r>
    </w:p>
    <w:p w:rsidR="00E45E2B"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流动性受限资产：</w:t>
      </w:r>
      <w:r>
        <w:rPr>
          <w:rFonts w:ascii="仿宋" w:eastAsia="仿宋" w:hAnsi="仿宋" w:cs="宋体" w:hint="eastAsia"/>
          <w:bCs/>
          <w:kern w:val="0"/>
          <w:sz w:val="24"/>
          <w:szCs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E45E2B" w:rsidRPr="004D5E5D" w:rsidRDefault="00E45E2B" w:rsidP="00E45E2B">
      <w:pPr>
        <w:numPr>
          <w:ilvl w:val="0"/>
          <w:numId w:val="5"/>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Pr>
          <w:rFonts w:ascii="仿宋" w:eastAsia="仿宋" w:hAnsi="仿宋" w:hint="eastAsia"/>
          <w:b/>
          <w:color w:val="000000"/>
          <w:sz w:val="24"/>
        </w:rPr>
        <w:t>摆动定价机制：</w:t>
      </w:r>
      <w:r>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侧袋机制：</w:t>
      </w:r>
      <w:r w:rsidRPr="00A04094">
        <w:rPr>
          <w:rFonts w:ascii="仿宋" w:eastAsia="仿宋" w:hAnsi="仿宋" w:cs="宋体" w:hint="eastAsia"/>
          <w:kern w:val="0"/>
          <w:sz w:val="24"/>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45E2B" w:rsidRDefault="00E45E2B" w:rsidP="00E45E2B">
      <w:pPr>
        <w:numPr>
          <w:ilvl w:val="0"/>
          <w:numId w:val="5"/>
        </w:numPr>
        <w:tabs>
          <w:tab w:val="left" w:pos="567"/>
        </w:tabs>
        <w:autoSpaceDE w:val="0"/>
        <w:autoSpaceDN w:val="0"/>
        <w:adjustRightInd w:val="0"/>
        <w:spacing w:line="360" w:lineRule="auto"/>
        <w:jc w:val="left"/>
        <w:rPr>
          <w:rFonts w:ascii="仿宋" w:eastAsia="仿宋" w:hAnsi="仿宋" w:cs="宋体"/>
          <w:kern w:val="0"/>
          <w:sz w:val="24"/>
          <w:szCs w:val="24"/>
        </w:rPr>
      </w:pPr>
      <w:r w:rsidRPr="004D5E5D">
        <w:rPr>
          <w:rFonts w:ascii="仿宋" w:eastAsia="仿宋" w:hAnsi="仿宋" w:cs="宋体" w:hint="eastAsia"/>
          <w:b/>
          <w:kern w:val="0"/>
          <w:sz w:val="24"/>
          <w:szCs w:val="24"/>
        </w:rPr>
        <w:t>特定资产：</w:t>
      </w:r>
      <w:r w:rsidRPr="00A04094">
        <w:rPr>
          <w:rFonts w:ascii="仿宋" w:eastAsia="仿宋" w:hAnsi="仿宋" w:cs="宋体" w:hint="eastAsia"/>
          <w:kern w:val="0"/>
          <w:sz w:val="24"/>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45E2B" w:rsidRDefault="00E45E2B" w:rsidP="00E45E2B">
      <w:pPr>
        <w:tabs>
          <w:tab w:val="left" w:pos="567"/>
        </w:tabs>
        <w:autoSpaceDE w:val="0"/>
        <w:autoSpaceDN w:val="0"/>
        <w:adjustRightInd w:val="0"/>
        <w:spacing w:line="360" w:lineRule="auto"/>
        <w:ind w:left="36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p>
    <w:p w:rsidR="00E45E2B" w:rsidRDefault="00E45E2B" w:rsidP="00E45E2B">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54" w:name="_Toc377998618"/>
      <w:bookmarkStart w:id="55" w:name="_Toc459291240"/>
      <w:bookmarkStart w:id="56" w:name="_Toc169163863"/>
      <w:r w:rsidRPr="004F6C89">
        <w:rPr>
          <w:rFonts w:eastAsia="仿宋" w:hint="eastAsia"/>
          <w:sz w:val="30"/>
          <w:szCs w:val="30"/>
          <w:lang w:val="zh-CN"/>
        </w:rPr>
        <w:t>第三部分</w:t>
      </w:r>
      <w:r w:rsidRPr="004F6C89">
        <w:rPr>
          <w:rFonts w:eastAsia="仿宋" w:hint="eastAsia"/>
          <w:sz w:val="30"/>
          <w:szCs w:val="30"/>
          <w:lang w:val="zh-CN"/>
        </w:rPr>
        <w:t xml:space="preserve">    </w:t>
      </w:r>
      <w:r w:rsidRPr="004F6C89">
        <w:rPr>
          <w:rFonts w:eastAsia="仿宋" w:hint="eastAsia"/>
          <w:sz w:val="30"/>
          <w:szCs w:val="30"/>
          <w:lang w:val="zh-CN"/>
        </w:rPr>
        <w:t>基金的基本情况</w:t>
      </w:r>
      <w:bookmarkEnd w:id="54"/>
      <w:bookmarkEnd w:id="55"/>
      <w:bookmarkEnd w:id="56"/>
    </w:p>
    <w:p w:rsidR="00E45E2B" w:rsidRDefault="00E45E2B" w:rsidP="00E45E2B">
      <w:pPr>
        <w:autoSpaceDE w:val="0"/>
        <w:autoSpaceDN w:val="0"/>
        <w:adjustRightInd w:val="0"/>
        <w:spacing w:line="360" w:lineRule="auto"/>
        <w:ind w:leftChars="201" w:left="422"/>
        <w:jc w:val="left"/>
        <w:rPr>
          <w:rFonts w:ascii="仿宋" w:eastAsia="仿宋" w:hAnsi="仿宋" w:cs="宋体"/>
          <w:b/>
          <w:bCs/>
          <w:kern w:val="0"/>
          <w:sz w:val="24"/>
          <w:szCs w:val="24"/>
        </w:rPr>
      </w:pPr>
      <w:r>
        <w:rPr>
          <w:rFonts w:ascii="仿宋" w:eastAsia="仿宋" w:hAnsi="仿宋" w:cs="宋体" w:hint="eastAsia"/>
          <w:b/>
          <w:bCs/>
          <w:kern w:val="0"/>
          <w:sz w:val="24"/>
          <w:szCs w:val="24"/>
        </w:rPr>
        <w:t>一、基金名称</w:t>
      </w:r>
      <w:bookmarkEnd w:id="5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东方红恒阳五年持有期混合型证券投资基金。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7" w:name="_Toc79392574"/>
      <w:r>
        <w:rPr>
          <w:rFonts w:ascii="仿宋" w:eastAsia="仿宋" w:hAnsi="仿宋" w:cs="宋体" w:hint="eastAsia"/>
          <w:b/>
          <w:bCs/>
          <w:kern w:val="0"/>
          <w:sz w:val="24"/>
          <w:szCs w:val="24"/>
        </w:rPr>
        <w:t>二、基金的类别</w:t>
      </w:r>
      <w:bookmarkEnd w:id="5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混合型证券投资基金。</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58" w:name="_Toc79392575"/>
      <w:r>
        <w:rPr>
          <w:rFonts w:ascii="仿宋" w:eastAsia="仿宋" w:hAnsi="仿宋" w:cs="宋体" w:hint="eastAsia"/>
          <w:b/>
          <w:bCs/>
          <w:kern w:val="0"/>
          <w:sz w:val="24"/>
          <w:szCs w:val="24"/>
        </w:rPr>
        <w:t>三、基金的运作方式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04094">
        <w:rPr>
          <w:rFonts w:ascii="仿宋" w:eastAsia="仿宋" w:hAnsi="仿宋" w:cs="宋体" w:hint="eastAsia"/>
          <w:kern w:val="0"/>
          <w:sz w:val="24"/>
          <w:szCs w:val="24"/>
        </w:rPr>
        <w:t>契约型开放式</w:t>
      </w:r>
    </w:p>
    <w:p w:rsidR="00E45E2B" w:rsidRPr="00A04094"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A04094">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五年锁定持有期</w:t>
      </w:r>
      <w:r w:rsidRPr="00570E80">
        <w:rPr>
          <w:rFonts w:ascii="仿宋" w:eastAsia="仿宋" w:hAnsi="仿宋" w:cs="宋体" w:hint="eastAsia"/>
          <w:kern w:val="0"/>
          <w:sz w:val="24"/>
          <w:szCs w:val="24"/>
        </w:rPr>
        <w:t>。</w:t>
      </w:r>
      <w:r w:rsidRPr="00414536">
        <w:rPr>
          <w:rFonts w:ascii="仿宋" w:eastAsia="仿宋" w:hAnsi="仿宋" w:cs="宋体" w:hint="eastAsia"/>
          <w:kern w:val="0"/>
          <w:sz w:val="24"/>
          <w:szCs w:val="24"/>
        </w:rPr>
        <w:t>锁定持有期指</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w:t>
      </w:r>
      <w:r>
        <w:rPr>
          <w:rFonts w:ascii="仿宋" w:eastAsia="仿宋" w:hAnsi="仿宋" w:cs="宋体" w:hint="eastAsia"/>
          <w:kern w:val="0"/>
          <w:sz w:val="24"/>
          <w:szCs w:val="24"/>
        </w:rPr>
        <w:t>申请</w:t>
      </w:r>
      <w:r w:rsidRPr="00414536">
        <w:rPr>
          <w:rFonts w:ascii="仿宋" w:eastAsia="仿宋" w:hAnsi="仿宋" w:cs="宋体" w:hint="eastAsia"/>
          <w:kern w:val="0"/>
          <w:sz w:val="24"/>
          <w:szCs w:val="24"/>
        </w:rPr>
        <w:t>日（对基金合同生效后转换转入份额而言，下同）起（即锁定持有期起始日），至</w:t>
      </w:r>
      <w:r>
        <w:rPr>
          <w:rFonts w:ascii="仿宋" w:eastAsia="仿宋" w:hAnsi="仿宋" w:cs="宋体" w:hint="eastAsia"/>
          <w:kern w:val="0"/>
          <w:sz w:val="24"/>
          <w:szCs w:val="24"/>
        </w:rPr>
        <w:t>基金份额登记日</w:t>
      </w:r>
      <w:r w:rsidRPr="00414536">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414536">
        <w:rPr>
          <w:rFonts w:ascii="仿宋" w:eastAsia="仿宋" w:hAnsi="仿宋" w:cs="宋体" w:hint="eastAsia"/>
          <w:kern w:val="0"/>
          <w:sz w:val="24"/>
          <w:szCs w:val="24"/>
        </w:rPr>
        <w:t>年的年度对日的前一日（即锁定持有期到期日）之间的区间。</w:t>
      </w:r>
      <w:r w:rsidRPr="00570E80">
        <w:rPr>
          <w:rFonts w:ascii="仿宋" w:eastAsia="仿宋" w:hAnsi="仿宋" w:cs="宋体" w:hint="eastAsia"/>
          <w:kern w:val="0"/>
          <w:sz w:val="24"/>
          <w:szCs w:val="24"/>
        </w:rPr>
        <w:t>每份基金份额的锁定持有期结束后即进入开放持有期，开放持有期首日为锁定持有期起始日次</w:t>
      </w:r>
      <w:r>
        <w:rPr>
          <w:rFonts w:ascii="仿宋" w:eastAsia="仿宋" w:hAnsi="仿宋" w:cs="宋体" w:hint="eastAsia"/>
          <w:kern w:val="0"/>
          <w:sz w:val="24"/>
          <w:szCs w:val="24"/>
        </w:rPr>
        <w:t>五</w:t>
      </w:r>
      <w:r w:rsidRPr="00570E80">
        <w:rPr>
          <w:rFonts w:ascii="仿宋" w:eastAsia="仿宋" w:hAnsi="仿宋" w:cs="宋体" w:hint="eastAsia"/>
          <w:kern w:val="0"/>
          <w:sz w:val="24"/>
          <w:szCs w:val="24"/>
        </w:rPr>
        <w:t>年的年度对日。每份基金份额在开放持有期的开放日可以办理赎回及转换转出业务。</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四、基金的投资目标</w:t>
      </w:r>
      <w:bookmarkEnd w:id="58"/>
    </w:p>
    <w:p w:rsidR="00E45E2B" w:rsidRDefault="00E45E2B" w:rsidP="00E45E2B">
      <w:pPr>
        <w:autoSpaceDE w:val="0"/>
        <w:autoSpaceDN w:val="0"/>
        <w:adjustRightInd w:val="0"/>
        <w:spacing w:line="360" w:lineRule="auto"/>
        <w:ind w:firstLineChars="177" w:firstLine="425"/>
        <w:contextualSpacing/>
        <w:jc w:val="left"/>
        <w:rPr>
          <w:rFonts w:ascii="仿宋" w:eastAsia="仿宋" w:hAnsi="仿宋" w:cs="宋体"/>
          <w:kern w:val="0"/>
          <w:sz w:val="24"/>
        </w:rPr>
      </w:pPr>
      <w:r>
        <w:rPr>
          <w:rFonts w:ascii="仿宋" w:eastAsia="仿宋" w:hAnsi="仿宋" w:cs="宋体" w:hint="eastAsia"/>
          <w:kern w:val="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五、基金存续期限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不定期</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w:t>
      </w:r>
      <w:r>
        <w:rPr>
          <w:rFonts w:ascii="仿宋" w:eastAsia="仿宋" w:hAnsi="仿宋" w:cs="宋体"/>
          <w:b/>
          <w:bCs/>
          <w:kern w:val="0"/>
          <w:sz w:val="24"/>
          <w:szCs w:val="24"/>
        </w:rPr>
        <w:t>、基金份额类别设置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59" w:name="OLE_LINK17"/>
      <w:r>
        <w:rPr>
          <w:rFonts w:ascii="仿宋" w:eastAsia="仿宋" w:hAnsi="仿宋" w:cs="宋体"/>
          <w:kern w:val="0"/>
          <w:sz w:val="24"/>
          <w:szCs w:val="24"/>
        </w:rPr>
        <w:t>在不违反法律法规</w:t>
      </w:r>
      <w:r>
        <w:rPr>
          <w:rFonts w:ascii="仿宋" w:eastAsia="仿宋" w:hAnsi="仿宋" w:cs="宋体" w:hint="eastAsia"/>
          <w:kern w:val="0"/>
          <w:sz w:val="24"/>
          <w:szCs w:val="24"/>
        </w:rPr>
        <w:t>规定</w:t>
      </w:r>
      <w:r>
        <w:rPr>
          <w:rFonts w:ascii="仿宋" w:eastAsia="仿宋" w:hAnsi="仿宋" w:cs="宋体"/>
          <w:kern w:val="0"/>
          <w:sz w:val="24"/>
          <w:szCs w:val="24"/>
        </w:rPr>
        <w:t>、基金合同的约定以及对基金份额持有人利益无实质性不利影响的情况下，</w:t>
      </w:r>
      <w:r>
        <w:rPr>
          <w:rFonts w:ascii="仿宋" w:eastAsia="仿宋" w:hAnsi="仿宋" w:cs="宋体" w:hint="eastAsia"/>
          <w:kern w:val="0"/>
          <w:sz w:val="24"/>
          <w:szCs w:val="24"/>
        </w:rPr>
        <w:t>经与基金托管人就清算交收、核算估值、系统支持等方面协商一致，基金管理人在履行适当程序后</w:t>
      </w:r>
      <w:r>
        <w:rPr>
          <w:rFonts w:ascii="仿宋" w:eastAsia="仿宋" w:hAnsi="仿宋" w:cs="宋体"/>
          <w:kern w:val="0"/>
          <w:sz w:val="24"/>
          <w:szCs w:val="24"/>
        </w:rPr>
        <w:t>可增加、减少或调整基金份额类别设置、对基金份额分类办法及规则进行调整并在调整实施之日前依照《信息披露办法》的有关规定在</w:t>
      </w:r>
      <w:r>
        <w:rPr>
          <w:rFonts w:ascii="仿宋" w:eastAsia="仿宋" w:hAnsi="仿宋" w:cs="宋体" w:hint="eastAsia"/>
          <w:kern w:val="0"/>
          <w:sz w:val="24"/>
          <w:szCs w:val="24"/>
        </w:rPr>
        <w:t>规定</w:t>
      </w:r>
      <w:r>
        <w:rPr>
          <w:rFonts w:ascii="仿宋" w:eastAsia="仿宋" w:hAnsi="仿宋" w:cs="宋体"/>
          <w:kern w:val="0"/>
          <w:sz w:val="24"/>
          <w:szCs w:val="24"/>
        </w:rPr>
        <w:t>媒介上公告，不需要召开基金份额持有人大会。</w:t>
      </w:r>
      <w:bookmarkEnd w:id="5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60" w:name="_Toc459291241"/>
      <w:bookmarkStart w:id="61" w:name="_Toc377998619"/>
      <w:bookmarkStart w:id="62" w:name="_Toc169163864"/>
      <w:r w:rsidRPr="004F6C89">
        <w:rPr>
          <w:rFonts w:eastAsia="仿宋" w:hint="eastAsia"/>
          <w:sz w:val="30"/>
          <w:szCs w:val="30"/>
          <w:lang w:val="zh-CN"/>
        </w:rPr>
        <w:t>第四部分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w:t>
      </w:r>
      <w:bookmarkEnd w:id="60"/>
      <w:r w:rsidRPr="004F6C89">
        <w:rPr>
          <w:rFonts w:eastAsia="仿宋" w:hint="eastAsia"/>
          <w:sz w:val="30"/>
          <w:szCs w:val="30"/>
          <w:lang w:val="zh-CN"/>
        </w:rPr>
        <w:t>历史沿革</w:t>
      </w:r>
      <w:bookmarkEnd w:id="61"/>
      <w:bookmarkEnd w:id="62"/>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AF382F">
        <w:rPr>
          <w:rFonts w:ascii="仿宋" w:eastAsia="仿宋" w:hAnsi="仿宋" w:cs="宋体" w:hint="eastAsia"/>
          <w:kern w:val="0"/>
          <w:sz w:val="24"/>
          <w:szCs w:val="24"/>
        </w:rPr>
        <w:t>东方红</w:t>
      </w:r>
      <w:r>
        <w:rPr>
          <w:rFonts w:ascii="仿宋" w:eastAsia="仿宋" w:hAnsi="仿宋" w:cs="宋体" w:hint="eastAsia"/>
          <w:kern w:val="0"/>
          <w:sz w:val="24"/>
          <w:szCs w:val="24"/>
        </w:rPr>
        <w:t>恒阳五</w:t>
      </w:r>
      <w:r w:rsidRPr="00AF382F">
        <w:rPr>
          <w:rFonts w:ascii="仿宋" w:eastAsia="仿宋" w:hAnsi="仿宋" w:cs="宋体" w:hint="eastAsia"/>
          <w:kern w:val="0"/>
          <w:sz w:val="24"/>
          <w:szCs w:val="24"/>
        </w:rPr>
        <w:t>年持有期混合型证券投资基金</w:t>
      </w:r>
      <w:r w:rsidRPr="004D402B">
        <w:rPr>
          <w:rFonts w:ascii="仿宋" w:eastAsia="仿宋" w:hAnsi="仿宋" w:cs="宋体" w:hint="eastAsia"/>
          <w:bCs/>
          <w:color w:val="000000"/>
          <w:kern w:val="0"/>
          <w:sz w:val="24"/>
          <w:szCs w:val="24"/>
        </w:rPr>
        <w:t>由东方红</w:t>
      </w:r>
      <w:r>
        <w:rPr>
          <w:rFonts w:ascii="仿宋" w:eastAsia="仿宋" w:hAnsi="仿宋" w:cs="宋体" w:hint="eastAsia"/>
          <w:bCs/>
          <w:color w:val="000000"/>
          <w:kern w:val="0"/>
          <w:sz w:val="24"/>
          <w:szCs w:val="24"/>
        </w:rPr>
        <w:t>恒阳五</w:t>
      </w:r>
      <w:r w:rsidRPr="004D402B">
        <w:rPr>
          <w:rFonts w:ascii="仿宋" w:eastAsia="仿宋" w:hAnsi="仿宋" w:cs="宋体" w:hint="eastAsia"/>
          <w:bCs/>
          <w:color w:val="000000"/>
          <w:kern w:val="0"/>
          <w:sz w:val="24"/>
          <w:szCs w:val="24"/>
        </w:rPr>
        <w:t>年定期开放混合型证券投资基金转型而来。</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经中国证监会《关于准予</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注册的批复》（证监许可【</w:t>
      </w:r>
      <w:r>
        <w:rPr>
          <w:rFonts w:ascii="仿宋" w:eastAsia="仿宋" w:hAnsi="仿宋" w:cs="宋体"/>
          <w:bCs/>
          <w:color w:val="000000"/>
          <w:kern w:val="0"/>
          <w:sz w:val="24"/>
          <w:szCs w:val="24"/>
        </w:rPr>
        <w:t>2019</w:t>
      </w:r>
      <w:r w:rsidRPr="004D402B">
        <w:rPr>
          <w:rFonts w:ascii="仿宋" w:eastAsia="仿宋" w:hAnsi="仿宋" w:cs="宋体" w:hint="eastAsia"/>
          <w:bCs/>
          <w:color w:val="000000"/>
          <w:kern w:val="0"/>
          <w:sz w:val="24"/>
          <w:szCs w:val="24"/>
        </w:rPr>
        <w:t>】</w:t>
      </w:r>
      <w:r>
        <w:rPr>
          <w:rFonts w:ascii="仿宋" w:eastAsia="仿宋" w:hAnsi="仿宋" w:cs="宋体"/>
          <w:bCs/>
          <w:color w:val="000000"/>
          <w:kern w:val="0"/>
          <w:sz w:val="24"/>
          <w:szCs w:val="24"/>
        </w:rPr>
        <w:t>2125</w:t>
      </w:r>
      <w:r w:rsidRPr="004D402B">
        <w:rPr>
          <w:rFonts w:ascii="仿宋" w:eastAsia="仿宋" w:hAnsi="仿宋" w:cs="宋体" w:hint="eastAsia"/>
          <w:bCs/>
          <w:color w:val="000000"/>
          <w:kern w:val="0"/>
          <w:sz w:val="24"/>
          <w:szCs w:val="24"/>
        </w:rPr>
        <w:t>号）注册募集，基金管理人为上海东方证券资产管理有限公司，基金托管人为</w:t>
      </w:r>
      <w:r>
        <w:rPr>
          <w:rFonts w:ascii="仿宋" w:eastAsia="仿宋" w:hAnsi="仿宋" w:cs="宋体" w:hint="eastAsia"/>
          <w:bCs/>
          <w:color w:val="000000"/>
          <w:kern w:val="0"/>
          <w:sz w:val="24"/>
          <w:szCs w:val="24"/>
        </w:rPr>
        <w:t>招商银行股份有限公司</w:t>
      </w:r>
      <w:r w:rsidRPr="004D402B">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023EDC">
        <w:rPr>
          <w:rFonts w:ascii="仿宋" w:eastAsia="仿宋" w:hAnsi="仿宋" w:cs="宋体" w:hint="eastAsia"/>
          <w:bCs/>
          <w:color w:val="000000"/>
          <w:kern w:val="0"/>
          <w:sz w:val="24"/>
          <w:szCs w:val="24"/>
        </w:rPr>
        <w:t>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7</w:t>
      </w:r>
      <w:r w:rsidRPr="00AF382F">
        <w:rPr>
          <w:rFonts w:ascii="仿宋" w:eastAsia="仿宋" w:hAnsi="仿宋" w:cs="宋体" w:hint="eastAsia"/>
          <w:bCs/>
          <w:color w:val="000000"/>
          <w:kern w:val="0"/>
          <w:sz w:val="24"/>
          <w:szCs w:val="24"/>
        </w:rPr>
        <w:t>日</w:t>
      </w:r>
      <w:r w:rsidRPr="00023EDC">
        <w:rPr>
          <w:rFonts w:ascii="仿宋" w:eastAsia="仿宋" w:hAnsi="仿宋" w:cs="宋体" w:hint="eastAsia"/>
          <w:bCs/>
          <w:color w:val="000000"/>
          <w:kern w:val="0"/>
          <w:sz w:val="24"/>
          <w:szCs w:val="24"/>
        </w:rPr>
        <w:t>进行公开募集</w:t>
      </w:r>
      <w:r>
        <w:rPr>
          <w:rFonts w:ascii="仿宋" w:eastAsia="仿宋" w:hAnsi="仿宋" w:cs="宋体" w:hint="eastAsia"/>
          <w:bCs/>
          <w:color w:val="000000"/>
          <w:kern w:val="0"/>
          <w:sz w:val="24"/>
          <w:szCs w:val="24"/>
        </w:rPr>
        <w:t>，并于当日结束募集</w:t>
      </w:r>
      <w:r w:rsidRPr="00023EDC">
        <w:rPr>
          <w:rFonts w:ascii="仿宋" w:eastAsia="仿宋" w:hAnsi="仿宋" w:cs="宋体" w:hint="eastAsia"/>
          <w:bCs/>
          <w:color w:val="000000"/>
          <w:kern w:val="0"/>
          <w:sz w:val="24"/>
          <w:szCs w:val="24"/>
        </w:rPr>
        <w:t>，募集结束后基金管理人向中国证监会办理备案手续。经中国证监会书面确认</w:t>
      </w:r>
      <w:r>
        <w:rPr>
          <w:rFonts w:ascii="仿宋" w:eastAsia="仿宋" w:hAnsi="仿宋" w:cs="宋体" w:hint="eastAsia"/>
          <w:bCs/>
          <w:color w:val="000000"/>
          <w:kern w:val="0"/>
          <w:sz w:val="24"/>
          <w:szCs w:val="24"/>
        </w:rPr>
        <w:t>，</w:t>
      </w:r>
      <w:r w:rsidRPr="00AF382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AF382F">
        <w:rPr>
          <w:rFonts w:ascii="仿宋" w:eastAsia="仿宋" w:hAnsi="仿宋" w:cs="宋体" w:hint="eastAsia"/>
          <w:bCs/>
          <w:color w:val="000000"/>
          <w:kern w:val="0"/>
          <w:sz w:val="24"/>
          <w:szCs w:val="24"/>
        </w:rPr>
        <w:t>年定期开放混合型证券投资基金基金合同》于</w:t>
      </w:r>
      <w:r w:rsidRPr="00AF382F">
        <w:rPr>
          <w:rFonts w:ascii="仿宋" w:eastAsia="仿宋" w:hAnsi="仿宋" w:cs="宋体"/>
          <w:bCs/>
          <w:color w:val="000000"/>
          <w:kern w:val="0"/>
          <w:sz w:val="24"/>
          <w:szCs w:val="24"/>
        </w:rPr>
        <w:t>20</w:t>
      </w:r>
      <w:r>
        <w:rPr>
          <w:rFonts w:ascii="仿宋" w:eastAsia="仿宋" w:hAnsi="仿宋" w:cs="宋体"/>
          <w:bCs/>
          <w:color w:val="000000"/>
          <w:kern w:val="0"/>
          <w:sz w:val="24"/>
          <w:szCs w:val="24"/>
        </w:rPr>
        <w:t>20</w:t>
      </w:r>
      <w:r w:rsidRPr="00AF382F">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2</w:t>
      </w:r>
      <w:r w:rsidRPr="00AF382F">
        <w:rPr>
          <w:rFonts w:ascii="仿宋" w:eastAsia="仿宋" w:hAnsi="仿宋" w:cs="宋体" w:hint="eastAsia"/>
          <w:bCs/>
          <w:color w:val="000000"/>
          <w:kern w:val="0"/>
          <w:sz w:val="24"/>
          <w:szCs w:val="24"/>
        </w:rPr>
        <w:t>月</w:t>
      </w:r>
      <w:r>
        <w:rPr>
          <w:rFonts w:ascii="仿宋" w:eastAsia="仿宋" w:hAnsi="仿宋" w:cs="宋体"/>
          <w:bCs/>
          <w:color w:val="000000"/>
          <w:kern w:val="0"/>
          <w:sz w:val="24"/>
          <w:szCs w:val="24"/>
        </w:rPr>
        <w:t>13</w:t>
      </w:r>
      <w:r w:rsidRPr="00AF382F">
        <w:rPr>
          <w:rFonts w:ascii="仿宋" w:eastAsia="仿宋" w:hAnsi="仿宋" w:cs="宋体" w:hint="eastAsia"/>
          <w:bCs/>
          <w:color w:val="000000"/>
          <w:kern w:val="0"/>
          <w:sz w:val="24"/>
          <w:szCs w:val="24"/>
        </w:rPr>
        <w:t>日生效。</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已</w:t>
      </w:r>
      <w:r w:rsidRPr="00456AEF">
        <w:rPr>
          <w:rFonts w:ascii="仿宋" w:eastAsia="仿宋" w:hAnsi="仿宋" w:cs="宋体" w:hint="eastAsia"/>
          <w:bCs/>
          <w:color w:val="000000"/>
          <w:kern w:val="0"/>
          <w:sz w:val="24"/>
          <w:szCs w:val="24"/>
        </w:rPr>
        <w:t>经中国证监会20XX年X月X日《关于准予东方红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年定期开放混合型证券投资基金变更注册的批复》（证监许可[20XX]XX号文）</w:t>
      </w:r>
      <w:r>
        <w:rPr>
          <w:rFonts w:ascii="仿宋" w:eastAsia="仿宋" w:hAnsi="仿宋" w:cs="宋体" w:hint="eastAsia"/>
          <w:bCs/>
          <w:color w:val="000000"/>
          <w:kern w:val="0"/>
          <w:sz w:val="24"/>
          <w:szCs w:val="24"/>
        </w:rPr>
        <w:t>准予</w:t>
      </w:r>
      <w:r w:rsidRPr="00456AEF">
        <w:rPr>
          <w:rFonts w:ascii="仿宋" w:eastAsia="仿宋" w:hAnsi="仿宋" w:cs="宋体" w:hint="eastAsia"/>
          <w:bCs/>
          <w:color w:val="000000"/>
          <w:kern w:val="0"/>
          <w:sz w:val="24"/>
          <w:szCs w:val="24"/>
        </w:rPr>
        <w:t>变更注册</w:t>
      </w:r>
      <w:r>
        <w:rPr>
          <w:rFonts w:ascii="仿宋" w:eastAsia="仿宋" w:hAnsi="仿宋" w:cs="宋体" w:hint="eastAsia"/>
          <w:bCs/>
          <w:color w:val="000000"/>
          <w:kern w:val="0"/>
          <w:sz w:val="24"/>
          <w:szCs w:val="24"/>
        </w:rPr>
        <w:t>为</w:t>
      </w:r>
      <w:r w:rsidRPr="00456AEF">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456AEF">
        <w:rPr>
          <w:rFonts w:ascii="仿宋" w:eastAsia="仿宋" w:hAnsi="仿宋" w:cs="宋体" w:hint="eastAsia"/>
          <w:bCs/>
          <w:color w:val="000000"/>
          <w:kern w:val="0"/>
          <w:sz w:val="24"/>
          <w:szCs w:val="24"/>
        </w:rPr>
        <w:t>年持有期混合型证券投资基金。</w:t>
      </w:r>
    </w:p>
    <w:p w:rsidR="00E45E2B" w:rsidRPr="004D40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年</w:t>
      </w:r>
      <w:r>
        <w:rPr>
          <w:rFonts w:ascii="仿宋" w:eastAsia="仿宋" w:hAnsi="仿宋" w:cs="宋体"/>
          <w:bCs/>
          <w:color w:val="000000"/>
          <w:kern w:val="0"/>
          <w:sz w:val="24"/>
          <w:szCs w:val="24"/>
        </w:rPr>
        <w:t>XX</w:t>
      </w:r>
      <w:r w:rsidRPr="004D402B">
        <w:rPr>
          <w:rFonts w:ascii="仿宋" w:eastAsia="仿宋" w:hAnsi="仿宋" w:cs="宋体" w:hint="eastAsia"/>
          <w:bCs/>
          <w:color w:val="000000"/>
          <w:kern w:val="0"/>
          <w:sz w:val="24"/>
          <w:szCs w:val="24"/>
        </w:rPr>
        <w:t>月</w:t>
      </w:r>
      <w:r>
        <w:rPr>
          <w:rFonts w:ascii="仿宋" w:eastAsia="仿宋" w:hAnsi="仿宋" w:cs="宋体" w:hint="eastAsia"/>
          <w:bCs/>
          <w:color w:val="000000"/>
          <w:kern w:val="0"/>
          <w:sz w:val="24"/>
          <w:szCs w:val="24"/>
        </w:rPr>
        <w:t>X</w:t>
      </w:r>
      <w:r>
        <w:rPr>
          <w:rFonts w:ascii="仿宋" w:eastAsia="仿宋" w:hAnsi="仿宋" w:cs="宋体"/>
          <w:bCs/>
          <w:color w:val="000000"/>
          <w:kern w:val="0"/>
          <w:sz w:val="24"/>
          <w:szCs w:val="24"/>
        </w:rPr>
        <w:t>X</w:t>
      </w:r>
      <w:r w:rsidRPr="004D402B">
        <w:rPr>
          <w:rFonts w:ascii="仿宋" w:eastAsia="仿宋" w:hAnsi="仿宋" w:cs="宋体" w:hint="eastAsia"/>
          <w:bCs/>
          <w:color w:val="000000"/>
          <w:kern w:val="0"/>
          <w:sz w:val="24"/>
          <w:szCs w:val="24"/>
        </w:rPr>
        <w:t>日</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以</w:t>
      </w:r>
      <w:r>
        <w:rPr>
          <w:rFonts w:ascii="仿宋" w:eastAsia="仿宋" w:hAnsi="仿宋" w:cs="宋体" w:hint="eastAsia"/>
          <w:bCs/>
          <w:color w:val="000000"/>
          <w:kern w:val="0"/>
          <w:sz w:val="24"/>
          <w:szCs w:val="24"/>
        </w:rPr>
        <w:t>通讯</w:t>
      </w:r>
      <w:r w:rsidRPr="004D402B">
        <w:rPr>
          <w:rFonts w:ascii="仿宋" w:eastAsia="仿宋" w:hAnsi="仿宋" w:cs="宋体" w:hint="eastAsia"/>
          <w:bCs/>
          <w:color w:val="000000"/>
          <w:kern w:val="0"/>
          <w:sz w:val="24"/>
          <w:szCs w:val="24"/>
        </w:rPr>
        <w:t>方式召开基金份额持有人大会，会议审议通过了《关于</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4D402B">
        <w:rPr>
          <w:rFonts w:ascii="仿宋" w:eastAsia="仿宋" w:hAnsi="仿宋" w:cs="宋体" w:hint="eastAsia"/>
          <w:bCs/>
          <w:color w:val="000000"/>
          <w:kern w:val="0"/>
          <w:sz w:val="24"/>
          <w:szCs w:val="24"/>
        </w:rPr>
        <w:t>转型</w:t>
      </w:r>
      <w:r w:rsidRPr="00E3274D">
        <w:rPr>
          <w:rFonts w:ascii="仿宋" w:eastAsia="仿宋" w:hAnsi="仿宋" w:cs="宋体" w:hint="eastAsia"/>
          <w:bCs/>
          <w:color w:val="000000"/>
          <w:kern w:val="0"/>
          <w:sz w:val="24"/>
          <w:szCs w:val="24"/>
        </w:rPr>
        <w:t>及修改基金合同有关事项</w:t>
      </w:r>
      <w:r w:rsidRPr="004D402B">
        <w:rPr>
          <w:rFonts w:ascii="仿宋" w:eastAsia="仿宋" w:hAnsi="仿宋" w:cs="宋体" w:hint="eastAsia"/>
          <w:bCs/>
          <w:color w:val="000000"/>
          <w:kern w:val="0"/>
          <w:sz w:val="24"/>
          <w:szCs w:val="24"/>
        </w:rPr>
        <w:t>的议案》，内容包括</w:t>
      </w:r>
      <w:r w:rsidRPr="006E6F8C">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6E6F8C">
        <w:rPr>
          <w:rFonts w:ascii="仿宋" w:eastAsia="仿宋" w:hAnsi="仿宋" w:cs="宋体" w:hint="eastAsia"/>
          <w:bCs/>
          <w:color w:val="000000"/>
          <w:kern w:val="0"/>
          <w:sz w:val="24"/>
          <w:szCs w:val="24"/>
        </w:rPr>
        <w:t>年定期开放混合型证券投资基金</w:t>
      </w:r>
      <w:r w:rsidRPr="00AF382F">
        <w:rPr>
          <w:rFonts w:ascii="仿宋" w:eastAsia="仿宋" w:hAnsi="仿宋" w:cs="宋体" w:hint="eastAsia"/>
          <w:bCs/>
          <w:color w:val="000000"/>
          <w:kern w:val="0"/>
          <w:sz w:val="24"/>
          <w:szCs w:val="24"/>
        </w:rPr>
        <w:t>修改运作方式、终止上市、</w:t>
      </w:r>
      <w:r>
        <w:rPr>
          <w:rFonts w:ascii="仿宋" w:eastAsia="仿宋" w:hAnsi="仿宋" w:cs="宋体" w:hint="eastAsia"/>
          <w:bCs/>
          <w:color w:val="000000"/>
          <w:kern w:val="0"/>
          <w:sz w:val="24"/>
          <w:szCs w:val="24"/>
        </w:rPr>
        <w:t>修改</w:t>
      </w:r>
      <w:r w:rsidRPr="00AF382F">
        <w:rPr>
          <w:rFonts w:ascii="仿宋" w:eastAsia="仿宋" w:hAnsi="仿宋" w:cs="宋体" w:hint="eastAsia"/>
          <w:bCs/>
          <w:color w:val="000000"/>
          <w:kern w:val="0"/>
          <w:sz w:val="24"/>
          <w:szCs w:val="24"/>
        </w:rPr>
        <w:t>投资范围、投资策略、投资组合比例、投资限制及修订基金合同等</w:t>
      </w:r>
      <w:r>
        <w:rPr>
          <w:rFonts w:ascii="仿宋" w:eastAsia="仿宋" w:hAnsi="仿宋" w:cs="宋体" w:hint="eastAsia"/>
          <w:bCs/>
          <w:color w:val="000000"/>
          <w:kern w:val="0"/>
          <w:sz w:val="24"/>
          <w:szCs w:val="24"/>
        </w:rPr>
        <w:t>，</w:t>
      </w:r>
      <w:r w:rsidRPr="00A64CDB">
        <w:rPr>
          <w:rFonts w:ascii="仿宋" w:eastAsia="仿宋" w:hAnsi="仿宋" w:cs="宋体" w:hint="eastAsia"/>
          <w:bCs/>
          <w:color w:val="000000"/>
          <w:kern w:val="0"/>
          <w:sz w:val="24"/>
          <w:szCs w:val="24"/>
        </w:rPr>
        <w:t>并同意将变更注册后基金更名为“东方红</w:t>
      </w:r>
      <w:r>
        <w:rPr>
          <w:rFonts w:ascii="仿宋" w:eastAsia="仿宋" w:hAnsi="仿宋" w:cs="宋体" w:hint="eastAsia"/>
          <w:bCs/>
          <w:color w:val="000000"/>
          <w:kern w:val="0"/>
          <w:sz w:val="24"/>
          <w:szCs w:val="24"/>
        </w:rPr>
        <w:t>恒阳五</w:t>
      </w:r>
      <w:r w:rsidRPr="00A64CDB">
        <w:rPr>
          <w:rFonts w:ascii="仿宋" w:eastAsia="仿宋" w:hAnsi="仿宋" w:cs="宋体" w:hint="eastAsia"/>
          <w:bCs/>
          <w:color w:val="000000"/>
          <w:kern w:val="0"/>
          <w:sz w:val="24"/>
          <w:szCs w:val="24"/>
        </w:rPr>
        <w:t>年持有期混合型证券投资基金”，</w:t>
      </w:r>
      <w:r w:rsidRPr="00AF382F">
        <w:rPr>
          <w:rFonts w:ascii="仿宋" w:eastAsia="仿宋" w:hAnsi="仿宋" w:cs="宋体" w:hint="eastAsia"/>
          <w:bCs/>
          <w:color w:val="000000"/>
          <w:kern w:val="0"/>
          <w:sz w:val="24"/>
          <w:szCs w:val="24"/>
        </w:rPr>
        <w:t>上述基金份额持有人大会决议自表决通过之日起生效。</w:t>
      </w:r>
      <w:r w:rsidRPr="004D402B">
        <w:rPr>
          <w:rFonts w:ascii="仿宋" w:eastAsia="仿宋" w:hAnsi="仿宋" w:cs="宋体" w:hint="eastAsia"/>
          <w:bCs/>
          <w:color w:val="000000"/>
          <w:kern w:val="0"/>
          <w:sz w:val="24"/>
          <w:szCs w:val="24"/>
        </w:rPr>
        <w:t>依据基金份额持有人大会决议，基金管理人向</w:t>
      </w:r>
      <w:r>
        <w:rPr>
          <w:rFonts w:ascii="仿宋" w:eastAsia="仿宋" w:hAnsi="仿宋" w:cs="宋体" w:hint="eastAsia"/>
          <w:bCs/>
          <w:color w:val="000000"/>
          <w:kern w:val="0"/>
          <w:sz w:val="24"/>
          <w:szCs w:val="24"/>
        </w:rPr>
        <w:t>深圳</w:t>
      </w:r>
      <w:r w:rsidRPr="004D402B">
        <w:rPr>
          <w:rFonts w:ascii="仿宋" w:eastAsia="仿宋" w:hAnsi="仿宋" w:cs="宋体" w:hint="eastAsia"/>
          <w:bCs/>
          <w:color w:val="000000"/>
          <w:kern w:val="0"/>
          <w:sz w:val="24"/>
          <w:szCs w:val="24"/>
        </w:rPr>
        <w:t>证券交易所申请基金终止上市，并正式进行转型。</w:t>
      </w:r>
    </w:p>
    <w:p w:rsidR="00E45E2B"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4D402B">
        <w:rPr>
          <w:rFonts w:ascii="仿宋" w:eastAsia="仿宋" w:hAnsi="仿宋" w:cs="宋体" w:hint="eastAsia"/>
          <w:bCs/>
          <w:color w:val="000000"/>
          <w:kern w:val="0"/>
          <w:sz w:val="24"/>
          <w:szCs w:val="24"/>
        </w:rPr>
        <w:t>自 202</w:t>
      </w:r>
      <w:r>
        <w:rPr>
          <w:rFonts w:ascii="仿宋" w:eastAsia="仿宋" w:hAnsi="仿宋" w:cs="宋体" w:hint="eastAsia"/>
          <w:bCs/>
          <w:color w:val="000000"/>
          <w:kern w:val="0"/>
          <w:sz w:val="24"/>
          <w:szCs w:val="24"/>
        </w:rPr>
        <w:t>x</w:t>
      </w:r>
      <w:r w:rsidRPr="004D402B">
        <w:rPr>
          <w:rFonts w:ascii="仿宋" w:eastAsia="仿宋" w:hAnsi="仿宋" w:cs="宋体" w:hint="eastAsia"/>
          <w:bCs/>
          <w:color w:val="000000"/>
          <w:kern w:val="0"/>
          <w:sz w:val="24"/>
          <w:szCs w:val="24"/>
        </w:rPr>
        <w:t xml:space="preserve"> 年 xx 月 xx </w:t>
      </w:r>
      <w:r>
        <w:rPr>
          <w:rFonts w:ascii="仿宋" w:eastAsia="仿宋" w:hAnsi="仿宋" w:cs="宋体" w:hint="eastAsia"/>
          <w:bCs/>
          <w:color w:val="000000"/>
          <w:kern w:val="0"/>
          <w:sz w:val="24"/>
          <w:szCs w:val="24"/>
        </w:rPr>
        <w:t>日起，</w:t>
      </w:r>
      <w:r w:rsidRPr="00AF382F">
        <w:rPr>
          <w:rFonts w:ascii="仿宋" w:eastAsia="仿宋" w:hAnsi="仿宋" w:cs="宋体" w:hint="eastAsia"/>
          <w:bCs/>
          <w:color w:val="000000"/>
          <w:kern w:val="0"/>
          <w:sz w:val="24"/>
          <w:szCs w:val="24"/>
        </w:rPr>
        <w:t>《</w:t>
      </w:r>
      <w:r w:rsidRPr="009D6B31">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9D6B31">
        <w:rPr>
          <w:rFonts w:ascii="仿宋" w:eastAsia="仿宋" w:hAnsi="仿宋" w:cs="宋体" w:hint="eastAsia"/>
          <w:bCs/>
          <w:color w:val="000000"/>
          <w:kern w:val="0"/>
          <w:sz w:val="24"/>
          <w:szCs w:val="24"/>
        </w:rPr>
        <w:t>年持有期混合型证券投资基金基金合同</w:t>
      </w:r>
      <w:r w:rsidRPr="004D402B">
        <w:rPr>
          <w:rFonts w:ascii="仿宋" w:eastAsia="仿宋" w:hAnsi="仿宋" w:cs="宋体" w:hint="eastAsia"/>
          <w:bCs/>
          <w:color w:val="000000"/>
          <w:kern w:val="0"/>
          <w:sz w:val="24"/>
          <w:szCs w:val="24"/>
        </w:rPr>
        <w:t>》生效，《</w:t>
      </w:r>
      <w:r w:rsidRPr="00504A9D">
        <w:rPr>
          <w:rFonts w:ascii="仿宋" w:eastAsia="仿宋" w:hAnsi="仿宋" w:cs="宋体" w:hint="eastAsia"/>
          <w:bCs/>
          <w:color w:val="000000"/>
          <w:kern w:val="0"/>
          <w:sz w:val="24"/>
          <w:szCs w:val="24"/>
        </w:rPr>
        <w:t>东方红</w:t>
      </w:r>
      <w:r>
        <w:rPr>
          <w:rFonts w:ascii="仿宋" w:eastAsia="仿宋" w:hAnsi="仿宋" w:cs="宋体" w:hint="eastAsia"/>
          <w:bCs/>
          <w:color w:val="000000"/>
          <w:kern w:val="0"/>
          <w:sz w:val="24"/>
          <w:szCs w:val="24"/>
        </w:rPr>
        <w:t>恒阳五</w:t>
      </w:r>
      <w:r w:rsidRPr="00504A9D">
        <w:rPr>
          <w:rFonts w:ascii="仿宋" w:eastAsia="仿宋" w:hAnsi="仿宋" w:cs="宋体" w:hint="eastAsia"/>
          <w:bCs/>
          <w:color w:val="000000"/>
          <w:kern w:val="0"/>
          <w:sz w:val="24"/>
          <w:szCs w:val="24"/>
        </w:rPr>
        <w:t>年定期开放混合型证券投资基金</w:t>
      </w:r>
      <w:r>
        <w:rPr>
          <w:rFonts w:ascii="仿宋" w:eastAsia="仿宋" w:hAnsi="仿宋" w:cs="宋体" w:hint="eastAsia"/>
          <w:bCs/>
          <w:color w:val="000000"/>
          <w:kern w:val="0"/>
          <w:sz w:val="24"/>
          <w:szCs w:val="24"/>
        </w:rPr>
        <w:t>基金合同</w:t>
      </w:r>
      <w:r w:rsidRPr="004D402B">
        <w:rPr>
          <w:rFonts w:ascii="仿宋" w:eastAsia="仿宋" w:hAnsi="仿宋" w:cs="宋体" w:hint="eastAsia"/>
          <w:bCs/>
          <w:color w:val="000000"/>
          <w:kern w:val="0"/>
          <w:sz w:val="24"/>
          <w:szCs w:val="24"/>
        </w:rPr>
        <w:t>》同日起失效。</w:t>
      </w:r>
    </w:p>
    <w:p w:rsidR="00E45E2B" w:rsidRPr="009D6B31" w:rsidRDefault="00E45E2B" w:rsidP="00E45E2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p>
    <w:p w:rsidR="00E45E2B" w:rsidRPr="004F6C89" w:rsidRDefault="00E45E2B" w:rsidP="004F6C89">
      <w:pPr>
        <w:pStyle w:val="1"/>
        <w:spacing w:line="360" w:lineRule="auto"/>
        <w:jc w:val="center"/>
        <w:rPr>
          <w:rFonts w:eastAsia="仿宋"/>
          <w:sz w:val="30"/>
          <w:szCs w:val="30"/>
          <w:lang w:val="zh-CN"/>
        </w:rPr>
      </w:pPr>
      <w:bookmarkStart w:id="63" w:name="_Toc377998620"/>
      <w:bookmarkStart w:id="64" w:name="_Toc169163865"/>
      <w:r w:rsidRPr="004F6C89">
        <w:rPr>
          <w:rFonts w:eastAsia="仿宋" w:hint="eastAsia"/>
          <w:sz w:val="30"/>
          <w:szCs w:val="30"/>
          <w:lang w:val="zh-CN"/>
        </w:rPr>
        <w:t>第五部分</w:t>
      </w:r>
      <w:r w:rsidRPr="004F6C89">
        <w:rPr>
          <w:rFonts w:eastAsia="仿宋" w:hint="eastAsia"/>
          <w:sz w:val="30"/>
          <w:szCs w:val="30"/>
          <w:lang w:val="zh-CN"/>
        </w:rPr>
        <w:t xml:space="preserve"> </w:t>
      </w:r>
      <w:r w:rsidRPr="004F6C89">
        <w:rPr>
          <w:rFonts w:eastAsia="仿宋"/>
          <w:sz w:val="30"/>
          <w:szCs w:val="30"/>
          <w:lang w:val="zh-CN"/>
        </w:rPr>
        <w:t xml:space="preserve">   </w:t>
      </w:r>
      <w:r w:rsidRPr="004F6C89">
        <w:rPr>
          <w:rFonts w:eastAsia="仿宋" w:hint="eastAsia"/>
          <w:sz w:val="30"/>
          <w:szCs w:val="30"/>
          <w:lang w:val="zh-CN"/>
        </w:rPr>
        <w:t>基金的存续</w:t>
      </w:r>
      <w:bookmarkEnd w:id="63"/>
      <w:bookmarkEnd w:id="64"/>
    </w:p>
    <w:p w:rsidR="00E45E2B" w:rsidRPr="005C4689"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C4689">
        <w:rPr>
          <w:rFonts w:ascii="仿宋" w:eastAsia="仿宋" w:hAnsi="仿宋" w:cs="宋体" w:hint="eastAsia"/>
          <w:kern w:val="0"/>
          <w:sz w:val="24"/>
          <w:szCs w:val="24"/>
        </w:rPr>
        <w:t>一、基金份额的变更登记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83034">
        <w:rPr>
          <w:rFonts w:ascii="仿宋" w:eastAsia="仿宋" w:hAnsi="仿宋" w:cs="宋体" w:hint="eastAsia"/>
          <w:kern w:val="0"/>
          <w:sz w:val="24"/>
          <w:szCs w:val="24"/>
        </w:rPr>
        <w:t>根据原《东方红恒阳五年定期开放混合型证券投资基金基金合同》失效当日登记在册的基金份额持有</w:t>
      </w:r>
      <w:r w:rsidRPr="009F2A90">
        <w:rPr>
          <w:rFonts w:ascii="仿宋" w:eastAsia="仿宋" w:hAnsi="仿宋" w:cs="宋体" w:hint="eastAsia"/>
          <w:kern w:val="0"/>
          <w:sz w:val="24"/>
          <w:szCs w:val="24"/>
        </w:rPr>
        <w:t>人名册，进行基金份额更名及必要的信息变更。</w:t>
      </w:r>
    </w:p>
    <w:p w:rsidR="00E45E2B" w:rsidRPr="004D5E5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二、基金存续期内的基金份额持有人数量和资产规模</w:t>
      </w:r>
    </w:p>
    <w:p w:rsidR="00E45E2B" w:rsidRPr="004D40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402B">
        <w:rPr>
          <w:rFonts w:ascii="仿宋" w:eastAsia="仿宋" w:hAnsi="仿宋" w:cs="宋体" w:hint="eastAsia"/>
          <w:kern w:val="0"/>
          <w:sz w:val="24"/>
          <w:szCs w:val="24"/>
        </w:rPr>
        <w:t>《基金合同》生效后，连续20个工作日出现基金份额持有人数量不满 200 人或者基金资产净值低于5000万元情形的，基金管理人应当在定期报告中予以披露；连续</w:t>
      </w:r>
      <w:r>
        <w:rPr>
          <w:rFonts w:ascii="仿宋" w:eastAsia="仿宋" w:hAnsi="仿宋" w:cs="宋体" w:hint="eastAsia"/>
          <w:kern w:val="0"/>
          <w:sz w:val="24"/>
          <w:szCs w:val="24"/>
        </w:rPr>
        <w:t>60</w:t>
      </w:r>
      <w:r w:rsidRPr="004D402B">
        <w:rPr>
          <w:rFonts w:ascii="仿宋" w:eastAsia="仿宋" w:hAnsi="仿宋" w:cs="宋体" w:hint="eastAsia"/>
          <w:kern w:val="0"/>
          <w:sz w:val="24"/>
          <w:szCs w:val="24"/>
        </w:rPr>
        <w:t>个工作日出现前述情形的，基金管理人应当在</w:t>
      </w:r>
      <w:r>
        <w:rPr>
          <w:rFonts w:ascii="仿宋" w:eastAsia="仿宋" w:hAnsi="仿宋" w:cs="宋体" w:hint="eastAsia"/>
          <w:kern w:val="0"/>
          <w:sz w:val="24"/>
          <w:szCs w:val="24"/>
        </w:rPr>
        <w:t>10</w:t>
      </w:r>
      <w:r w:rsidRPr="004D402B">
        <w:rPr>
          <w:rFonts w:ascii="仿宋" w:eastAsia="仿宋" w:hAnsi="仿宋" w:cs="宋体" w:hint="eastAsia"/>
          <w:kern w:val="0"/>
          <w:sz w:val="24"/>
          <w:szCs w:val="24"/>
        </w:rPr>
        <w:t>个工作日内向中国证监会报告并提出解决方案，如持续运作、转换运作方式、与其他基金合并或者终止基金合同等，并在</w:t>
      </w:r>
      <w:r>
        <w:rPr>
          <w:rFonts w:ascii="仿宋" w:eastAsia="仿宋" w:hAnsi="仿宋" w:cs="宋体" w:hint="eastAsia"/>
          <w:kern w:val="0"/>
          <w:sz w:val="24"/>
          <w:szCs w:val="24"/>
        </w:rPr>
        <w:t>6</w:t>
      </w:r>
      <w:r w:rsidRPr="004D402B">
        <w:rPr>
          <w:rFonts w:ascii="仿宋" w:eastAsia="仿宋" w:hAnsi="仿宋" w:cs="宋体" w:hint="eastAsia"/>
          <w:kern w:val="0"/>
          <w:sz w:val="24"/>
          <w:szCs w:val="24"/>
        </w:rPr>
        <w:t>个月内召集基金份额持有人大会。</w:t>
      </w:r>
    </w:p>
    <w:p w:rsidR="00E45E2B" w:rsidRDefault="00E45E2B" w:rsidP="00E45E2B">
      <w:pPr>
        <w:autoSpaceDE w:val="0"/>
        <w:autoSpaceDN w:val="0"/>
        <w:adjustRightInd w:val="0"/>
        <w:spacing w:line="360" w:lineRule="auto"/>
        <w:ind w:firstLine="420"/>
        <w:jc w:val="left"/>
        <w:rPr>
          <w:kern w:val="0"/>
        </w:rPr>
      </w:pPr>
      <w:r w:rsidRPr="004D402B">
        <w:rPr>
          <w:rFonts w:ascii="仿宋" w:eastAsia="仿宋" w:hAnsi="仿宋" w:cs="宋体" w:hint="eastAsia"/>
          <w:kern w:val="0"/>
          <w:sz w:val="24"/>
          <w:szCs w:val="24"/>
        </w:rPr>
        <w:t>法律法规或中国证监会另有规定时，从其规定。</w:t>
      </w:r>
    </w:p>
    <w:p w:rsidR="00E45E2B" w:rsidRDefault="00E45E2B" w:rsidP="004F6C89">
      <w:pPr>
        <w:pStyle w:val="1"/>
        <w:spacing w:line="360" w:lineRule="auto"/>
        <w:jc w:val="center"/>
        <w:rPr>
          <w:kern w:val="0"/>
        </w:rPr>
      </w:pPr>
      <w:bookmarkStart w:id="65" w:name="_Toc10463"/>
      <w:bookmarkStart w:id="66" w:name="_Toc98560352"/>
      <w:bookmarkStart w:id="67" w:name="_Toc48649707"/>
      <w:bookmarkStart w:id="68" w:name="_Toc123051452"/>
      <w:bookmarkStart w:id="69" w:name="_Toc7920"/>
      <w:bookmarkStart w:id="70" w:name="_Toc1427"/>
      <w:bookmarkStart w:id="71" w:name="_Toc4003"/>
      <w:bookmarkStart w:id="72" w:name="_Toc17244"/>
      <w:bookmarkStart w:id="73" w:name="_Toc610"/>
      <w:bookmarkStart w:id="74" w:name="_Toc1270"/>
      <w:bookmarkStart w:id="75" w:name="_Toc23822"/>
      <w:bookmarkStart w:id="76" w:name="_Toc20733"/>
      <w:bookmarkStart w:id="77" w:name="_Toc141703886"/>
      <w:bookmarkStart w:id="78" w:name="_Toc79392606"/>
      <w:bookmarkStart w:id="79" w:name="_Toc123112234"/>
      <w:bookmarkStart w:id="80" w:name="_Toc123102453"/>
      <w:bookmarkStart w:id="81" w:name="_Toc11081"/>
      <w:bookmarkStart w:id="82" w:name="_Toc139991736"/>
      <w:bookmarkStart w:id="83" w:name="_Toc23261"/>
      <w:r>
        <w:rPr>
          <w:rFonts w:ascii="仿宋" w:hAnsi="仿宋" w:cs="宋体"/>
          <w:b w:val="0"/>
          <w:bCs w:val="0"/>
          <w:kern w:val="0"/>
          <w:sz w:val="24"/>
          <w:szCs w:val="24"/>
        </w:rPr>
        <w:br w:type="page"/>
      </w:r>
      <w:bookmarkStart w:id="84" w:name="_Toc377998621"/>
      <w:bookmarkStart w:id="85" w:name="_Toc459291243"/>
      <w:bookmarkStart w:id="86" w:name="_Toc169163866"/>
      <w:r w:rsidRPr="004F6C89">
        <w:rPr>
          <w:rFonts w:eastAsia="仿宋" w:hint="eastAsia"/>
          <w:sz w:val="30"/>
          <w:szCs w:val="30"/>
          <w:lang w:val="zh-CN"/>
        </w:rPr>
        <w:t>第六部分</w:t>
      </w:r>
      <w:r w:rsidRPr="004F6C89">
        <w:rPr>
          <w:rFonts w:eastAsia="仿宋" w:hint="eastAsia"/>
          <w:sz w:val="30"/>
          <w:szCs w:val="30"/>
          <w:lang w:val="zh-CN"/>
        </w:rPr>
        <w:t xml:space="preserve">    </w:t>
      </w:r>
      <w:bookmarkEnd w:id="84"/>
      <w:r w:rsidRPr="004F6C89">
        <w:rPr>
          <w:rFonts w:eastAsia="仿宋" w:hint="eastAsia"/>
          <w:sz w:val="30"/>
          <w:szCs w:val="30"/>
          <w:lang w:val="zh-CN"/>
        </w:rPr>
        <w:t>基金份额的</w:t>
      </w:r>
      <w:bookmarkStart w:id="87" w:name="_Toc459291244"/>
      <w:bookmarkEnd w:id="85"/>
      <w:r w:rsidRPr="004F6C89">
        <w:rPr>
          <w:rFonts w:eastAsia="仿宋" w:hint="eastAsia"/>
          <w:sz w:val="30"/>
          <w:szCs w:val="30"/>
          <w:lang w:val="zh-CN"/>
        </w:rPr>
        <w:t>申购、赎回与转换</w:t>
      </w:r>
      <w:bookmarkEnd w:id="86"/>
      <w:bookmarkEnd w:id="87"/>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一、</w:t>
      </w:r>
      <w:r w:rsidRPr="00732D44">
        <w:rPr>
          <w:rFonts w:ascii="仿宋" w:eastAsia="仿宋" w:hAnsi="仿宋" w:cs="宋体" w:hint="eastAsia"/>
          <w:b/>
          <w:bCs/>
          <w:kern w:val="0"/>
          <w:sz w:val="24"/>
          <w:szCs w:val="24"/>
        </w:rPr>
        <w:t>基金的运作方式</w:t>
      </w:r>
    </w:p>
    <w:p w:rsidR="00E45E2B" w:rsidRPr="00BF30D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F30DA">
        <w:rPr>
          <w:rFonts w:ascii="仿宋" w:eastAsia="仿宋" w:hAnsi="仿宋" w:cs="宋体" w:hint="eastAsia"/>
          <w:kern w:val="0"/>
          <w:sz w:val="24"/>
          <w:szCs w:val="24"/>
        </w:rPr>
        <w:t>契约型开放式。</w:t>
      </w:r>
    </w:p>
    <w:p w:rsidR="00E45E2B" w:rsidRDefault="00E45E2B" w:rsidP="00E45E2B">
      <w:pPr>
        <w:autoSpaceDE w:val="0"/>
        <w:autoSpaceDN w:val="0"/>
        <w:adjustRightInd w:val="0"/>
        <w:spacing w:line="360" w:lineRule="auto"/>
        <w:ind w:firstLine="420"/>
        <w:contextualSpacing/>
        <w:jc w:val="left"/>
        <w:rPr>
          <w:rFonts w:ascii="仿宋" w:eastAsia="仿宋" w:hAnsi="仿宋" w:cs="宋体"/>
          <w:kern w:val="0"/>
          <w:sz w:val="24"/>
          <w:szCs w:val="24"/>
        </w:rPr>
      </w:pPr>
      <w:r>
        <w:rPr>
          <w:rFonts w:ascii="仿宋" w:eastAsia="仿宋" w:hAnsi="仿宋" w:cs="宋体" w:hint="eastAsia"/>
          <w:kern w:val="0"/>
          <w:sz w:val="24"/>
          <w:szCs w:val="24"/>
        </w:rPr>
        <w:t>除基金合同另有约定外，</w:t>
      </w:r>
      <w:r w:rsidRPr="008748D9">
        <w:rPr>
          <w:rFonts w:ascii="仿宋" w:eastAsia="仿宋" w:hAnsi="仿宋" w:cs="宋体" w:hint="eastAsia"/>
          <w:kern w:val="0"/>
          <w:sz w:val="24"/>
          <w:szCs w:val="24"/>
        </w:rPr>
        <w:t>本基金对每份基金份额设置</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年锁定持有期。锁定持有期指</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对基金合同生效前已经持有的份额而言，下同）、基金份额申购申请日（对基金合同生效后申购份额而言，下同）或基金份额转换转入申请日（对基金合同生效后转换转入份额而言，下同）起（即锁定持有期起始日），至</w:t>
      </w:r>
      <w:r>
        <w:rPr>
          <w:rFonts w:ascii="仿宋" w:eastAsia="仿宋" w:hAnsi="仿宋" w:cs="宋体" w:hint="eastAsia"/>
          <w:kern w:val="0"/>
          <w:sz w:val="24"/>
          <w:szCs w:val="24"/>
        </w:rPr>
        <w:t>基金份额登记日</w:t>
      </w:r>
      <w:r w:rsidRPr="008748D9">
        <w:rPr>
          <w:rFonts w:ascii="仿宋" w:eastAsia="仿宋" w:hAnsi="仿宋" w:cs="宋体" w:hint="eastAsia"/>
          <w:kern w:val="0"/>
          <w:sz w:val="24"/>
          <w:szCs w:val="24"/>
        </w:rPr>
        <w:t>、基金份额申购申请日或基金份额转换转入申请日次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年的年度对日的前一日（即锁定持有期到期日）之间的区间。每份基金份额的锁定持有期结束后即进入开放持有期，开放持有期首日为锁定持有期起始日次</w:t>
      </w:r>
      <w:r>
        <w:rPr>
          <w:rFonts w:ascii="仿宋" w:eastAsia="仿宋" w:hAnsi="仿宋" w:cs="宋体" w:hint="eastAsia"/>
          <w:kern w:val="0"/>
          <w:sz w:val="24"/>
          <w:szCs w:val="24"/>
        </w:rPr>
        <w:t>五</w:t>
      </w:r>
      <w:r w:rsidRPr="008748D9">
        <w:rPr>
          <w:rFonts w:ascii="仿宋" w:eastAsia="仿宋" w:hAnsi="仿宋" w:cs="宋体" w:hint="eastAsia"/>
          <w:kern w:val="0"/>
          <w:sz w:val="24"/>
          <w:szCs w:val="24"/>
        </w:rPr>
        <w:t>年的年度对日。每份基金份额在开放持有期的开放日可以办理赎回及转换转出业务</w:t>
      </w:r>
      <w:r w:rsidRPr="00F05EBC">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4D5E5D">
        <w:rPr>
          <w:rFonts w:ascii="仿宋" w:eastAsia="仿宋" w:hAnsi="仿宋" w:cs="宋体" w:hint="eastAsia"/>
          <w:b/>
          <w:kern w:val="0"/>
          <w:sz w:val="24"/>
          <w:szCs w:val="24"/>
        </w:rPr>
        <w:t>二</w:t>
      </w:r>
      <w:r>
        <w:rPr>
          <w:rFonts w:ascii="仿宋" w:eastAsia="仿宋" w:hAnsi="仿宋" w:cs="宋体" w:hint="eastAsia"/>
          <w:b/>
          <w:kern w:val="0"/>
          <w:sz w:val="24"/>
          <w:szCs w:val="24"/>
        </w:rPr>
        <w:t>、申购与赎回场所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21B25">
        <w:rPr>
          <w:rFonts w:ascii="仿宋" w:eastAsia="仿宋" w:hAnsi="仿宋" w:cs="宋体" w:hint="eastAsia"/>
          <w:kern w:val="0"/>
          <w:sz w:val="24"/>
          <w:szCs w:val="24"/>
        </w:rPr>
        <w:t>本基金的申购与赎回将通过销售机构进行。具体的销售机构将在基金管理人网站披露的销售机构名录中列明。基金管理人可根据情况变更或增减销售机构，并在基金管理人网站公示。基金投资者应当在销售机构办理基金销售业务的营业场所或按销售机构提供的其他方式办理基金份额的申购与赎回。</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三、</w:t>
      </w:r>
      <w:r>
        <w:rPr>
          <w:rFonts w:ascii="仿宋" w:eastAsia="仿宋" w:hAnsi="仿宋" w:cs="宋体" w:hint="eastAsia"/>
          <w:b/>
          <w:bCs/>
          <w:kern w:val="0"/>
          <w:sz w:val="24"/>
          <w:szCs w:val="24"/>
        </w:rPr>
        <w:t>申购与赎回的开放日及时间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1、开放日及开放时间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投资人在开放日办理基金份额的申购和/或赎回，具体办理时间为上海证券交易所、深圳证券交易所的正常交易日的交易时间，若该交易日为非港股通交易日，</w:t>
      </w:r>
      <w:r w:rsidRPr="00FB512E">
        <w:rPr>
          <w:rFonts w:ascii="仿宋" w:eastAsia="仿宋" w:hAnsi="仿宋" w:cs="宋体" w:hint="eastAsia"/>
          <w:kern w:val="0"/>
          <w:sz w:val="24"/>
          <w:szCs w:val="24"/>
        </w:rPr>
        <w:t>则基金管理人有权决定本基金是否开放。此外，</w:t>
      </w:r>
      <w:r>
        <w:rPr>
          <w:rFonts w:ascii="仿宋" w:eastAsia="仿宋" w:hAnsi="仿宋" w:cs="宋体" w:hint="eastAsia"/>
          <w:kern w:val="0"/>
          <w:sz w:val="24"/>
          <w:szCs w:val="24"/>
        </w:rPr>
        <w:t>基金管理人可根据法律法规、中国证监会的要求或本基金合同的规定公告暂停申购、赎回</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基金合同生效后，</w:t>
      </w:r>
      <w:r w:rsidRPr="000567EB">
        <w:rPr>
          <w:rFonts w:ascii="仿宋" w:eastAsia="仿宋" w:hAnsi="仿宋" w:cs="宋体" w:hint="eastAsia"/>
          <w:kern w:val="0"/>
          <w:sz w:val="24"/>
          <w:szCs w:val="24"/>
        </w:rPr>
        <w:t>若出现新的证券、期货交易市场或证券、期货交易所交易时间变更</w:t>
      </w:r>
      <w:r>
        <w:rPr>
          <w:rFonts w:ascii="仿宋" w:eastAsia="仿宋" w:hAnsi="仿宋" w:cs="宋体" w:hint="eastAsia"/>
          <w:kern w:val="0"/>
          <w:sz w:val="24"/>
          <w:szCs w:val="24"/>
        </w:rPr>
        <w:t>、</w:t>
      </w:r>
      <w:r w:rsidRPr="000567EB">
        <w:rPr>
          <w:rFonts w:ascii="仿宋" w:eastAsia="仿宋" w:hAnsi="仿宋" w:cs="宋体" w:hint="eastAsia"/>
          <w:kern w:val="0"/>
          <w:sz w:val="24"/>
          <w:szCs w:val="24"/>
        </w:rPr>
        <w:t>其他特殊情况或根据业务需要</w:t>
      </w:r>
      <w:r>
        <w:rPr>
          <w:rFonts w:ascii="仿宋" w:eastAsia="仿宋" w:hAnsi="仿宋" w:cs="宋体" w:hint="eastAsia"/>
          <w:kern w:val="0"/>
          <w:sz w:val="24"/>
          <w:szCs w:val="24"/>
        </w:rPr>
        <w:t>，基金管理人将视情况对前述开放日及开放时间进行相应的调整，但应在实施日前依照《信息披露办法》的有关规定在规定媒介上公告。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2、申购、赎回开始日及业务办理时间</w:t>
      </w:r>
    </w:p>
    <w:p w:rsidR="00E45E2B" w:rsidRPr="00796CCA"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基金管理人可根据实际情况依法决定本基金开始办理申购的具体日期，具体业务办理时间在开放申购业务的公告中规定。</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96CCA">
        <w:rPr>
          <w:rFonts w:ascii="仿宋" w:eastAsia="仿宋" w:hAnsi="仿宋" w:cs="宋体" w:hint="eastAsia"/>
          <w:kern w:val="0"/>
          <w:sz w:val="24"/>
          <w:szCs w:val="24"/>
        </w:rPr>
        <w:t>基金管理人有权依法决定本基金开放赎回的时间，具体业务办理时间在开放赎回业务的公告中规定。</w:t>
      </w:r>
      <w:r w:rsidRPr="006C464A">
        <w:rPr>
          <w:rFonts w:ascii="仿宋" w:eastAsia="仿宋" w:hAnsi="仿宋" w:cs="宋体" w:hint="eastAsia"/>
          <w:kern w:val="0"/>
          <w:sz w:val="24"/>
          <w:szCs w:val="24"/>
        </w:rPr>
        <w:t>对于每份基金份额，其锁定持有期结束后即进入开放持有期，</w:t>
      </w:r>
      <w:r w:rsidRPr="00CA05DF">
        <w:rPr>
          <w:rFonts w:ascii="仿宋" w:eastAsia="仿宋" w:hAnsi="仿宋" w:cs="宋体" w:hint="eastAsia"/>
          <w:kern w:val="0"/>
          <w:sz w:val="24"/>
          <w:szCs w:val="24"/>
        </w:rPr>
        <w:t>但在本基金开始办理赎回前，投资者仍无法办理赎回或转换转出业务。在本基金开始办理赎回业务后，且在开放持有期的开放日，投资者可以办理赎回</w:t>
      </w:r>
      <w:r w:rsidRPr="000D2922">
        <w:rPr>
          <w:rFonts w:ascii="仿宋" w:eastAsia="仿宋" w:hAnsi="仿宋" w:cs="宋体" w:hint="eastAsia"/>
          <w:kern w:val="0"/>
          <w:sz w:val="24"/>
          <w:szCs w:val="24"/>
        </w:rPr>
        <w:t>或转换转出</w:t>
      </w:r>
      <w:r w:rsidRPr="00CA05DF">
        <w:rPr>
          <w:rFonts w:ascii="仿宋" w:eastAsia="仿宋" w:hAnsi="仿宋" w:cs="宋体" w:hint="eastAsia"/>
          <w:kern w:val="0"/>
          <w:sz w:val="24"/>
          <w:szCs w:val="24"/>
        </w:rPr>
        <w:t>业务。</w:t>
      </w:r>
      <w:r w:rsidRPr="006C464A">
        <w:rPr>
          <w:rFonts w:ascii="仿宋" w:eastAsia="仿宋" w:hAnsi="仿宋" w:cs="宋体" w:hint="eastAsia"/>
          <w:kern w:val="0"/>
          <w:sz w:val="24"/>
          <w:szCs w:val="24"/>
        </w:rPr>
        <w:t>由红利再投资而来的基金份额不受锁定持有期的限制</w:t>
      </w:r>
      <w:r>
        <w:rPr>
          <w:rFonts w:ascii="仿宋" w:eastAsia="仿宋" w:hAnsi="仿宋" w:cs="宋体" w:hint="eastAsia"/>
          <w:kern w:val="0"/>
          <w:sz w:val="24"/>
          <w:szCs w:val="24"/>
        </w:rPr>
        <w:t>；</w:t>
      </w:r>
      <w:r w:rsidR="00914C9A">
        <w:rPr>
          <w:rFonts w:ascii="仿宋" w:eastAsia="仿宋" w:hAnsi="仿宋" w:cs="宋体" w:hint="eastAsia"/>
          <w:kern w:val="0"/>
          <w:sz w:val="24"/>
          <w:szCs w:val="24"/>
        </w:rPr>
        <w:t>基金转型前</w:t>
      </w:r>
      <w:r>
        <w:rPr>
          <w:rFonts w:ascii="仿宋" w:eastAsia="仿宋" w:hAnsi="仿宋" w:cs="宋体" w:hint="eastAsia"/>
          <w:kern w:val="0"/>
          <w:sz w:val="24"/>
          <w:szCs w:val="24"/>
        </w:rPr>
        <w:t>基金份额持有人通过二级市场买入的基金份额在转型后，亦不</w:t>
      </w:r>
      <w:r w:rsidRPr="006C464A">
        <w:rPr>
          <w:rFonts w:ascii="仿宋" w:eastAsia="仿宋" w:hAnsi="仿宋" w:cs="宋体" w:hint="eastAsia"/>
          <w:kern w:val="0"/>
          <w:sz w:val="24"/>
          <w:szCs w:val="24"/>
        </w:rPr>
        <w:t>受</w:t>
      </w:r>
      <w:r>
        <w:rPr>
          <w:rFonts w:ascii="仿宋" w:eastAsia="仿宋" w:hAnsi="仿宋" w:cs="宋体" w:hint="eastAsia"/>
          <w:kern w:val="0"/>
          <w:sz w:val="24"/>
          <w:szCs w:val="24"/>
        </w:rPr>
        <w:t>锁定持有期的限制。</w:t>
      </w:r>
    </w:p>
    <w:p w:rsidR="00E45E2B" w:rsidRPr="00FB512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在确定申购开始与赎回开始时间后，基金管理人应在申购、赎回开放日前依照《信息披露办法》的有关规定在规定媒介上公告申购与赎回的开始时间。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B512E">
        <w:rPr>
          <w:rFonts w:ascii="仿宋" w:eastAsia="仿宋" w:hAnsi="仿宋" w:cs="宋体" w:hint="eastAsia"/>
          <w:kern w:val="0"/>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四、</w:t>
      </w:r>
      <w:r>
        <w:rPr>
          <w:rFonts w:ascii="仿宋" w:eastAsia="仿宋" w:hAnsi="仿宋" w:cs="宋体" w:hint="eastAsia"/>
          <w:b/>
          <w:bCs/>
          <w:kern w:val="0"/>
          <w:sz w:val="24"/>
          <w:szCs w:val="24"/>
        </w:rPr>
        <w:t>申购与赎回的原则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、“未知价”原则，即申购、赎回价格以申请当日收市后计算的基金份额净值为基准进行计算；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、“金额申购、份额赎回”原则，即申购以金额申请，赎回以份额申请；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、当日的申购与赎回申请可以在基金管理人规定的时间以内撤销；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w:t>
      </w:r>
      <w:r w:rsidRPr="004D3B8E">
        <w:rPr>
          <w:rFonts w:ascii="仿宋" w:eastAsia="仿宋" w:hAnsi="仿宋" w:cs="宋体" w:hint="eastAsia"/>
          <w:kern w:val="0"/>
          <w:sz w:val="24"/>
          <w:szCs w:val="24"/>
        </w:rPr>
        <w:t>基金份额持有人赎回时，</w:t>
      </w:r>
      <w:r w:rsidRPr="00DD62DF">
        <w:rPr>
          <w:rFonts w:ascii="仿宋" w:eastAsia="仿宋" w:hAnsi="仿宋" w:cs="宋体" w:hint="eastAsia"/>
          <w:kern w:val="0"/>
          <w:sz w:val="24"/>
          <w:szCs w:val="24"/>
        </w:rPr>
        <w:t>除指定赎回外，</w:t>
      </w:r>
      <w:r w:rsidRPr="008A0740">
        <w:rPr>
          <w:rFonts w:ascii="仿宋" w:eastAsia="仿宋" w:hAnsi="仿宋" w:cs="宋体" w:hint="eastAsia"/>
          <w:kern w:val="0"/>
          <w:sz w:val="24"/>
          <w:szCs w:val="24"/>
        </w:rPr>
        <w:t>基金管理人对可赎回份额按“先进先出”进行处理</w:t>
      </w:r>
      <w:r>
        <w:rPr>
          <w:rFonts w:ascii="仿宋" w:eastAsia="仿宋" w:hAnsi="仿宋" w:cs="宋体" w:hint="eastAsia"/>
          <w:kern w:val="0"/>
          <w:sz w:val="24"/>
          <w:szCs w:val="24"/>
        </w:rPr>
        <w:t>，即按照基金份额持有人份额登记日期的先后次序进行顺序赎回，并确定所适用的赎回费率；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w:t>
      </w:r>
      <w:r w:rsidRPr="00DD62DF">
        <w:rPr>
          <w:rFonts w:ascii="仿宋" w:eastAsia="仿宋" w:hAnsi="仿宋" w:cs="宋体" w:hint="eastAsia"/>
          <w:kern w:val="0"/>
          <w:sz w:val="24"/>
          <w:szCs w:val="24"/>
        </w:rPr>
        <w:t>办理申购、赎回业务时，应当遵循基金份额持有人利益优先原则，确保投资者的合法权益不受损害并得到公平对待。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DD62DF">
        <w:rPr>
          <w:rFonts w:ascii="仿宋" w:eastAsia="仿宋" w:hAnsi="仿宋" w:cs="宋体" w:hint="eastAsia"/>
          <w:kern w:val="0"/>
          <w:sz w:val="24"/>
          <w:szCs w:val="24"/>
        </w:rPr>
        <w:t>基金管理人可在法律法规允许且对基金份额持有人无实质性不利影响的前提下，对上述原则进行调整。基金管理人必须在新规则开始实施前按照《信息披露办法》的有关规定在规定媒介公告。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五</w:t>
      </w:r>
      <w:r>
        <w:rPr>
          <w:rFonts w:ascii="仿宋" w:eastAsia="仿宋" w:hAnsi="仿宋" w:cs="宋体" w:hint="eastAsia"/>
          <w:b/>
          <w:bCs/>
          <w:kern w:val="0"/>
          <w:sz w:val="24"/>
          <w:szCs w:val="24"/>
        </w:rPr>
        <w:t>、申购与赎回的程序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1、申购和赎回的申请方式</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投资人必须根据销售机构规定的程序，在开放日的具体业务办理时间内提出申购或赎回的申请。</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2、申购和赎回的款项支付</w:t>
      </w:r>
    </w:p>
    <w:p w:rsidR="00E45E2B" w:rsidRPr="0010704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56ED0">
        <w:rPr>
          <w:rFonts w:ascii="仿宋" w:eastAsia="仿宋" w:hAnsi="仿宋" w:hint="eastAsia"/>
          <w:sz w:val="24"/>
          <w:szCs w:val="24"/>
        </w:rPr>
        <w:t>投资人申购基金份额时，必须全额交付申购款项</w:t>
      </w:r>
      <w:r w:rsidRPr="0010704E">
        <w:rPr>
          <w:rFonts w:ascii="仿宋" w:eastAsia="仿宋" w:hAnsi="仿宋" w:cs="宋体" w:hint="eastAsia"/>
          <w:kern w:val="0"/>
          <w:sz w:val="24"/>
          <w:szCs w:val="24"/>
        </w:rPr>
        <w:t>，投资人全额交付申购款项，申购成立；基金份额登记机构确认基金份额时，申购生效。</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397C20">
        <w:rPr>
          <w:rFonts w:ascii="仿宋" w:eastAsia="仿宋" w:hAnsi="仿宋" w:cs="宋体" w:hint="eastAsia"/>
          <w:kern w:val="0"/>
          <w:sz w:val="24"/>
          <w:szCs w:val="24"/>
        </w:rPr>
        <w:t>基金份额持有人递交赎回申请时，其在销售机构必须有足够的基金份额余额。</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基金份额持有人递交赎回申请，赎回成立；基金份额登记机构确认赎回时，赎回生效。投资者赎回申请生效后，基金管理人将在T＋</w:t>
      </w:r>
      <w:r>
        <w:rPr>
          <w:rFonts w:ascii="仿宋" w:eastAsia="仿宋" w:hAnsi="仿宋" w:cs="宋体"/>
          <w:kern w:val="0"/>
          <w:sz w:val="24"/>
          <w:szCs w:val="24"/>
        </w:rPr>
        <w:t>7</w:t>
      </w:r>
      <w:r w:rsidRPr="004D5E5D">
        <w:rPr>
          <w:rFonts w:ascii="仿宋" w:eastAsia="仿宋" w:hAnsi="仿宋" w:cs="宋体" w:hint="eastAsia"/>
          <w:kern w:val="0"/>
          <w:sz w:val="24"/>
          <w:szCs w:val="24"/>
        </w:rPr>
        <w:t>日（包括该日）内支付赎回款项。遇证券</w:t>
      </w:r>
      <w:r>
        <w:rPr>
          <w:rFonts w:ascii="仿宋" w:eastAsia="仿宋" w:hAnsi="仿宋" w:cs="宋体" w:hint="eastAsia"/>
          <w:kern w:val="0"/>
          <w:sz w:val="24"/>
          <w:szCs w:val="24"/>
        </w:rPr>
        <w:t>、期货</w:t>
      </w:r>
      <w:r w:rsidRPr="004D5E5D">
        <w:rPr>
          <w:rFonts w:ascii="仿宋" w:eastAsia="仿宋" w:hAnsi="仿宋" w:cs="宋体" w:hint="eastAsia"/>
          <w:kern w:val="0"/>
          <w:sz w:val="24"/>
          <w:szCs w:val="24"/>
        </w:rPr>
        <w:t>交易所或交易市场数据传输延迟、通讯系统故障、银行数据交换系统故障</w:t>
      </w:r>
      <w:r w:rsidRPr="00700AA2">
        <w:rPr>
          <w:rFonts w:ascii="仿宋" w:eastAsia="仿宋" w:hAnsi="仿宋" w:cs="宋体" w:hint="eastAsia"/>
          <w:kern w:val="0"/>
          <w:sz w:val="24"/>
          <w:szCs w:val="24"/>
        </w:rPr>
        <w:t>、港股通交易系统或港股通资金交收规则限制</w:t>
      </w:r>
      <w:r w:rsidRPr="004D5E5D">
        <w:rPr>
          <w:rFonts w:ascii="仿宋" w:eastAsia="仿宋" w:hAnsi="仿宋" w:cs="宋体" w:hint="eastAsia"/>
          <w:kern w:val="0"/>
          <w:sz w:val="24"/>
          <w:szCs w:val="24"/>
        </w:rPr>
        <w:t>或其他非基金管理人及基金托管人所能控制的因素影响业务处理流程时，赎回款项顺延至</w:t>
      </w:r>
      <w:r w:rsidRPr="00700AA2">
        <w:rPr>
          <w:rFonts w:ascii="仿宋" w:eastAsia="仿宋" w:hAnsi="仿宋" w:cs="宋体" w:hint="eastAsia"/>
          <w:kern w:val="0"/>
          <w:sz w:val="24"/>
          <w:szCs w:val="24"/>
        </w:rPr>
        <w:t>前述因素消失后的</w:t>
      </w:r>
      <w:r w:rsidRPr="004D5E5D">
        <w:rPr>
          <w:rFonts w:ascii="仿宋" w:eastAsia="仿宋" w:hAnsi="仿宋" w:cs="宋体" w:hint="eastAsia"/>
          <w:kern w:val="0"/>
          <w:sz w:val="24"/>
          <w:szCs w:val="24"/>
        </w:rPr>
        <w:t>下一个工作日划出。在发生巨额赎回或本基金合同载明的其他暂停赎回或延缓支付赎回款项的情形时，款项的支付办法参照本基金合同有关条款处理。</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3、申购和赎回申请的确认</w:t>
      </w:r>
    </w:p>
    <w:p w:rsidR="00E45E2B" w:rsidRPr="004D5E5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基金管理人应以交易时间结束前受理有效申购和赎回申请的当天作为申购或赎回申请日（T日），在正常情况下，本基金登记机构在T+</w:t>
      </w:r>
      <w:r>
        <w:rPr>
          <w:rFonts w:ascii="仿宋" w:eastAsia="仿宋" w:hAnsi="仿宋" w:cs="宋体"/>
          <w:kern w:val="0"/>
          <w:sz w:val="24"/>
          <w:szCs w:val="24"/>
        </w:rPr>
        <w:t>1</w:t>
      </w:r>
      <w:r w:rsidRPr="004D5E5D">
        <w:rPr>
          <w:rFonts w:ascii="仿宋" w:eastAsia="仿宋" w:hAnsi="仿宋" w:cs="宋体" w:hint="eastAsia"/>
          <w:kern w:val="0"/>
          <w:sz w:val="24"/>
          <w:szCs w:val="24"/>
        </w:rPr>
        <w:t>日内对该交易的有效性进行确认。T日提交的有效申请，投资人应在T+</w:t>
      </w:r>
      <w:r>
        <w:rPr>
          <w:rFonts w:ascii="仿宋" w:eastAsia="仿宋" w:hAnsi="仿宋" w:cs="宋体"/>
          <w:kern w:val="0"/>
          <w:sz w:val="24"/>
          <w:szCs w:val="24"/>
        </w:rPr>
        <w:t>2</w:t>
      </w:r>
      <w:r w:rsidRPr="004D5E5D">
        <w:rPr>
          <w:rFonts w:ascii="仿宋" w:eastAsia="仿宋" w:hAnsi="仿宋" w:cs="宋体" w:hint="eastAsia"/>
          <w:kern w:val="0"/>
          <w:sz w:val="24"/>
          <w:szCs w:val="24"/>
        </w:rPr>
        <w:t>日后（包括该日）及时到销售网点柜台或以销售机构规定的其他方式查询申请的确认情况。否则，如因申请未得到基金登记机构的确认而造成的损失，由投资者自行承担。若申购不成立或无效，则申购款项退还给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D5E5D">
        <w:rPr>
          <w:rFonts w:ascii="仿宋" w:eastAsia="仿宋" w:hAnsi="仿宋" w:cs="宋体" w:hint="eastAsia"/>
          <w:kern w:val="0"/>
          <w:sz w:val="24"/>
          <w:szCs w:val="24"/>
        </w:rPr>
        <w:t>基金销售机构对申购、赎回申请的受理并不代表该申请一定成功，而仅代表销售机构确实接收到申购、赎回申请。申购、赎回的确认以基金登记机构的确认结果为准。对于申请的确认情况，投资人应及时查询并妥善行使合法权利，否则，由此产生的投资人任何损失由投资人自行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00AA2">
        <w:rPr>
          <w:rFonts w:ascii="仿宋" w:eastAsia="仿宋" w:hAnsi="仿宋" w:cs="宋体" w:hint="eastAsia"/>
          <w:kern w:val="0"/>
          <w:sz w:val="24"/>
          <w:szCs w:val="24"/>
        </w:rPr>
        <w:t>基金管理人可在法律法规允许且对基金份额持有人无实质性不利影响的前提下，对上述业务办理时间进行调整。基金管理人必须在新规则开始实施前按照《信息披露办法》的有关规定在规定媒介公告。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4D5E5D">
        <w:rPr>
          <w:rFonts w:ascii="仿宋" w:eastAsia="仿宋" w:hAnsi="仿宋" w:cs="宋体" w:hint="eastAsia"/>
          <w:b/>
          <w:kern w:val="0"/>
          <w:sz w:val="24"/>
          <w:szCs w:val="24"/>
        </w:rPr>
        <w:t>六</w:t>
      </w:r>
      <w:r w:rsidRPr="004D5E5D">
        <w:rPr>
          <w:rFonts w:ascii="仿宋" w:eastAsia="仿宋" w:hAnsi="仿宋" w:cs="宋体" w:hint="eastAsia"/>
          <w:b/>
          <w:bCs/>
          <w:kern w:val="0"/>
          <w:sz w:val="24"/>
          <w:szCs w:val="24"/>
        </w:rPr>
        <w:t>、</w:t>
      </w:r>
      <w:r>
        <w:rPr>
          <w:rFonts w:ascii="仿宋" w:eastAsia="仿宋" w:hAnsi="仿宋" w:cs="宋体" w:hint="eastAsia"/>
          <w:b/>
          <w:bCs/>
          <w:kern w:val="0"/>
          <w:sz w:val="24"/>
          <w:szCs w:val="24"/>
        </w:rPr>
        <w:t>申购与赎回的数额限制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、基金管理人可以规定投资人首次申购和每次申购的最低金额以及每次赎回的最低份额。具体规定请参见《招募说明书》或相关公告；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、基金管理人可以规定投资人每个交易账户的最低基金份额余额。具体规定请参见《招募说明书》或相关公告；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、基金管理人可以规定单个投资人累计持有的基金份额上限。具体规定请参见《招募说明书》或相关公告；</w:t>
      </w:r>
    </w:p>
    <w:p w:rsidR="00E45E2B" w:rsidRPr="008B622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8B622D">
        <w:rPr>
          <w:rFonts w:ascii="仿宋" w:eastAsia="仿宋" w:hAnsi="仿宋" w:cs="宋体" w:hint="eastAsia"/>
          <w:kern w:val="0"/>
          <w:sz w:val="24"/>
          <w:szCs w:val="24"/>
        </w:rPr>
        <w:t>基金管理人可以规定单一投资者单日或单笔申购金额上限，具体规定请参见招募说明书或相关公告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B622D">
        <w:rPr>
          <w:rFonts w:ascii="仿宋" w:eastAsia="仿宋" w:hAnsi="仿宋" w:cs="宋体" w:hint="eastAsia"/>
          <w:kern w:val="0"/>
          <w:sz w:val="24"/>
          <w:szCs w:val="24"/>
        </w:rPr>
        <w:t>5、基金管理人可以规定本基金的总规模限额、当日申购金额限制和单日净申购比例上限，具体规定请参见招募说明书或相关公告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w:t>
      </w:r>
      <w:r w:rsidRPr="005E24FF">
        <w:rPr>
          <w:rFonts w:ascii="仿宋" w:eastAsia="仿宋" w:hAnsi="仿宋" w:cs="宋体" w:hint="eastAsia"/>
          <w:kern w:val="0"/>
          <w:sz w:val="24"/>
          <w:szCs w:val="24"/>
        </w:rPr>
        <w:t>规模予以控制。具体见基金管理人相关公告</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、基金管理人可在法律法规允许的情况下，调整上述对申购的金额和赎回的份额的数量限制</w:t>
      </w:r>
      <w:r w:rsidRPr="00C348D0">
        <w:rPr>
          <w:rFonts w:ascii="仿宋" w:eastAsia="仿宋" w:hAnsi="仿宋" w:cs="宋体" w:hint="eastAsia"/>
          <w:kern w:val="0"/>
          <w:sz w:val="24"/>
          <w:szCs w:val="24"/>
        </w:rPr>
        <w:t>，或者新增基金规模的控制措施</w:t>
      </w:r>
      <w:r>
        <w:rPr>
          <w:rFonts w:ascii="仿宋" w:eastAsia="仿宋" w:hAnsi="仿宋" w:cs="宋体" w:hint="eastAsia"/>
          <w:kern w:val="0"/>
          <w:sz w:val="24"/>
          <w:szCs w:val="24"/>
        </w:rPr>
        <w:t>。基金管理人应</w:t>
      </w:r>
      <w:r w:rsidRPr="00C348D0">
        <w:rPr>
          <w:rFonts w:ascii="仿宋" w:eastAsia="仿宋" w:hAnsi="仿宋" w:cs="宋体" w:hint="eastAsia"/>
          <w:kern w:val="0"/>
          <w:sz w:val="24"/>
          <w:szCs w:val="24"/>
        </w:rPr>
        <w:t>在调整实施前</w:t>
      </w:r>
      <w:r>
        <w:rPr>
          <w:rFonts w:ascii="仿宋" w:eastAsia="仿宋" w:hAnsi="仿宋" w:cs="宋体" w:hint="eastAsia"/>
          <w:kern w:val="0"/>
          <w:sz w:val="24"/>
          <w:szCs w:val="24"/>
        </w:rPr>
        <w:t>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七、申购和赎回的价格、费用及其用途</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8" w:name="OLE_LINK18"/>
      <w:r>
        <w:rPr>
          <w:rFonts w:ascii="仿宋" w:eastAsia="仿宋" w:hAnsi="仿宋" w:cs="宋体"/>
          <w:kern w:val="0"/>
          <w:sz w:val="24"/>
          <w:szCs w:val="24"/>
        </w:rPr>
        <w:t>1</w:t>
      </w:r>
      <w:r>
        <w:rPr>
          <w:rFonts w:ascii="仿宋" w:eastAsia="仿宋" w:hAnsi="仿宋" w:cs="宋体" w:hint="eastAsia"/>
          <w:kern w:val="0"/>
          <w:sz w:val="24"/>
          <w:szCs w:val="24"/>
        </w:rPr>
        <w:t>、本基金</w:t>
      </w:r>
      <w:r w:rsidRPr="008B622D">
        <w:rPr>
          <w:rFonts w:ascii="仿宋" w:eastAsia="仿宋" w:hAnsi="仿宋" w:cs="宋体" w:hint="eastAsia"/>
          <w:kern w:val="0"/>
          <w:sz w:val="24"/>
          <w:szCs w:val="24"/>
        </w:rPr>
        <w:t>基金</w:t>
      </w:r>
      <w:r>
        <w:rPr>
          <w:rFonts w:ascii="仿宋" w:eastAsia="仿宋" w:hAnsi="仿宋" w:cs="宋体" w:hint="eastAsia"/>
          <w:kern w:val="0"/>
          <w:sz w:val="24"/>
          <w:szCs w:val="24"/>
        </w:rPr>
        <w:t>份额净值的计算，保留到小数点后4位，小数点后第5位四舍五入，由此产生的收益或损失由基金财产享有或承担。</w:t>
      </w:r>
      <w:r>
        <w:rPr>
          <w:rFonts w:ascii="仿宋" w:eastAsia="仿宋" w:hAnsi="仿宋" w:cs="宋体"/>
          <w:kern w:val="0"/>
          <w:sz w:val="24"/>
          <w:szCs w:val="24"/>
        </w:rPr>
        <w:t>T</w:t>
      </w:r>
      <w:r>
        <w:rPr>
          <w:rFonts w:ascii="仿宋" w:eastAsia="仿宋" w:hAnsi="仿宋" w:cs="宋体" w:hint="eastAsia"/>
          <w:kern w:val="0"/>
          <w:sz w:val="24"/>
          <w:szCs w:val="24"/>
        </w:rPr>
        <w:t>日的基金份额净值在当天收市后计算，并在</w:t>
      </w:r>
      <w:r>
        <w:rPr>
          <w:rFonts w:ascii="仿宋" w:eastAsia="仿宋" w:hAnsi="仿宋" w:cs="宋体"/>
          <w:kern w:val="0"/>
          <w:sz w:val="24"/>
          <w:szCs w:val="24"/>
        </w:rPr>
        <w:t>T+1</w:t>
      </w:r>
      <w:r>
        <w:rPr>
          <w:rFonts w:ascii="仿宋" w:eastAsia="仿宋" w:hAnsi="仿宋" w:cs="宋体" w:hint="eastAsia"/>
          <w:kern w:val="0"/>
          <w:sz w:val="24"/>
          <w:szCs w:val="24"/>
        </w:rPr>
        <w:t>日内公告。遇特殊情况，经</w:t>
      </w:r>
      <w:r w:rsidRPr="001C5AD2">
        <w:rPr>
          <w:rFonts w:ascii="仿宋" w:eastAsia="仿宋" w:hAnsi="仿宋" w:cs="宋体" w:hint="eastAsia"/>
          <w:kern w:val="0"/>
          <w:sz w:val="24"/>
          <w:szCs w:val="24"/>
        </w:rPr>
        <w:t>履行适当程序</w:t>
      </w:r>
      <w:r>
        <w:rPr>
          <w:rFonts w:ascii="仿宋" w:eastAsia="仿宋" w:hAnsi="仿宋" w:cs="宋体" w:hint="eastAsia"/>
          <w:kern w:val="0"/>
          <w:sz w:val="24"/>
          <w:szCs w:val="24"/>
        </w:rPr>
        <w:t>，可以适当延迟计算或公告。</w:t>
      </w:r>
      <w:bookmarkEnd w:id="8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申购份额的计算及余额的处理方式：本基金申购份额的计算详见招募说明书。本基金的申购费率由基金管理人决定，并在招募说明书及基金产品资料概要中列示。申购的有效份额为净申购金额除以当日基金份额净值，有效份额单位为份，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赎回金额的计算及处理方式：本基金赎回金额的计算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2位，由此产生的收益或损失由基金财产享有或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 xml:space="preserve">4、本基金的申购费用由投资人承担，不列入基金财产，主要用于本基金的市场推广、销售、登记等各项费用。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kern w:val="0"/>
          <w:sz w:val="24"/>
          <w:szCs w:val="24"/>
        </w:rPr>
        <w:t>赎回费用由赎回基金份额的基金份额持有人承担，</w:t>
      </w:r>
      <w:r>
        <w:rPr>
          <w:rFonts w:ascii="仿宋" w:eastAsia="仿宋" w:hAnsi="仿宋" w:cs="宋体" w:hint="eastAsia"/>
          <w:kern w:val="0"/>
          <w:sz w:val="24"/>
          <w:szCs w:val="24"/>
        </w:rPr>
        <w:t>在基金份额持有人赎回基金份额时收取，赎回费用归入基金财产的比例依照相关法律法规设定，具体见招募说明书的规定</w:t>
      </w:r>
      <w:r>
        <w:rPr>
          <w:rFonts w:ascii="仿宋" w:eastAsia="仿宋" w:hAnsi="仿宋" w:cs="宋体"/>
          <w:kern w:val="0"/>
          <w:sz w:val="24"/>
          <w:szCs w:val="24"/>
        </w:rPr>
        <w:t>，</w:t>
      </w:r>
      <w:r>
        <w:rPr>
          <w:rFonts w:ascii="仿宋" w:eastAsia="仿宋" w:hAnsi="仿宋" w:cs="宋体" w:hint="eastAsia"/>
          <w:kern w:val="0"/>
          <w:sz w:val="24"/>
          <w:szCs w:val="24"/>
        </w:rPr>
        <w:t>未归入</w:t>
      </w:r>
      <w:r w:rsidRPr="001771E5">
        <w:rPr>
          <w:rFonts w:ascii="仿宋" w:eastAsia="仿宋" w:hAnsi="仿宋" w:cs="宋体" w:hint="eastAsia"/>
          <w:kern w:val="0"/>
          <w:sz w:val="24"/>
          <w:szCs w:val="24"/>
        </w:rPr>
        <w:t>基金财产的</w:t>
      </w:r>
      <w:r>
        <w:rPr>
          <w:rFonts w:ascii="仿宋" w:eastAsia="仿宋" w:hAnsi="仿宋" w:cs="宋体" w:hint="eastAsia"/>
          <w:kern w:val="0"/>
          <w:sz w:val="24"/>
          <w:szCs w:val="24"/>
        </w:rPr>
        <w:t>部分</w:t>
      </w:r>
      <w:r>
        <w:rPr>
          <w:rFonts w:ascii="仿宋" w:eastAsia="仿宋" w:hAnsi="仿宋" w:cs="宋体"/>
          <w:kern w:val="0"/>
          <w:sz w:val="24"/>
          <w:szCs w:val="24"/>
        </w:rPr>
        <w:t>用于支付登记费和其他必要的手续费。</w:t>
      </w:r>
      <w:r w:rsidRPr="00154B87">
        <w:rPr>
          <w:rFonts w:ascii="仿宋" w:eastAsia="仿宋" w:hAnsi="仿宋" w:cs="宋体" w:hint="eastAsia"/>
          <w:kern w:val="0"/>
          <w:sz w:val="24"/>
          <w:szCs w:val="24"/>
        </w:rPr>
        <w:t>其中，对持续持有期少于7日的投资者收取不低于1.5%的赎回费，并全额计入基金财产。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kern w:val="0"/>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7、当本基金发生大额申购或赎回情形时，基金管理人可采用摆动定价机制，以确保基金估值的公平性，</w:t>
      </w:r>
      <w:r w:rsidRPr="00915B9B">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摆动定价机制的具体处理原则与操作规范</w:t>
      </w:r>
      <w:r w:rsidRPr="00F41C8F">
        <w:rPr>
          <w:rFonts w:ascii="仿宋" w:eastAsia="仿宋" w:hAnsi="仿宋" w:cs="宋体" w:hint="eastAsia"/>
          <w:kern w:val="0"/>
          <w:sz w:val="24"/>
          <w:szCs w:val="24"/>
        </w:rPr>
        <w:t>遵循相关</w:t>
      </w:r>
      <w:r>
        <w:rPr>
          <w:rFonts w:ascii="仿宋" w:eastAsia="仿宋" w:hAnsi="仿宋" w:cs="宋体" w:hint="eastAsia"/>
          <w:kern w:val="0"/>
          <w:sz w:val="24"/>
          <w:szCs w:val="24"/>
        </w:rPr>
        <w:t>法律法规</w:t>
      </w:r>
      <w:r w:rsidRPr="00F41C8F">
        <w:rPr>
          <w:rFonts w:ascii="仿宋" w:eastAsia="仿宋" w:hAnsi="仿宋" w:cs="宋体" w:hint="eastAsia"/>
          <w:kern w:val="0"/>
          <w:sz w:val="24"/>
          <w:szCs w:val="24"/>
        </w:rPr>
        <w:t>以及监管部门、</w:t>
      </w:r>
      <w:r>
        <w:rPr>
          <w:rFonts w:ascii="仿宋" w:eastAsia="仿宋" w:hAnsi="仿宋" w:cs="宋体" w:hint="eastAsia"/>
          <w:kern w:val="0"/>
          <w:sz w:val="24"/>
          <w:szCs w:val="24"/>
        </w:rPr>
        <w:t>自律组织的规定，具体见基金管理人届时发布的相关公告。</w:t>
      </w:r>
    </w:p>
    <w:p w:rsidR="00E45E2B" w:rsidRDefault="00E45E2B" w:rsidP="00E45E2B">
      <w:pPr>
        <w:shd w:val="clear" w:color="auto" w:fill="FFFFFF"/>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8、基金管理人</w:t>
      </w:r>
      <w:r w:rsidRPr="00DC2360">
        <w:rPr>
          <w:rFonts w:ascii="仿宋" w:eastAsia="仿宋" w:hAnsi="仿宋" w:cs="宋体" w:hint="eastAsia"/>
          <w:kern w:val="0"/>
          <w:sz w:val="24"/>
          <w:szCs w:val="24"/>
        </w:rPr>
        <w:t>及本基金销售机构</w:t>
      </w:r>
      <w:r>
        <w:rPr>
          <w:rFonts w:ascii="仿宋" w:eastAsia="仿宋" w:hAnsi="仿宋" w:cs="宋体" w:hint="eastAsia"/>
          <w:kern w:val="0"/>
          <w:sz w:val="24"/>
          <w:szCs w:val="24"/>
        </w:rPr>
        <w:t>可以在不违反法律法规规定及基金合同约定</w:t>
      </w:r>
      <w:r w:rsidRPr="00F41C8F">
        <w:rPr>
          <w:rFonts w:ascii="仿宋" w:eastAsia="仿宋" w:hAnsi="仿宋" w:cs="宋体" w:hint="eastAsia"/>
          <w:kern w:val="0"/>
          <w:sz w:val="24"/>
          <w:szCs w:val="24"/>
        </w:rPr>
        <w:t>且对基金份额持有人利益无实质性不利影响</w:t>
      </w:r>
      <w:r>
        <w:rPr>
          <w:rFonts w:ascii="仿宋" w:eastAsia="仿宋" w:hAnsi="仿宋" w:cs="宋体" w:hint="eastAsia"/>
          <w:kern w:val="0"/>
          <w:sz w:val="24"/>
          <w:szCs w:val="24"/>
        </w:rPr>
        <w:t>的情形下根据市场情况制定基金促销计划，针对投资人定期或不定期地开展基金促销活动。在基金促销活动期间，按相关监管部门要求履行必要手续后</w:t>
      </w:r>
      <w:r w:rsidRPr="00F41C8F">
        <w:rPr>
          <w:rFonts w:ascii="仿宋" w:eastAsia="仿宋" w:hAnsi="仿宋" w:cs="宋体" w:hint="eastAsia"/>
          <w:kern w:val="0"/>
          <w:sz w:val="24"/>
          <w:szCs w:val="24"/>
        </w:rPr>
        <w:t>（如需）</w:t>
      </w:r>
      <w:r>
        <w:rPr>
          <w:rFonts w:ascii="仿宋" w:eastAsia="仿宋" w:hAnsi="仿宋" w:cs="宋体" w:hint="eastAsia"/>
          <w:kern w:val="0"/>
          <w:sz w:val="24"/>
          <w:szCs w:val="24"/>
        </w:rPr>
        <w:t>，基金管理人</w:t>
      </w:r>
      <w:r w:rsidRPr="00F41C8F">
        <w:rPr>
          <w:rFonts w:ascii="仿宋" w:eastAsia="仿宋" w:hAnsi="仿宋" w:cs="宋体" w:hint="eastAsia"/>
          <w:kern w:val="0"/>
          <w:sz w:val="24"/>
          <w:szCs w:val="24"/>
        </w:rPr>
        <w:t>及</w:t>
      </w:r>
      <w:r>
        <w:rPr>
          <w:rFonts w:ascii="仿宋" w:eastAsia="仿宋" w:hAnsi="仿宋" w:cs="宋体" w:hint="eastAsia"/>
          <w:kern w:val="0"/>
          <w:sz w:val="24"/>
          <w:szCs w:val="24"/>
        </w:rPr>
        <w:t>本基金</w:t>
      </w:r>
      <w:r w:rsidRPr="00F41C8F">
        <w:rPr>
          <w:rFonts w:ascii="仿宋" w:eastAsia="仿宋" w:hAnsi="仿宋" w:cs="宋体" w:hint="eastAsia"/>
          <w:kern w:val="0"/>
          <w:sz w:val="24"/>
          <w:szCs w:val="24"/>
        </w:rPr>
        <w:t>销售机构</w:t>
      </w:r>
      <w:r>
        <w:rPr>
          <w:rFonts w:ascii="仿宋" w:eastAsia="仿宋" w:hAnsi="仿宋" w:cs="宋体" w:hint="eastAsia"/>
          <w:kern w:val="0"/>
          <w:sz w:val="24"/>
          <w:szCs w:val="24"/>
        </w:rPr>
        <w:t>可以适当</w:t>
      </w:r>
      <w:r w:rsidRPr="00F41C8F">
        <w:rPr>
          <w:rFonts w:ascii="仿宋" w:eastAsia="仿宋" w:hAnsi="仿宋" w:cs="宋体" w:hint="eastAsia"/>
          <w:kern w:val="0"/>
          <w:sz w:val="24"/>
          <w:szCs w:val="24"/>
        </w:rPr>
        <w:t>开展本基金</w:t>
      </w:r>
      <w:r w:rsidRPr="0076625F">
        <w:rPr>
          <w:rFonts w:ascii="仿宋" w:eastAsia="仿宋" w:hAnsi="仿宋" w:cs="宋体" w:hint="eastAsia"/>
          <w:kern w:val="0"/>
          <w:sz w:val="24"/>
          <w:szCs w:val="24"/>
        </w:rPr>
        <w:t>销售费率</w:t>
      </w:r>
      <w:r w:rsidRPr="00F41C8F">
        <w:rPr>
          <w:rFonts w:ascii="仿宋" w:eastAsia="仿宋" w:hAnsi="仿宋" w:cs="宋体" w:hint="eastAsia"/>
          <w:kern w:val="0"/>
          <w:sz w:val="24"/>
          <w:szCs w:val="24"/>
        </w:rPr>
        <w:t>的优惠活动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八、拒绝或暂停申购的情形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2515A">
        <w:rPr>
          <w:rFonts w:ascii="仿宋" w:eastAsia="仿宋" w:hAnsi="仿宋" w:cs="宋体" w:hint="eastAsia"/>
          <w:kern w:val="0"/>
          <w:sz w:val="24"/>
          <w:szCs w:val="24"/>
        </w:rPr>
        <w:t>发生下列情况时，基金管理人可拒绝或暂停接受投资人的申购申请</w:t>
      </w:r>
      <w:r>
        <w:rPr>
          <w:rFonts w:ascii="仿宋" w:eastAsia="仿宋" w:hAnsi="仿宋" w:cs="宋体" w:hint="eastAsia"/>
          <w:kern w:val="0"/>
          <w:sz w:val="24"/>
          <w:szCs w:val="24"/>
        </w:rPr>
        <w:t>：</w:t>
      </w:r>
    </w:p>
    <w:p w:rsidR="00E45E2B" w:rsidRDefault="00E45E2B" w:rsidP="00E45E2B">
      <w:pPr>
        <w:pStyle w:val="-11"/>
        <w:autoSpaceDE w:val="0"/>
        <w:autoSpaceDN w:val="0"/>
        <w:adjustRightInd w:val="0"/>
        <w:spacing w:line="360" w:lineRule="auto"/>
        <w:ind w:left="42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1、因不可抗力导致基金无法正常运作；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B2515A">
        <w:rPr>
          <w:rFonts w:ascii="仿宋" w:eastAsia="仿宋" w:hAnsi="仿宋" w:cs="宋体" w:hint="eastAsia"/>
          <w:kern w:val="0"/>
          <w:sz w:val="24"/>
          <w:szCs w:val="24"/>
        </w:rPr>
        <w:t>，基金管理人可暂停或拒绝接受投资人的申购申请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3、证券、期货交易场所在交易时间非正常停市，导致</w:t>
      </w:r>
      <w:r w:rsidRPr="00B2515A">
        <w:rPr>
          <w:rFonts w:ascii="仿宋" w:eastAsia="仿宋" w:hAnsi="仿宋" w:cs="宋体" w:hint="eastAsia"/>
          <w:kern w:val="0"/>
          <w:sz w:val="24"/>
          <w:szCs w:val="24"/>
        </w:rPr>
        <w:t>基金管理人无法计算</w:t>
      </w:r>
      <w:r>
        <w:rPr>
          <w:rFonts w:ascii="仿宋" w:eastAsia="仿宋" w:hAnsi="仿宋" w:cs="宋体" w:hint="eastAsia"/>
          <w:kern w:val="0"/>
          <w:sz w:val="24"/>
          <w:szCs w:val="24"/>
        </w:rPr>
        <w:t>当日基金资产净值；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89" w:name="_Hlt70481650"/>
      <w:bookmarkEnd w:id="89"/>
      <w:r>
        <w:rPr>
          <w:rFonts w:ascii="仿宋" w:eastAsia="仿宋" w:hAnsi="仿宋" w:cs="宋体" w:hint="eastAsia"/>
          <w:kern w:val="0"/>
          <w:sz w:val="24"/>
          <w:szCs w:val="24"/>
        </w:rPr>
        <w:t>4、接受某笔或某些申购申请可能会影响或损害现有基金份额持有人利益时；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5、基金资产规模过大，使基金管理人无法找到合适的投资品种，或其他可能对基金业绩产生负面影响，或发生其他损害现有基金份额持有人的利益的情形；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w:t>
      </w:r>
      <w:r w:rsidRPr="009E3520">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、基金管理人、基金托管人、基金销售机构或登记机构因技术故障或异常情况导致基金销售系统或基金登记系统或基金会计系统无法正常运行；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基金管理人接受某笔或者某些申购申请有可能导致超过基金管理人设定的基金总规模、单日净申购比例上限、单一投资人单日</w:t>
      </w:r>
      <w:r>
        <w:rPr>
          <w:rFonts w:ascii="仿宋" w:eastAsia="仿宋" w:hAnsi="仿宋" w:cs="宋体" w:hint="eastAsia"/>
          <w:kern w:val="0"/>
          <w:sz w:val="24"/>
          <w:szCs w:val="24"/>
        </w:rPr>
        <w:t>或单笔</w:t>
      </w:r>
      <w:r w:rsidRPr="00BC6724">
        <w:rPr>
          <w:rFonts w:ascii="仿宋" w:eastAsia="仿宋" w:hAnsi="仿宋" w:cs="宋体" w:hint="eastAsia"/>
          <w:kern w:val="0"/>
          <w:sz w:val="24"/>
          <w:szCs w:val="24"/>
        </w:rPr>
        <w:t>申购金额上限，基金管理人有权对该等申购申请进行部分确认或拒绝接受该等申购申请</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BC6724">
        <w:rPr>
          <w:rFonts w:ascii="仿宋" w:eastAsia="仿宋" w:hAnsi="仿宋" w:cs="宋体" w:hint="eastAsia"/>
          <w:kern w:val="0"/>
          <w:sz w:val="24"/>
          <w:szCs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、法律法规规定或中国证监会认定的其他可暂停申购的情形。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发生上述第1、2、3、5、6、</w:t>
      </w:r>
      <w:r>
        <w:rPr>
          <w:rFonts w:ascii="仿宋" w:eastAsia="仿宋" w:hAnsi="仿宋" w:cs="宋体"/>
          <w:kern w:val="0"/>
          <w:sz w:val="24"/>
          <w:szCs w:val="24"/>
        </w:rPr>
        <w:t>7</w:t>
      </w: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项暂停申购情形之一且基金管理人决定暂停接受投资人申购申请时，基金管理人应当根据有关规定在规定媒介上刊登暂停申购公告。</w:t>
      </w:r>
      <w:r>
        <w:rPr>
          <w:rFonts w:ascii="仿宋" w:eastAsia="仿宋" w:hAnsi="仿宋" w:cs="宋体"/>
          <w:kern w:val="0"/>
          <w:sz w:val="24"/>
          <w:szCs w:val="24"/>
        </w:rPr>
        <w:t>如果投资人的申购申请被全部或部分拒绝的，被拒绝的申购款项将退还给投资人。</w:t>
      </w:r>
      <w:r>
        <w:rPr>
          <w:rFonts w:ascii="仿宋" w:eastAsia="仿宋" w:hAnsi="仿宋" w:cs="宋体" w:hint="eastAsia"/>
          <w:kern w:val="0"/>
          <w:sz w:val="24"/>
          <w:szCs w:val="24"/>
        </w:rPr>
        <w:t>在暂停申购的情况消除时，基金管理人应及时恢复申购业务的办理。</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九、暂停赎回或者延缓支付赎回款项的情形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823B7">
        <w:rPr>
          <w:rFonts w:ascii="仿宋" w:eastAsia="仿宋" w:hAnsi="仿宋" w:cs="宋体" w:hint="eastAsia"/>
          <w:kern w:val="0"/>
          <w:sz w:val="24"/>
          <w:szCs w:val="24"/>
        </w:rPr>
        <w:t>发生下列</w:t>
      </w:r>
      <w:r>
        <w:rPr>
          <w:rFonts w:ascii="仿宋" w:eastAsia="仿宋" w:hAnsi="仿宋" w:cs="宋体" w:hint="eastAsia"/>
          <w:kern w:val="0"/>
          <w:sz w:val="24"/>
          <w:szCs w:val="24"/>
        </w:rPr>
        <w:t>情形时，基金管理人可以暂停接受投资人的赎回申请或延缓支付赎回款项：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1、因不可抗力导致基金管理人不能支付赎回款项；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2、发生基金合同规定的暂停基金资产估值情况时</w:t>
      </w:r>
      <w:r w:rsidRPr="004824CD">
        <w:rPr>
          <w:rFonts w:ascii="仿宋" w:eastAsia="仿宋" w:hAnsi="仿宋" w:cs="宋体" w:hint="eastAsia"/>
          <w:kern w:val="0"/>
          <w:sz w:val="24"/>
          <w:szCs w:val="24"/>
        </w:rPr>
        <w:t>，基金管理人可暂停接受投资人的赎回申请或延缓支付赎回款项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3、证券、期货交易场所交易时间非正常停市，导致基金管理人无法计算当日基金资产</w:t>
      </w:r>
      <w:bookmarkStart w:id="90" w:name="_Hlt152500890"/>
      <w:r>
        <w:rPr>
          <w:rFonts w:ascii="仿宋" w:eastAsia="仿宋" w:hAnsi="仿宋" w:cs="宋体" w:hint="eastAsia"/>
          <w:kern w:val="0"/>
          <w:sz w:val="24"/>
          <w:szCs w:val="24"/>
        </w:rPr>
        <w:t>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4824CD">
        <w:rPr>
          <w:rFonts w:ascii="仿宋" w:eastAsia="仿宋" w:hAnsi="仿宋" w:cs="宋体" w:hint="eastAsia"/>
          <w:kern w:val="0"/>
          <w:sz w:val="24"/>
          <w:szCs w:val="24"/>
        </w:rPr>
        <w:t>连续两个或两个以上开放日发生巨额赎回</w:t>
      </w:r>
      <w:r>
        <w:rPr>
          <w:rFonts w:ascii="仿宋" w:eastAsia="仿宋" w:hAnsi="仿宋" w:cs="宋体" w:hint="eastAsia"/>
          <w:kern w:val="0"/>
          <w:sz w:val="24"/>
          <w:szCs w:val="24"/>
        </w:rPr>
        <w:t>；</w:t>
      </w:r>
    </w:p>
    <w:bookmarkEnd w:id="90"/>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、发生继续接受赎回申请将损害现有基金份额持有人利益的情形时，基金管理人可暂停接受基金份额持有人的赎回申请；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当前一估值日基金资产净值50%以上的资产出现无可参考的活跃市场价格且采用估值技术仍导致公允价值存在重大不确定性时，经与基金托管人协商确认后，基金管理人应延缓支付赎回款项或暂停接受基金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、法律法规规定或中国证监会认定的其他情形。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4824CD">
        <w:rPr>
          <w:rFonts w:ascii="仿宋" w:eastAsia="仿宋" w:hAnsi="仿宋" w:cs="宋体" w:hint="eastAsia"/>
          <w:kern w:val="0"/>
          <w:sz w:val="24"/>
          <w:szCs w:val="24"/>
        </w:rPr>
        <w:t>发生上述情形之一且基金管理人决定暂停接受赎回申请或延缓支付赎回款项时，基金管理人应在当日报中国证监会备案，并根据有关规定在规定媒介上刊登暂停赎回公告。已确认的赎回申请，基金管理人应足额支付；如暂时不能足额支付，应将可支付部分按单个账户申请量占申请总量的比例分配给赎回申请人，未支付部分可延缓支付。若出现上述第4项所述情形，按基金合同的相关条款处理。基金份额持有人在申请赎回时可事先选择将当日可能未获受理部分予以撤销。在暂停赎回的情况消除时，基金管理人应及时恢复赎回业务的办理，并依照有关规定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十、巨额赎回的情形及处理方式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、巨额赎回的认定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w:t>
      </w:r>
      <w:r>
        <w:rPr>
          <w:rFonts w:ascii="仿宋" w:eastAsia="仿宋" w:hAnsi="仿宋" w:cs="宋体"/>
          <w:kern w:val="0"/>
          <w:sz w:val="24"/>
          <w:szCs w:val="24"/>
        </w:rPr>
        <w:t>%</w:t>
      </w:r>
      <w:r>
        <w:rPr>
          <w:rFonts w:ascii="仿宋" w:eastAsia="仿宋" w:hAnsi="仿宋" w:cs="宋体" w:hint="eastAsia"/>
          <w:kern w:val="0"/>
          <w:sz w:val="24"/>
          <w:szCs w:val="24"/>
        </w:rPr>
        <w:t>时，即认为是发生了巨额赎回。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、巨额赎回的处理方式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当基金出现巨额赎回时，基金管理人可以根据基金当时的资产组合状况决定全额赎回</w:t>
      </w:r>
      <w:r w:rsidRPr="002F6CB3">
        <w:rPr>
          <w:rFonts w:ascii="仿宋" w:eastAsia="仿宋" w:hAnsi="仿宋" w:cs="宋体" w:hint="eastAsia"/>
          <w:kern w:val="0"/>
          <w:sz w:val="24"/>
          <w:szCs w:val="24"/>
        </w:rPr>
        <w:t>、延缓支付赎回款项</w:t>
      </w:r>
      <w:r>
        <w:rPr>
          <w:rFonts w:ascii="仿宋" w:eastAsia="仿宋" w:hAnsi="仿宋" w:cs="宋体" w:hint="eastAsia"/>
          <w:kern w:val="0"/>
          <w:sz w:val="24"/>
          <w:szCs w:val="24"/>
        </w:rPr>
        <w:t>、部分延期赎回或暂停赎回。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）全额赎回：当基金管理人认为有能力支付投资人的全部赎回申请时，按正常赎回程序执行。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1" w:name="OLE_LINK19"/>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仿宋" w:eastAsia="仿宋" w:hAnsi="仿宋" w:cs="宋体"/>
          <w:kern w:val="0"/>
          <w:sz w:val="24"/>
          <w:szCs w:val="24"/>
        </w:rPr>
        <w:t>1</w:t>
      </w:r>
      <w:r>
        <w:rPr>
          <w:rFonts w:ascii="仿宋" w:eastAsia="仿宋" w:hAnsi="仿宋" w:cs="宋体" w:hint="eastAsia"/>
          <w:kern w:val="0"/>
          <w:sz w:val="24"/>
          <w:szCs w:val="24"/>
        </w:rPr>
        <w:t>0%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Pr="009878CA">
        <w:rPr>
          <w:rFonts w:ascii="仿宋" w:eastAsia="仿宋" w:hAnsi="仿宋" w:cs="宋体" w:hint="eastAsia"/>
          <w:kern w:val="0"/>
          <w:sz w:val="24"/>
          <w:szCs w:val="24"/>
        </w:rPr>
        <w:t>如投资人在提交赎回申请时未作明确选择，默认采用延期赎回或取消赎回以各销售机构的具体规定为准。</w:t>
      </w:r>
      <w:r>
        <w:rPr>
          <w:rFonts w:ascii="仿宋" w:eastAsia="仿宋" w:hAnsi="仿宋" w:cs="宋体" w:hint="eastAsia"/>
          <w:kern w:val="0"/>
          <w:sz w:val="24"/>
          <w:szCs w:val="24"/>
        </w:rPr>
        <w:t>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92" w:name="OLE_LINK20"/>
      <w:bookmarkEnd w:id="91"/>
      <w:r>
        <w:rPr>
          <w:rFonts w:ascii="仿宋" w:eastAsia="仿宋" w:hAnsi="仿宋" w:cs="宋体" w:hint="eastAsia"/>
          <w:bCs/>
          <w:kern w:val="0"/>
          <w:sz w:val="24"/>
          <w:szCs w:val="24"/>
        </w:rPr>
        <w:t>（</w:t>
      </w:r>
      <w:r>
        <w:rPr>
          <w:rFonts w:ascii="仿宋" w:eastAsia="仿宋" w:hAnsi="仿宋" w:cs="宋体"/>
          <w:bCs/>
          <w:kern w:val="0"/>
          <w:sz w:val="24"/>
          <w:szCs w:val="24"/>
        </w:rPr>
        <w:t>3</w:t>
      </w:r>
      <w:r>
        <w:rPr>
          <w:rFonts w:ascii="仿宋" w:eastAsia="仿宋" w:hAnsi="仿宋" w:cs="宋体" w:hint="eastAsia"/>
          <w:bCs/>
          <w:kern w:val="0"/>
          <w:sz w:val="24"/>
          <w:szCs w:val="24"/>
        </w:rPr>
        <w:t>）</w:t>
      </w:r>
      <w:r w:rsidRPr="00544C43">
        <w:rPr>
          <w:rFonts w:ascii="仿宋" w:eastAsia="仿宋" w:hAnsi="仿宋" w:cs="宋体" w:hint="eastAsia"/>
          <w:bCs/>
          <w:kern w:val="0"/>
          <w:sz w:val="24"/>
          <w:szCs w:val="24"/>
        </w:rPr>
        <w:t>发生巨额赎回，且单个基金份额持有人赎回申请超过上一工作日基金总份额30%的情形下，对单个基金份额持有人超过上一工作日基金总份额30%的赎回申请，基金管理人可以延期办理赎回。对</w:t>
      </w:r>
      <w:r>
        <w:rPr>
          <w:rFonts w:ascii="仿宋" w:eastAsia="仿宋" w:hAnsi="仿宋" w:cs="宋体" w:hint="eastAsia"/>
          <w:bCs/>
          <w:kern w:val="0"/>
          <w:sz w:val="24"/>
          <w:szCs w:val="24"/>
        </w:rPr>
        <w:t>该</w:t>
      </w:r>
      <w:r w:rsidRPr="00544C43">
        <w:rPr>
          <w:rFonts w:ascii="仿宋" w:eastAsia="仿宋" w:hAnsi="仿宋" w:cs="宋体" w:hint="eastAsia"/>
          <w:bCs/>
          <w:kern w:val="0"/>
          <w:sz w:val="24"/>
          <w:szCs w:val="24"/>
        </w:rPr>
        <w:t>单个基金份额持有人30%以内（含30%）的赎回申请按普通基金份额持有人（即其他赎回申请未超过上一工作日基金总份额30%的基金份额持有人）赎回程序（包括巨额赎回）办理。对于未能赎回部分，该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仿宋" w:eastAsia="仿宋" w:hAnsi="仿宋" w:cs="宋体" w:hint="eastAsia"/>
          <w:bCs/>
          <w:kern w:val="0"/>
          <w:sz w:val="24"/>
          <w:szCs w:val="24"/>
        </w:rPr>
        <w:t>基金份额净值为基础计算赎回金额，以此类推，直到全部赎回为止</w:t>
      </w:r>
      <w:bookmarkEnd w:id="92"/>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44C43">
        <w:rPr>
          <w:rFonts w:ascii="仿宋" w:eastAsia="仿宋" w:hAnsi="仿宋" w:cs="宋体" w:hint="eastAsia"/>
          <w:kern w:val="0"/>
          <w:sz w:val="24"/>
          <w:szCs w:val="24"/>
        </w:rPr>
        <w:t>基金管理人在履行适当程序后，有权根据当时市场环境调整前述比例及处理规则，并在规定媒介上进行公告。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544C43">
        <w:rPr>
          <w:rFonts w:ascii="仿宋" w:eastAsia="仿宋" w:hAnsi="仿宋" w:cs="宋体" w:hint="eastAsia"/>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bCs/>
          <w:kern w:val="0"/>
          <w:sz w:val="24"/>
          <w:szCs w:val="24"/>
        </w:rPr>
        <w:t>3</w:t>
      </w:r>
      <w:r>
        <w:rPr>
          <w:rFonts w:ascii="仿宋" w:eastAsia="仿宋" w:hAnsi="仿宋" w:cs="宋体" w:hint="eastAsia"/>
          <w:kern w:val="0"/>
          <w:sz w:val="24"/>
          <w:szCs w:val="24"/>
        </w:rPr>
        <w:t>、巨额赎回的公告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E31BF">
        <w:rPr>
          <w:rFonts w:ascii="仿宋" w:eastAsia="仿宋" w:hAnsi="仿宋" w:cs="宋体" w:hint="eastAsia"/>
          <w:kern w:val="0"/>
          <w:sz w:val="24"/>
          <w:szCs w:val="24"/>
        </w:rPr>
        <w:t>当发生上述巨额赎回并采取相关措施时，基金管理人应当通过邮寄、传真或者招募说明书规定的其他方式在3个交易日内通知基金份额持有人，说明有关处理方法，并在两日内在规定媒介上刊登公告。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十一、暂停申购或赎回的公告和重新开放申购或赎回的公告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1、发生上述暂停申购或赎回情况的，基金管理人应在规定期限内在规定媒介上刊登暂停公告。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2、基金管理人应于恢复开放申购或赎回日前，在规定媒介上刊登基金恢复开放申购或赎回公告，并公布最近</w:t>
      </w:r>
      <w:r>
        <w:rPr>
          <w:rFonts w:ascii="仿宋" w:eastAsia="仿宋" w:hAnsi="仿宋" w:cs="宋体"/>
          <w:kern w:val="0"/>
          <w:sz w:val="24"/>
          <w:szCs w:val="24"/>
        </w:rPr>
        <w:t>1</w:t>
      </w:r>
      <w:r>
        <w:rPr>
          <w:rFonts w:ascii="仿宋" w:eastAsia="仿宋" w:hAnsi="仿宋" w:cs="宋体" w:hint="eastAsia"/>
          <w:kern w:val="0"/>
          <w:sz w:val="24"/>
          <w:szCs w:val="24"/>
        </w:rPr>
        <w:t>个工作日的基金份额净值。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十二、基金的转换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十三、基金份额的转让</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十四、基金的非交易过户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基金的非交易过户是指基金登记机构受理</w:t>
      </w:r>
      <w:r w:rsidRPr="00AA47BA">
        <w:rPr>
          <w:rFonts w:ascii="仿宋" w:eastAsia="仿宋" w:hAnsi="仿宋" w:cs="宋体" w:hint="eastAsia"/>
          <w:kern w:val="0"/>
          <w:sz w:val="24"/>
          <w:szCs w:val="24"/>
        </w:rPr>
        <w:t>继承、离婚、捐赠、法人资格丧失</w:t>
      </w:r>
      <w:r>
        <w:rPr>
          <w:rFonts w:ascii="仿宋" w:eastAsia="仿宋" w:hAnsi="仿宋" w:cs="宋体" w:hint="eastAsia"/>
          <w:kern w:val="0"/>
          <w:sz w:val="24"/>
          <w:szCs w:val="24"/>
        </w:rPr>
        <w:t>和司法强制执行等情形而产生的非交易过户以及登记机构认可、符合法律法规的其它非交易过户。无论在上述何种情况下，接受划转的主体必须是依法可以持有本基金基金份额的投资人。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继承是指基金份额持有人死亡，其持有的基金份额由其合法的继承人继承；捐赠是指基金份额持有人将其合法持有的基金份额捐赠给福利性质的基金会或社会团体；</w:t>
      </w:r>
      <w:r w:rsidRPr="000E6BA4">
        <w:rPr>
          <w:rFonts w:ascii="仿宋" w:eastAsia="仿宋" w:hAnsi="仿宋" w:cs="宋体" w:hint="eastAsia"/>
          <w:kern w:val="0"/>
          <w:sz w:val="24"/>
          <w:szCs w:val="24"/>
        </w:rPr>
        <w:t>法人资格丧失</w:t>
      </w:r>
      <w:r>
        <w:rPr>
          <w:rFonts w:ascii="仿宋" w:eastAsia="仿宋" w:hAnsi="仿宋" w:cs="宋体" w:hint="eastAsia"/>
          <w:kern w:val="0"/>
          <w:sz w:val="24"/>
          <w:szCs w:val="24"/>
        </w:rPr>
        <w:t>是</w:t>
      </w:r>
      <w:r w:rsidRPr="000E6BA4">
        <w:rPr>
          <w:rFonts w:ascii="仿宋" w:eastAsia="仿宋" w:hAnsi="仿宋" w:cs="宋体" w:hint="eastAsia"/>
          <w:kern w:val="0"/>
          <w:sz w:val="24"/>
          <w:szCs w:val="24"/>
        </w:rPr>
        <w:t>指法人股东因解散、破产、合并、分立、歇业、注销等原因，在法人资格丧失后将其持有的基金份额划转给其他自然人或机构；</w:t>
      </w:r>
      <w:r>
        <w:rPr>
          <w:rFonts w:ascii="仿宋" w:eastAsia="仿宋" w:hAnsi="仿宋" w:cs="宋体" w:hint="eastAsia"/>
          <w:kern w:val="0"/>
          <w:sz w:val="24"/>
          <w:szCs w:val="24"/>
        </w:rPr>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十五、基金的转托管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E6BA4">
        <w:rPr>
          <w:rFonts w:ascii="仿宋" w:eastAsia="仿宋" w:hAnsi="仿宋" w:cs="宋体" w:hint="eastAsia"/>
          <w:kern w:val="0"/>
          <w:sz w:val="24"/>
          <w:szCs w:val="24"/>
        </w:rPr>
        <w:t>基金份额持有人可办理已持有基金份额在不同销售机构之间的转托管，基金销售机构可以按照规定的标准收取转托管费。</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0E6BA4">
        <w:rPr>
          <w:rFonts w:ascii="仿宋" w:eastAsia="仿宋" w:hAnsi="仿宋" w:cs="宋体" w:hint="eastAsia"/>
          <w:b/>
          <w:kern w:val="0"/>
          <w:sz w:val="24"/>
          <w:szCs w:val="24"/>
        </w:rPr>
        <w:t>十</w:t>
      </w:r>
      <w:r>
        <w:rPr>
          <w:rFonts w:ascii="仿宋" w:eastAsia="仿宋" w:hAnsi="仿宋" w:cs="宋体" w:hint="eastAsia"/>
          <w:b/>
          <w:kern w:val="0"/>
          <w:sz w:val="24"/>
          <w:szCs w:val="24"/>
        </w:rPr>
        <w:t>六</w:t>
      </w:r>
      <w:r w:rsidRPr="00C95A02">
        <w:rPr>
          <w:rFonts w:ascii="仿宋" w:eastAsia="仿宋" w:hAnsi="仿宋" w:cs="宋体" w:hint="eastAsia"/>
          <w:b/>
          <w:kern w:val="0"/>
          <w:sz w:val="24"/>
          <w:szCs w:val="24"/>
        </w:rPr>
        <w:t>、定期定额投资计划</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0E6BA4">
        <w:rPr>
          <w:rFonts w:ascii="仿宋" w:eastAsia="仿宋" w:hAnsi="仿宋" w:cs="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十七、基金份额的冻结与解冻</w:t>
      </w:r>
    </w:p>
    <w:p w:rsidR="00E45E2B" w:rsidRPr="0022008A"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22008A">
        <w:rPr>
          <w:rFonts w:ascii="仿宋" w:eastAsia="仿宋" w:hAnsi="仿宋" w:cs="宋体" w:hint="eastAsia"/>
          <w:kern w:val="0"/>
          <w:sz w:val="24"/>
          <w:szCs w:val="24"/>
        </w:rPr>
        <w:t>基金登记机构只受理国家有权机关依法要求的基金份额的冻结与解冻，以及登记机构认可、符合法律法规的其他情况下的冻结与解冻。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基金份额被冻结的，被冻结部分份额仍然参与收益分配，被冻结部分产生的权益一并冻结。法律法规或监管机构另有规定的除外。</w:t>
      </w:r>
    </w:p>
    <w:p w:rsidR="00E45E2B" w:rsidRPr="00C95A02"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93" w:name="_Toc459291245"/>
      <w:r w:rsidRPr="00C95A02">
        <w:rPr>
          <w:rFonts w:ascii="仿宋" w:eastAsia="仿宋" w:hAnsi="仿宋" w:cs="宋体" w:hint="eastAsia"/>
          <w:b/>
          <w:kern w:val="0"/>
          <w:sz w:val="24"/>
          <w:szCs w:val="24"/>
        </w:rPr>
        <w:t>十八、实施侧袋机制期间本基金的申购与赎回</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008A">
        <w:rPr>
          <w:rFonts w:ascii="仿宋" w:eastAsia="仿宋" w:hAnsi="仿宋" w:cs="宋体" w:hint="eastAsia"/>
          <w:kern w:val="0"/>
          <w:sz w:val="24"/>
          <w:szCs w:val="24"/>
        </w:rPr>
        <w:t>本基金实施侧袋机制的，本基金的申购和赎回安排详见招募说明书或相关公告。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bookmarkStart w:id="94" w:name="_Hlt55355235"/>
      <w:bookmarkStart w:id="95" w:name="_Toc523711668"/>
      <w:bookmarkStart w:id="96" w:name="_Toc57530239"/>
      <w:bookmarkStart w:id="97" w:name="_Toc79392580"/>
      <w:bookmarkStart w:id="98" w:name="_Toc15118234"/>
      <w:bookmarkEnd w:id="94"/>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99" w:name="_Toc377998622"/>
      <w:bookmarkStart w:id="100" w:name="_Toc169163867"/>
      <w:r w:rsidRPr="004F6C89">
        <w:rPr>
          <w:rFonts w:eastAsia="仿宋" w:hint="eastAsia"/>
          <w:sz w:val="30"/>
          <w:szCs w:val="30"/>
          <w:lang w:val="zh-CN"/>
        </w:rPr>
        <w:t>第七部分</w:t>
      </w:r>
      <w:r w:rsidRPr="004F6C89">
        <w:rPr>
          <w:rFonts w:eastAsia="仿宋" w:hint="eastAsia"/>
          <w:sz w:val="30"/>
          <w:szCs w:val="30"/>
          <w:lang w:val="zh-CN"/>
        </w:rPr>
        <w:t xml:space="preserve">    </w:t>
      </w:r>
      <w:r w:rsidRPr="004F6C89">
        <w:rPr>
          <w:rFonts w:eastAsia="仿宋" w:hint="eastAsia"/>
          <w:sz w:val="30"/>
          <w:szCs w:val="30"/>
          <w:lang w:val="zh-CN"/>
        </w:rPr>
        <w:t>基金合同当事人及权利义务</w:t>
      </w:r>
      <w:bookmarkEnd w:id="93"/>
      <w:bookmarkEnd w:id="99"/>
      <w:bookmarkEnd w:id="10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w:t>
      </w:r>
      <w:bookmarkEnd w:id="95"/>
      <w:r>
        <w:rPr>
          <w:rFonts w:ascii="仿宋" w:eastAsia="仿宋" w:hAnsi="仿宋" w:cs="宋体" w:hint="eastAsia"/>
          <w:b/>
          <w:bCs/>
          <w:kern w:val="0"/>
          <w:sz w:val="24"/>
          <w:szCs w:val="24"/>
        </w:rPr>
        <w:t>管理人</w:t>
      </w:r>
      <w:bookmarkEnd w:id="96"/>
      <w:bookmarkEnd w:id="97"/>
      <w:bookmarkEnd w:id="98"/>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01" w:name="_Toc15118235"/>
      <w:r>
        <w:rPr>
          <w:rFonts w:ascii="仿宋" w:eastAsia="仿宋" w:hAnsi="仿宋" w:cs="宋体" w:hint="eastAsia"/>
          <w:b/>
          <w:bCs/>
          <w:kern w:val="0"/>
          <w:sz w:val="24"/>
          <w:szCs w:val="24"/>
        </w:rPr>
        <w:t>（一）基金管理人简况</w:t>
      </w:r>
      <w:bookmarkEnd w:id="10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2" w:name="_Toc15118236"/>
      <w:bookmarkStart w:id="103" w:name="_Toc15118237"/>
      <w:r>
        <w:rPr>
          <w:rFonts w:ascii="仿宋" w:eastAsia="仿宋" w:hAnsi="仿宋" w:cs="宋体" w:hint="eastAsia"/>
          <w:kern w:val="0"/>
          <w:sz w:val="24"/>
          <w:szCs w:val="24"/>
        </w:rPr>
        <w:t>名称：</w:t>
      </w:r>
      <w:bookmarkEnd w:id="102"/>
      <w:r>
        <w:rPr>
          <w:rFonts w:ascii="仿宋" w:eastAsia="仿宋" w:hAnsi="仿宋" w:cs="宋体" w:hint="eastAsia"/>
          <w:kern w:val="0"/>
          <w:sz w:val="24"/>
          <w:szCs w:val="24"/>
        </w:rPr>
        <w:t>上海东方证券资产管理有限公司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住所：上海市黄浦区中山南路109号7层-11层</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法定代表人：杨斌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设立日期：</w:t>
      </w:r>
      <w:r>
        <w:rPr>
          <w:rFonts w:ascii="仿宋" w:eastAsia="仿宋" w:hAnsi="仿宋" w:cs="宋体"/>
          <w:kern w:val="0"/>
          <w:sz w:val="24"/>
          <w:szCs w:val="24"/>
        </w:rPr>
        <w:t>2010</w:t>
      </w:r>
      <w:r>
        <w:rPr>
          <w:rFonts w:ascii="仿宋" w:eastAsia="仿宋" w:hAnsi="仿宋" w:cs="宋体" w:hint="eastAsia"/>
          <w:kern w:val="0"/>
          <w:sz w:val="24"/>
          <w:szCs w:val="24"/>
        </w:rPr>
        <w:t>年</w:t>
      </w:r>
      <w:r>
        <w:rPr>
          <w:rFonts w:ascii="仿宋" w:eastAsia="仿宋" w:hAnsi="仿宋" w:cs="宋体"/>
          <w:kern w:val="0"/>
          <w:sz w:val="24"/>
          <w:szCs w:val="24"/>
        </w:rPr>
        <w:t>7</w:t>
      </w:r>
      <w:r>
        <w:rPr>
          <w:rFonts w:ascii="仿宋" w:eastAsia="仿宋" w:hAnsi="仿宋" w:cs="宋体" w:hint="eastAsia"/>
          <w:kern w:val="0"/>
          <w:sz w:val="24"/>
          <w:szCs w:val="24"/>
        </w:rPr>
        <w:t>月</w:t>
      </w:r>
      <w:r>
        <w:rPr>
          <w:rFonts w:ascii="仿宋" w:eastAsia="仿宋" w:hAnsi="仿宋" w:cs="宋体"/>
          <w:kern w:val="0"/>
          <w:sz w:val="24"/>
          <w:szCs w:val="24"/>
        </w:rPr>
        <w:t>28</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批准设立机关及批准设立文号：中国证监会证监许可</w:t>
      </w:r>
      <w:r>
        <w:rPr>
          <w:rFonts w:ascii="仿宋" w:eastAsia="仿宋" w:hAnsi="仿宋" w:cs="宋体"/>
          <w:kern w:val="0"/>
          <w:sz w:val="24"/>
          <w:szCs w:val="24"/>
        </w:rPr>
        <w:t>[2010]518</w:t>
      </w:r>
      <w:r>
        <w:rPr>
          <w:rFonts w:ascii="仿宋" w:eastAsia="仿宋" w:hAnsi="仿宋" w:cs="宋体" w:hint="eastAsia"/>
          <w:kern w:val="0"/>
          <w:sz w:val="24"/>
          <w:szCs w:val="24"/>
        </w:rPr>
        <w:t>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开展公开募集证券投资基金管理业务批准文号：证监许可</w:t>
      </w:r>
      <w:r>
        <w:rPr>
          <w:rFonts w:ascii="仿宋" w:eastAsia="仿宋" w:hAnsi="仿宋" w:cs="宋体"/>
          <w:kern w:val="0"/>
          <w:sz w:val="24"/>
          <w:szCs w:val="24"/>
        </w:rPr>
        <w:t>[2013]</w:t>
      </w:r>
      <w:r>
        <w:rPr>
          <w:rFonts w:ascii="仿宋" w:eastAsia="仿宋" w:hAnsi="仿宋" w:cs="宋体" w:hint="eastAsia"/>
          <w:kern w:val="0"/>
          <w:sz w:val="24"/>
          <w:szCs w:val="24"/>
        </w:rPr>
        <w:t>1131号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组织形式：有限责任公司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注册资本：</w:t>
      </w:r>
      <w:r>
        <w:rPr>
          <w:rFonts w:ascii="仿宋" w:eastAsia="仿宋" w:hAnsi="仿宋" w:cs="宋体"/>
          <w:kern w:val="0"/>
          <w:sz w:val="24"/>
          <w:szCs w:val="24"/>
        </w:rPr>
        <w:t>3</w:t>
      </w:r>
      <w:r>
        <w:rPr>
          <w:rFonts w:ascii="仿宋" w:eastAsia="仿宋" w:hAnsi="仿宋" w:cs="宋体" w:hint="eastAsia"/>
          <w:kern w:val="0"/>
          <w:sz w:val="24"/>
          <w:szCs w:val="24"/>
        </w:rPr>
        <w:t>亿元人民币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存续期限：持续经营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联系电话：（</w:t>
      </w:r>
      <w:r>
        <w:rPr>
          <w:rFonts w:ascii="仿宋" w:eastAsia="仿宋" w:hAnsi="仿宋" w:cs="宋体"/>
          <w:kern w:val="0"/>
          <w:sz w:val="24"/>
          <w:szCs w:val="24"/>
        </w:rPr>
        <w:t>021</w:t>
      </w:r>
      <w:r>
        <w:rPr>
          <w:rFonts w:ascii="仿宋" w:eastAsia="仿宋" w:hAnsi="仿宋" w:cs="宋体" w:hint="eastAsia"/>
          <w:kern w:val="0"/>
          <w:sz w:val="24"/>
          <w:szCs w:val="24"/>
        </w:rPr>
        <w:t>）53952888</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color w:val="000000"/>
          <w:kern w:val="0"/>
          <w:sz w:val="24"/>
          <w:szCs w:val="24"/>
        </w:rPr>
        <w:t>联系人：彭轶君</w:t>
      </w:r>
    </w:p>
    <w:p w:rsidR="00E45E2B" w:rsidRDefault="00E45E2B" w:rsidP="00E45E2B">
      <w:pPr>
        <w:autoSpaceDE w:val="0"/>
        <w:autoSpaceDN w:val="0"/>
        <w:adjustRightInd w:val="0"/>
        <w:spacing w:line="360" w:lineRule="auto"/>
        <w:ind w:leftChars="202" w:left="424"/>
        <w:jc w:val="left"/>
        <w:rPr>
          <w:rFonts w:ascii="仿宋" w:eastAsia="仿宋" w:hAnsi="仿宋" w:cs="宋体"/>
          <w:b/>
          <w:bCs/>
          <w:kern w:val="0"/>
          <w:sz w:val="24"/>
          <w:szCs w:val="24"/>
        </w:rPr>
      </w:pPr>
      <w:r>
        <w:rPr>
          <w:rFonts w:ascii="仿宋" w:eastAsia="仿宋" w:hAnsi="仿宋" w:cs="宋体" w:hint="eastAsia"/>
          <w:b/>
          <w:bCs/>
          <w:kern w:val="0"/>
          <w:sz w:val="24"/>
          <w:szCs w:val="24"/>
        </w:rPr>
        <w:t>（二）基金管理人的权利与义务</w:t>
      </w:r>
      <w:bookmarkEnd w:id="10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、根据《基金法》、《运作办法》及其他有关规定，基金管理人的权利包括但不限于：</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）自《基金合同》生效之日起，根据法律法规和《基金合同》独立运用并管理基金财产；</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）依照《基金合同》收取基金管理费以及法律法规规定或中国证监会批准的其他费用；</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）销售基金份额；</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bookmarkStart w:id="104" w:name="_Hlt88896155"/>
      <w:r>
        <w:rPr>
          <w:rFonts w:ascii="仿宋" w:eastAsia="仿宋" w:hAnsi="仿宋" w:cs="宋体" w:hint="eastAsia"/>
          <w:kern w:val="0"/>
          <w:sz w:val="24"/>
          <w:szCs w:val="24"/>
        </w:rPr>
        <w:t>按照规定召集</w:t>
      </w:r>
      <w:bookmarkEnd w:id="104"/>
      <w:r>
        <w:rPr>
          <w:rFonts w:ascii="仿宋" w:eastAsia="仿宋" w:hAnsi="仿宋" w:cs="宋体" w:hint="eastAsia"/>
          <w:kern w:val="0"/>
          <w:sz w:val="24"/>
          <w:szCs w:val="24"/>
        </w:rPr>
        <w:t>基金份额持有人大会；</w:t>
      </w:r>
    </w:p>
    <w:p w:rsidR="00E45E2B" w:rsidRDefault="00E45E2B" w:rsidP="00E45E2B">
      <w:pPr>
        <w:autoSpaceDE w:val="0"/>
        <w:autoSpaceDN w:val="0"/>
        <w:adjustRightInd w:val="0"/>
        <w:spacing w:line="360" w:lineRule="auto"/>
        <w:ind w:leftChars="1" w:left="2" w:firstLine="418"/>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E45E2B" w:rsidRDefault="00E45E2B" w:rsidP="00E45E2B">
      <w:pPr>
        <w:autoSpaceDE w:val="0"/>
        <w:autoSpaceDN w:val="0"/>
        <w:adjustRightInd w:val="0"/>
        <w:spacing w:line="360" w:lineRule="auto"/>
        <w:ind w:leftChars="202" w:left="424"/>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）在基金托管人更换时，提名新的基金托管人；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）选择、委托、更换基金销售机构，对基金销售机构的相关行为进行监督和处理；</w:t>
      </w:r>
    </w:p>
    <w:p w:rsidR="00E45E2B" w:rsidRDefault="00E45E2B" w:rsidP="00E45E2B">
      <w:pPr>
        <w:autoSpaceDE w:val="0"/>
        <w:autoSpaceDN w:val="0"/>
        <w:adjustRightInd w:val="0"/>
        <w:spacing w:line="360" w:lineRule="auto"/>
        <w:ind w:firstLineChars="176" w:firstLine="422"/>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）担任或委托其他符合条件的机构担任基金登记机构办理基金登记业务并获得《基金合同》规定的费用；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）依据《基金合同》及有关法律规定决定基金收益的分配方案；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）在《基金合同》约定的范围内，拒绝或暂停受理申购与赎回申请；</w:t>
      </w:r>
    </w:p>
    <w:p w:rsidR="00E45E2B" w:rsidRDefault="00E45E2B" w:rsidP="00E45E2B">
      <w:pPr>
        <w:autoSpaceDE w:val="0"/>
        <w:autoSpaceDN w:val="0"/>
        <w:adjustRightInd w:val="0"/>
        <w:spacing w:line="360" w:lineRule="auto"/>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）依照法律法规为基金的利益对被投资公司行使股东权利，为基金的利益行使因基金财产投资于证券所产生的权利；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3）在法律法规允许的前提下，为基金的利益依法为基金进行融资；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4）以基金管理人的名义，代表基金份额持有人的利益行使诉讼权利或者实施其他法律行为；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5）选择、更换律师事务所、会计师事务所、证券、期货经纪商或其他为基金提供服务的外部机构；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7）法律法规</w:t>
      </w:r>
      <w:r w:rsidRPr="00C95A02">
        <w:rPr>
          <w:rFonts w:ascii="仿宋" w:eastAsia="仿宋" w:hAnsi="仿宋" w:cs="宋体" w:hint="eastAsia"/>
          <w:kern w:val="0"/>
          <w:sz w:val="24"/>
          <w:szCs w:val="24"/>
        </w:rPr>
        <w:t>及中国证监会规定的</w:t>
      </w:r>
      <w:r>
        <w:rPr>
          <w:rFonts w:ascii="仿宋" w:eastAsia="仿宋" w:hAnsi="仿宋" w:cs="宋体" w:hint="eastAsia"/>
          <w:kern w:val="0"/>
          <w:sz w:val="24"/>
          <w:szCs w:val="24"/>
        </w:rPr>
        <w:t>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5" w:name="OLE_LINK3"/>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、根据《基金法》、《运作办法》及其他有关规定，基金管理人的义务包括但不限于</w:t>
      </w:r>
      <w:bookmarkEnd w:id="105"/>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6" w:name="_Toc52371166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）依法募集资金，办理或者委托经中国证监会认定的其他机构代为办理基金份额的申购、赎回和登记事宜；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）办理基金备案手续；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）自《基金合同》生效之日起</w:t>
      </w:r>
      <w:r>
        <w:rPr>
          <w:rFonts w:ascii="仿宋" w:eastAsia="仿宋" w:hAnsi="仿宋" w:cs="宋体"/>
          <w:kern w:val="0"/>
          <w:sz w:val="24"/>
          <w:szCs w:val="24"/>
        </w:rPr>
        <w:t>,</w:t>
      </w:r>
      <w:r>
        <w:rPr>
          <w:rFonts w:ascii="仿宋" w:eastAsia="仿宋" w:hAnsi="仿宋" w:cs="宋体" w:hint="eastAsia"/>
          <w:kern w:val="0"/>
          <w:sz w:val="24"/>
          <w:szCs w:val="24"/>
        </w:rPr>
        <w:t>以诚实信用、谨慎勤勉的原则管理和运用基金财产；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）配备足够的具有专业资格的人员进行基金投资分析、决策，以专业化的经营方式管理和运作基金财产；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）除依据《基金法》、《基金合同》及其他有关规定外</w:t>
      </w:r>
      <w:r>
        <w:rPr>
          <w:rFonts w:ascii="仿宋" w:eastAsia="仿宋" w:hAnsi="仿宋" w:cs="宋体"/>
          <w:kern w:val="0"/>
          <w:sz w:val="24"/>
          <w:szCs w:val="24"/>
        </w:rPr>
        <w:t>,</w:t>
      </w:r>
      <w:r>
        <w:rPr>
          <w:rFonts w:ascii="仿宋" w:eastAsia="仿宋" w:hAnsi="仿宋" w:cs="宋体" w:hint="eastAsia"/>
          <w:kern w:val="0"/>
          <w:sz w:val="24"/>
          <w:szCs w:val="24"/>
        </w:rPr>
        <w:t>不得利用基金财产为自己及任何第三人谋取利益，不得委托第三人运作基金财产；</w:t>
      </w:r>
      <w:bookmarkStart w:id="107" w:name="_Hlt88897298"/>
      <w:bookmarkEnd w:id="10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）依法接受基金托管人的监督；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）采取适当合理的措施使计算基金份额申购、赎回和注销价格的方法符合《基金合同》等法律文件的规定，按有关规定计算并公告基金净值信息，确定基金份额申购、赎回的价格；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）进行基金会计核算并编制基金财务会计报告；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08" w:name="OLE_LINK4"/>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）编制</w:t>
      </w:r>
      <w:bookmarkStart w:id="109" w:name="OLE_LINK5"/>
      <w:r>
        <w:rPr>
          <w:rFonts w:ascii="仿宋" w:eastAsia="仿宋" w:hAnsi="仿宋" w:cs="宋体" w:hint="eastAsia"/>
          <w:kern w:val="0"/>
          <w:sz w:val="24"/>
          <w:szCs w:val="24"/>
        </w:rPr>
        <w:t>季度报告、中期报告和年度报告</w:t>
      </w:r>
      <w:bookmarkEnd w:id="108"/>
      <w:bookmarkEnd w:id="10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）严格按照《基金法》、《基金合同》及其他有关规定，履行信息披露及报告义务；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）保守基金商业秘密，不泄露基金投资计划、投资意向等。除《基金法》、《基金合同》及其他有关规定另有规定外，在基金信息公开披露前应予保密，不向他人泄露，</w:t>
      </w:r>
      <w:r w:rsidRPr="00106993">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）按《基金合同》的约定确定基金收益分配方案，及时向基金份额持有人分配基金收益；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）按规定受理申购与赎回申请，及时、足额支付赎回款项；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）依据《基金法》、《基金合同》及其他有关规定召集基金份额持有人大会或配合基金托管人、基金份额持有人依法召集基金份额持有人大会；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10" w:name="OLE_LINK26"/>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）按规定保存基金财产管理业务活动的会计账册、报表、记录和其他相关资料</w:t>
      </w:r>
      <w:r w:rsidRPr="00106993">
        <w:rPr>
          <w:rFonts w:ascii="仿宋" w:eastAsia="仿宋" w:hAnsi="仿宋" w:cs="宋体" w:hint="eastAsia"/>
          <w:kern w:val="0"/>
          <w:sz w:val="24"/>
          <w:szCs w:val="24"/>
        </w:rPr>
        <w:t>不少于法定最低期限</w:t>
      </w:r>
      <w:r>
        <w:rPr>
          <w:rFonts w:ascii="仿宋" w:eastAsia="仿宋" w:hAnsi="仿宋" w:cs="宋体" w:hint="eastAsia"/>
          <w:kern w:val="0"/>
          <w:sz w:val="24"/>
          <w:szCs w:val="24"/>
        </w:rPr>
        <w:t>；</w:t>
      </w:r>
      <w:bookmarkEnd w:id="11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）组织并参加基金财产清算小组，参与基金财产的保管、清理、估价、变现和分配；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）面临解散、依法被撤销或者被依法宣告破产时，及时报告中国证监会并通知基金托管人；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）因违反《基金合同》导致基金财产的损失或损害基金份额持有人合法权益时，应当承担赔偿责任，其赔偿责任不因其退任而免除；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）监督基金托管人按法律法规和《基金合同》规定履行自己的义务，基金托管人违反《基金合同》造成基金财产损失时，基金管理人应为基金份额持有人利益向基金托管人追偿；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23</w:t>
      </w:r>
      <w:r>
        <w:rPr>
          <w:rFonts w:ascii="仿宋" w:eastAsia="仿宋" w:hAnsi="仿宋" w:cs="宋体" w:hint="eastAsia"/>
          <w:kern w:val="0"/>
          <w:sz w:val="24"/>
          <w:szCs w:val="24"/>
        </w:rPr>
        <w:t>）以基金管理人名义，代表基金份额持有人利益行使诉讼权利或实施其他法律行为；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24</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25</w:t>
      </w:r>
      <w:r>
        <w:rPr>
          <w:rFonts w:ascii="仿宋" w:eastAsia="仿宋" w:hAnsi="仿宋" w:cs="宋体" w:hint="eastAsia"/>
          <w:kern w:val="0"/>
          <w:sz w:val="24"/>
          <w:szCs w:val="24"/>
        </w:rPr>
        <w:t>）建立并保存基金份额持有人名册；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26</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1" w:name="_Toc15118238"/>
      <w:bookmarkStart w:id="112" w:name="_Toc79392581"/>
      <w:bookmarkStart w:id="113" w:name="_Toc57530240"/>
      <w:r>
        <w:rPr>
          <w:rFonts w:ascii="仿宋" w:eastAsia="仿宋" w:hAnsi="仿宋" w:cs="宋体" w:hint="eastAsia"/>
          <w:b/>
          <w:bCs/>
          <w:kern w:val="0"/>
          <w:sz w:val="24"/>
          <w:szCs w:val="24"/>
        </w:rPr>
        <w:t>二、基金托管人</w:t>
      </w:r>
      <w:bookmarkEnd w:id="106"/>
      <w:bookmarkEnd w:id="111"/>
      <w:bookmarkEnd w:id="112"/>
      <w:bookmarkEnd w:id="11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4" w:name="_Toc15118239"/>
      <w:r>
        <w:rPr>
          <w:rFonts w:ascii="仿宋" w:eastAsia="仿宋" w:hAnsi="仿宋" w:cs="宋体" w:hint="eastAsia"/>
          <w:b/>
          <w:bCs/>
          <w:kern w:val="0"/>
          <w:sz w:val="24"/>
          <w:szCs w:val="24"/>
        </w:rPr>
        <w:t>（一）基金托管人简况</w:t>
      </w:r>
      <w:bookmarkEnd w:id="114"/>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名称：招商银行股份有限公司</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设立日期：1987年4月8日</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注册地址：深圳市深南大道7088号招商银行大厦</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注册资本：</w:t>
      </w:r>
      <w:r>
        <w:rPr>
          <w:rFonts w:ascii="仿宋" w:eastAsia="仿宋" w:hAnsi="仿宋" w:cs="宋体" w:hint="eastAsia"/>
          <w:kern w:val="0"/>
          <w:sz w:val="24"/>
          <w:szCs w:val="24"/>
        </w:rPr>
        <w:t>人民币</w:t>
      </w:r>
      <w:r w:rsidRPr="007D2725">
        <w:rPr>
          <w:rFonts w:ascii="仿宋" w:eastAsia="仿宋" w:hAnsi="仿宋" w:cs="宋体" w:hint="eastAsia"/>
          <w:kern w:val="0"/>
          <w:sz w:val="24"/>
          <w:szCs w:val="24"/>
        </w:rPr>
        <w:t>252.20亿元</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7D2725">
        <w:rPr>
          <w:rFonts w:ascii="仿宋" w:eastAsia="仿宋" w:hAnsi="仿宋" w:cs="宋体" w:hint="eastAsia"/>
          <w:kern w:val="0"/>
          <w:sz w:val="24"/>
          <w:szCs w:val="24"/>
        </w:rPr>
        <w:t>法定代表人：缪建民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D58E7">
        <w:rPr>
          <w:rFonts w:ascii="仿宋" w:eastAsia="仿宋" w:hAnsi="仿宋" w:cs="宋体" w:hint="eastAsia"/>
          <w:kern w:val="0"/>
          <w:sz w:val="24"/>
          <w:szCs w:val="24"/>
        </w:rPr>
        <w:t>批准设立机关和批准设立文号：中国人民银行银复字（1986）175号文、银复（1987）86号文</w:t>
      </w:r>
    </w:p>
    <w:p w:rsidR="00E45E2B" w:rsidRPr="007D2725"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w:t>
      </w:r>
      <w:r w:rsidRPr="007D2725">
        <w:rPr>
          <w:rFonts w:ascii="仿宋" w:eastAsia="仿宋" w:hAnsi="仿宋" w:cs="宋体" w:hint="eastAsia"/>
          <w:kern w:val="0"/>
          <w:sz w:val="24"/>
          <w:szCs w:val="24"/>
        </w:rPr>
        <w:t>托管业务批准文号：证监基金字[2002]83号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组织形式：股份有限公司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5E5746">
        <w:rPr>
          <w:rFonts w:ascii="仿宋" w:eastAsia="仿宋" w:hAnsi="仿宋" w:cs="宋体" w:hint="eastAsia"/>
          <w:kern w:val="0"/>
          <w:sz w:val="24"/>
          <w:szCs w:val="24"/>
        </w:rPr>
        <w:t>存续期间：持续经营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5" w:name="_Toc15118240"/>
      <w:r>
        <w:rPr>
          <w:rFonts w:ascii="仿宋" w:eastAsia="仿宋" w:hAnsi="仿宋" w:cs="宋体" w:hint="eastAsia"/>
          <w:b/>
          <w:bCs/>
          <w:kern w:val="0"/>
          <w:sz w:val="24"/>
          <w:szCs w:val="24"/>
        </w:rPr>
        <w:t>（二）基金托管人的权利与义务</w:t>
      </w:r>
      <w:bookmarkEnd w:id="11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、根据《基金法》、《运作办法》及其他有关规定，基金托管人的权利包括但不限于：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）自《基金合同》生效之日起，依法律法规和《基金合同》的规定安全保管基金财产；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）依《基金合同》约定获得基金托管费以及法律法规规定或监管部门批准的其他费用；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根据相关市场规则，为</w:t>
      </w:r>
      <w:r>
        <w:rPr>
          <w:rFonts w:ascii="仿宋" w:eastAsia="仿宋" w:hAnsi="仿宋" w:cs="宋体" w:hint="eastAsia"/>
          <w:kern w:val="0"/>
          <w:sz w:val="24"/>
          <w:szCs w:val="24"/>
        </w:rPr>
        <w:t>基金开设资金账户、证券账户、期货结算账户等投资所需账户，</w:t>
      </w:r>
      <w:r>
        <w:rPr>
          <w:rFonts w:ascii="仿宋" w:eastAsia="仿宋" w:hAnsi="仿宋" w:cs="宋体"/>
          <w:kern w:val="0"/>
          <w:sz w:val="24"/>
          <w:szCs w:val="24"/>
        </w:rPr>
        <w:t>为基金办理</w:t>
      </w:r>
      <w:r>
        <w:rPr>
          <w:rFonts w:ascii="仿宋" w:eastAsia="仿宋" w:hAnsi="仿宋" w:cs="宋体" w:hint="eastAsia"/>
          <w:kern w:val="0"/>
          <w:sz w:val="24"/>
          <w:szCs w:val="24"/>
        </w:rPr>
        <w:t>证券、期货交易资金清算；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（5）以基金的名义在中央国债登记结算有限责任公司和银行间市场清算所股份有限公司开设银行间债券托管账户；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（6）提议召开或召集基金份额持有人大会；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7</w:t>
      </w:r>
      <w:r>
        <w:rPr>
          <w:rFonts w:ascii="仿宋" w:eastAsia="仿宋" w:hAnsi="仿宋" w:cs="宋体" w:hint="eastAsia"/>
          <w:kern w:val="0"/>
          <w:sz w:val="24"/>
          <w:szCs w:val="24"/>
        </w:rPr>
        <w:t>）在基金管理人更换时，提名新的基金管理人；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hint="eastAsia"/>
          <w:bCs/>
          <w:sz w:val="24"/>
        </w:rPr>
        <w:t>8</w:t>
      </w:r>
      <w:r>
        <w:rPr>
          <w:rFonts w:ascii="仿宋" w:eastAsia="仿宋" w:hAnsi="仿宋" w:cs="宋体" w:hint="eastAsia"/>
          <w:kern w:val="0"/>
          <w:sz w:val="24"/>
          <w:szCs w:val="24"/>
        </w:rPr>
        <w:t>）法律法规</w:t>
      </w:r>
      <w:r w:rsidRPr="005B6007">
        <w:rPr>
          <w:rFonts w:ascii="仿宋" w:eastAsia="仿宋" w:hAnsi="仿宋" w:cs="宋体" w:hint="eastAsia"/>
          <w:kern w:val="0"/>
          <w:sz w:val="24"/>
          <w:szCs w:val="24"/>
        </w:rPr>
        <w:t>及中国证监会规定的和</w:t>
      </w:r>
      <w:r>
        <w:rPr>
          <w:rFonts w:ascii="仿宋" w:eastAsia="仿宋" w:hAnsi="仿宋" w:cs="宋体" w:hint="eastAsia"/>
          <w:kern w:val="0"/>
          <w:sz w:val="24"/>
          <w:szCs w:val="24"/>
        </w:rPr>
        <w:t>《基金合同》约定的其他权利。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）按规定开设基金财产的资金账户、证券账户、期货结算账户等投资所需账户，按照《基金合同》的约定，根据基金管理人的投资指令，及时办理清算、交割事宜；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）保守基金商业秘密，除《基金法》、《基金合同》及其他有关规定另有规定外，在基金信息公开披露前予以保密，不得向他人泄露</w:t>
      </w:r>
      <w:r w:rsidRPr="00E71D2B">
        <w:rPr>
          <w:rFonts w:ascii="仿宋" w:eastAsia="仿宋" w:hAnsi="仿宋" w:cs="宋体" w:hint="eastAsia"/>
          <w:kern w:val="0"/>
          <w:sz w:val="24"/>
          <w:szCs w:val="24"/>
        </w:rPr>
        <w:t>，向监管机构、司法机关等有权机关及审计、法律等外部专业顾问提供的情况除外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）保存基金托管业务活动的记录、账册、报表和其他相关资料不少于法定最低期限；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）从基金管理人或其委托的登记机构处接收并保存基金份额持有人名册；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14</w:t>
      </w:r>
      <w:r>
        <w:rPr>
          <w:rFonts w:ascii="仿宋" w:eastAsia="仿宋" w:hAnsi="仿宋" w:cs="宋体" w:hint="eastAsia"/>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15</w:t>
      </w:r>
      <w:r>
        <w:rPr>
          <w:rFonts w:ascii="仿宋" w:eastAsia="仿宋" w:hAnsi="仿宋" w:cs="宋体" w:hint="eastAsia"/>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16</w:t>
      </w:r>
      <w:r>
        <w:rPr>
          <w:rFonts w:ascii="仿宋" w:eastAsia="仿宋" w:hAnsi="仿宋" w:cs="宋体" w:hint="eastAsia"/>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17</w:t>
      </w:r>
      <w:r>
        <w:rPr>
          <w:rFonts w:ascii="仿宋" w:eastAsia="仿宋" w:hAnsi="仿宋" w:cs="宋体" w:hint="eastAsia"/>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18</w:t>
      </w:r>
      <w:r>
        <w:rPr>
          <w:rFonts w:ascii="仿宋" w:eastAsia="仿宋" w:hAnsi="仿宋" w:cs="宋体" w:hint="eastAsia"/>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19</w:t>
      </w:r>
      <w:r>
        <w:rPr>
          <w:rFonts w:ascii="仿宋" w:eastAsia="仿宋" w:hAnsi="仿宋" w:cs="宋体" w:hint="eastAsia"/>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20</w:t>
      </w:r>
      <w:r>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21</w:t>
      </w:r>
      <w:r>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22</w:t>
      </w:r>
      <w:r>
        <w:rPr>
          <w:rFonts w:ascii="仿宋" w:eastAsia="仿宋" w:hAnsi="仿宋" w:cs="宋体" w:hint="eastAsia"/>
          <w:kern w:val="0"/>
          <w:sz w:val="24"/>
          <w:szCs w:val="24"/>
        </w:rPr>
        <w:t>）</w:t>
      </w:r>
      <w:bookmarkStart w:id="117" w:name="_Toc523711670"/>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18" w:name="_Toc79392582"/>
      <w:bookmarkEnd w:id="117"/>
      <w:r>
        <w:rPr>
          <w:rFonts w:ascii="仿宋" w:eastAsia="仿宋" w:hAnsi="仿宋" w:cs="宋体" w:hint="eastAsia"/>
          <w:b/>
          <w:bCs/>
          <w:kern w:val="0"/>
          <w:sz w:val="24"/>
          <w:szCs w:val="24"/>
        </w:rPr>
        <w:t>三、基金份额持有人</w:t>
      </w:r>
      <w:bookmarkEnd w:id="11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基金投资者持有本基金</w:t>
      </w:r>
      <w:bookmarkStart w:id="119" w:name="_Hlt88899909"/>
      <w:bookmarkEnd w:id="119"/>
      <w:r>
        <w:rPr>
          <w:rFonts w:ascii="仿宋" w:eastAsia="仿宋" w:hAnsi="仿宋" w:cs="宋体" w:hint="eastAsia"/>
          <w:kern w:val="0"/>
          <w:sz w:val="24"/>
          <w:szCs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）参与分配清算后的剩余基金财产；</w:t>
      </w:r>
      <w:bookmarkStart w:id="120" w:name="_Hlt88825574"/>
      <w:bookmarkEnd w:id="12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）对基金管理人、基金托管人、基金服务机构损害其合法权益的行为依法提起诉讼</w:t>
      </w:r>
      <w:r>
        <w:rPr>
          <w:rFonts w:ascii="仿宋" w:eastAsia="仿宋" w:hAnsi="仿宋" w:cs="宋体"/>
          <w:kern w:val="0"/>
          <w:sz w:val="24"/>
          <w:szCs w:val="24"/>
        </w:rPr>
        <w:t>或仲裁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）不从事任何有损基金及其他《基金合同》当事人合法权益的活动；</w:t>
      </w:r>
    </w:p>
    <w:p w:rsidR="00E45E2B" w:rsidRPr="00E71D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w:t>
      </w:r>
      <w:r w:rsidRPr="00E71D2B">
        <w:rPr>
          <w:rFonts w:ascii="仿宋" w:eastAsia="仿宋" w:hAnsi="仿宋" w:cs="宋体" w:hint="eastAsia"/>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）法律法规及中国证监会规定的和《基金合同》约定的其他义务。</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rPr>
          <w:kern w:val="0"/>
        </w:rPr>
      </w:pPr>
      <w:r>
        <w:rPr>
          <w:rFonts w:ascii="仿宋" w:hAnsi="仿宋" w:cs="宋体"/>
          <w:kern w:val="0"/>
          <w:sz w:val="24"/>
          <w:szCs w:val="24"/>
        </w:rPr>
        <w:br w:type="page"/>
      </w:r>
      <w:bookmarkStart w:id="121" w:name="_Toc377998623"/>
      <w:bookmarkStart w:id="122" w:name="_Toc459291246"/>
      <w:bookmarkStart w:id="123" w:name="_Toc169163868"/>
      <w:r w:rsidRPr="004F6C89">
        <w:rPr>
          <w:rFonts w:eastAsia="仿宋" w:hint="eastAsia"/>
          <w:sz w:val="30"/>
          <w:szCs w:val="30"/>
          <w:lang w:val="zh-CN"/>
        </w:rPr>
        <w:t>第八部分</w:t>
      </w:r>
      <w:r w:rsidRPr="004F6C89">
        <w:rPr>
          <w:rFonts w:eastAsia="仿宋" w:hint="eastAsia"/>
          <w:sz w:val="30"/>
          <w:szCs w:val="30"/>
          <w:lang w:val="zh-CN"/>
        </w:rPr>
        <w:t xml:space="preserve">    </w:t>
      </w:r>
      <w:r w:rsidRPr="004F6C89">
        <w:rPr>
          <w:rFonts w:eastAsia="仿宋" w:hint="eastAsia"/>
          <w:sz w:val="30"/>
          <w:szCs w:val="30"/>
          <w:lang w:val="zh-CN"/>
        </w:rPr>
        <w:t>基金份额持有人大会</w:t>
      </w:r>
      <w:bookmarkEnd w:id="121"/>
      <w:bookmarkEnd w:id="122"/>
      <w:bookmarkEnd w:id="12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本基金份额持有人大会不设日常机构。</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4" w:name="_Toc15641220"/>
      <w:bookmarkStart w:id="125" w:name="_Toc79392584"/>
      <w:bookmarkStart w:id="126" w:name="_Toc57530243"/>
      <w:r>
        <w:rPr>
          <w:rFonts w:ascii="仿宋" w:eastAsia="仿宋" w:hAnsi="仿宋" w:cs="宋体" w:hint="eastAsia"/>
          <w:b/>
          <w:bCs/>
          <w:kern w:val="0"/>
          <w:sz w:val="24"/>
          <w:szCs w:val="24"/>
        </w:rPr>
        <w:t>一、召开事由</w:t>
      </w:r>
      <w:bookmarkEnd w:id="124"/>
      <w:bookmarkEnd w:id="125"/>
      <w:bookmarkEnd w:id="12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1C3977">
        <w:rPr>
          <w:rFonts w:ascii="仿宋" w:eastAsia="仿宋" w:hAnsi="仿宋" w:cs="宋体" w:hint="eastAsia"/>
          <w:kern w:val="0"/>
          <w:sz w:val="24"/>
          <w:szCs w:val="24"/>
        </w:rPr>
        <w:t>除法律法规、中国证监会另有规定</w:t>
      </w:r>
      <w:r>
        <w:rPr>
          <w:rFonts w:ascii="仿宋" w:eastAsia="仿宋" w:hAnsi="仿宋" w:cs="宋体" w:hint="eastAsia"/>
          <w:kern w:val="0"/>
          <w:sz w:val="24"/>
          <w:szCs w:val="24"/>
        </w:rPr>
        <w:t>或基金合同另有约定</w:t>
      </w:r>
      <w:r w:rsidRPr="001C3977">
        <w:rPr>
          <w:rFonts w:ascii="仿宋" w:eastAsia="仿宋" w:hAnsi="仿宋" w:cs="宋体" w:hint="eastAsia"/>
          <w:kern w:val="0"/>
          <w:sz w:val="24"/>
          <w:szCs w:val="24"/>
        </w:rPr>
        <w:t>外，</w:t>
      </w:r>
      <w:r>
        <w:rPr>
          <w:rFonts w:ascii="仿宋" w:eastAsia="仿宋" w:hAnsi="仿宋" w:cs="宋体" w:hint="eastAsia"/>
          <w:kern w:val="0"/>
          <w:sz w:val="24"/>
          <w:szCs w:val="24"/>
        </w:rPr>
        <w:t>当出现或需要决定下列事由之一的，应当召开基金份额持有人大会：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）终止《基金合同》；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）更换基金管理人；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）更换基金托管人；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）转换基金运作方式</w:t>
      </w:r>
      <w:r>
        <w:rPr>
          <w:rFonts w:ascii="仿宋" w:eastAsia="仿宋" w:hAnsi="仿宋" w:cs="宋体"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w:t>
      </w:r>
      <w:r>
        <w:rPr>
          <w:rFonts w:ascii="仿宋" w:eastAsia="仿宋" w:hAnsi="仿宋" w:cs="宋体" w:hint="eastAsia"/>
          <w:bCs/>
          <w:color w:val="000000"/>
          <w:kern w:val="0"/>
          <w:sz w:val="24"/>
          <w:szCs w:val="24"/>
        </w:rPr>
        <w:t>调整基金管理人、基金托管人的报酬标准；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）变更基金类别；</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）本基金与其他基金的合并；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）变更基金投资目标、范围或策略；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）变更基金份额持有人大会程序；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10</w:t>
      </w:r>
      <w:r>
        <w:rPr>
          <w:rFonts w:ascii="仿宋" w:eastAsia="仿宋" w:hAnsi="仿宋" w:cs="宋体" w:hint="eastAsia"/>
          <w:kern w:val="0"/>
          <w:sz w:val="24"/>
          <w:szCs w:val="24"/>
        </w:rPr>
        <w:t>）基金管理人或基金托管人要求召开基金份额持有人大会；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11</w:t>
      </w:r>
      <w:r>
        <w:rPr>
          <w:rFonts w:ascii="仿宋" w:eastAsia="仿宋" w:hAnsi="仿宋" w:cs="宋体" w:hint="eastAsia"/>
          <w:kern w:val="0"/>
          <w:sz w:val="24"/>
          <w:szCs w:val="24"/>
        </w:rPr>
        <w:t>）单独或合计持有本基金总份额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％）基金份额的基金份额持有人（以基金管理人收到提议当日的基金份额计算，下同）就同一事项书面要求召开基金份额持有人大会；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12</w:t>
      </w:r>
      <w:r>
        <w:rPr>
          <w:rFonts w:ascii="仿宋" w:eastAsia="仿宋" w:hAnsi="仿宋" w:cs="宋体" w:hint="eastAsia"/>
          <w:kern w:val="0"/>
          <w:sz w:val="24"/>
          <w:szCs w:val="24"/>
        </w:rPr>
        <w:t>）对基金合同当事人权利和义务产生重大影响的其他事项；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13</w:t>
      </w:r>
      <w:r>
        <w:rPr>
          <w:rFonts w:ascii="仿宋" w:eastAsia="仿宋" w:hAnsi="仿宋" w:cs="宋体" w:hint="eastAsia"/>
          <w:kern w:val="0"/>
          <w:sz w:val="24"/>
          <w:szCs w:val="24"/>
        </w:rPr>
        <w:t>）法律法规、《基金合同》或中国证监会规定的其他应当召开基金份额持有人大会的事项。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B3F58">
        <w:rPr>
          <w:rFonts w:ascii="仿宋" w:eastAsia="仿宋" w:hAnsi="仿宋" w:cs="宋体" w:hint="eastAsia"/>
          <w:kern w:val="0"/>
          <w:sz w:val="24"/>
          <w:szCs w:val="24"/>
        </w:rPr>
        <w:t>在法律法规规定和《基金合同》约定的范围内且对基金份额持有人利益无实质性不利影响的</w:t>
      </w:r>
      <w:r>
        <w:rPr>
          <w:rFonts w:ascii="仿宋" w:eastAsia="仿宋" w:hAnsi="仿宋" w:cs="宋体" w:hint="eastAsia"/>
          <w:kern w:val="0"/>
          <w:sz w:val="24"/>
          <w:szCs w:val="24"/>
        </w:rPr>
        <w:t>前提下，以下情况可由基金管理人和基金托管人协商一致</w:t>
      </w:r>
      <w:r w:rsidRPr="00397C20">
        <w:rPr>
          <w:rFonts w:ascii="仿宋" w:eastAsia="仿宋" w:hAnsi="仿宋" w:cs="宋体" w:hint="eastAsia"/>
          <w:kern w:val="0"/>
          <w:sz w:val="24"/>
          <w:szCs w:val="24"/>
        </w:rPr>
        <w:t>并履行适当程序</w:t>
      </w:r>
      <w:r>
        <w:rPr>
          <w:rFonts w:ascii="仿宋" w:eastAsia="仿宋" w:hAnsi="仿宋" w:cs="宋体" w:hint="eastAsia"/>
          <w:kern w:val="0"/>
          <w:sz w:val="24"/>
          <w:szCs w:val="24"/>
        </w:rPr>
        <w:t>后修改，不需召开基金份额持有人大会：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）法律法规要求增加的基金费用的收取</w:t>
      </w:r>
      <w:r w:rsidRPr="001C3977">
        <w:rPr>
          <w:rFonts w:ascii="仿宋" w:eastAsia="仿宋" w:hAnsi="仿宋" w:cs="宋体" w:hint="eastAsia"/>
          <w:kern w:val="0"/>
          <w:sz w:val="24"/>
          <w:szCs w:val="24"/>
        </w:rPr>
        <w:t>和其他应由基金承担的费用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27" w:name="OLE_LINK21"/>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）调整本基金的申购费率或变更收费方式；</w:t>
      </w:r>
    </w:p>
    <w:bookmarkEnd w:id="127"/>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）因相应的法律法规发生变动而应当对《基金合同》进行修改；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）对《基金合同》的修改对基金份额持有人利益无实质性不利影响或修改不涉及《基金合同》当事人权利义务关系发生重大变化；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sidRPr="008B3F58">
        <w:rPr>
          <w:rFonts w:ascii="仿宋" w:eastAsia="仿宋" w:hAnsi="仿宋" w:cs="宋体" w:hint="eastAsia"/>
          <w:kern w:val="0"/>
          <w:sz w:val="24"/>
          <w:szCs w:val="24"/>
        </w:rPr>
        <w:t>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28" w:name="_Toc57530244"/>
      <w:bookmarkStart w:id="129" w:name="_Toc15641221"/>
      <w:bookmarkStart w:id="130" w:name="_Toc79392585"/>
      <w:r>
        <w:rPr>
          <w:rFonts w:ascii="仿宋" w:eastAsia="仿宋" w:hAnsi="仿宋" w:cs="宋体" w:hint="eastAsia"/>
          <w:b/>
          <w:bCs/>
          <w:kern w:val="0"/>
          <w:sz w:val="24"/>
          <w:szCs w:val="24"/>
        </w:rPr>
        <w:t>二、会议召集人及召集方式</w:t>
      </w:r>
      <w:bookmarkEnd w:id="128"/>
      <w:bookmarkEnd w:id="129"/>
      <w:bookmarkEnd w:id="130"/>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31" w:name="_Toc15641222"/>
      <w:bookmarkStart w:id="132" w:name="_Toc57530245"/>
      <w:r>
        <w:rPr>
          <w:rFonts w:ascii="仿宋" w:eastAsia="仿宋" w:hAnsi="仿宋" w:cs="宋体"/>
          <w:kern w:val="0"/>
          <w:sz w:val="24"/>
          <w:szCs w:val="24"/>
        </w:rPr>
        <w:t>1</w:t>
      </w:r>
      <w:r>
        <w:rPr>
          <w:rFonts w:ascii="仿宋" w:eastAsia="仿宋" w:hAnsi="仿宋" w:cs="宋体" w:hint="eastAsia"/>
          <w:kern w:val="0"/>
          <w:sz w:val="24"/>
          <w:szCs w:val="24"/>
        </w:rPr>
        <w:t>、除法律法规规定或《基金合同》另有约定外，基金份额持有人大会由基金管理人召集。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、基金管理人未按规定召集或不能召集时，由基金托管人召集。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、基金托管人认为有必要召开基金份额持有人大会的，应当向基金管理人提出书面提议。基金管理人应当自收到书面提议之日起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日内决定是否召集，并书面告知基金托管人。基金管理人决定召集的，应当自出具书面决定之日起</w:t>
      </w:r>
      <w:r>
        <w:rPr>
          <w:rFonts w:ascii="仿宋" w:eastAsia="仿宋" w:hAnsi="仿宋" w:cs="宋体"/>
          <w:kern w:val="0"/>
          <w:sz w:val="24"/>
          <w:szCs w:val="24"/>
        </w:rPr>
        <w:t xml:space="preserve">60 </w:t>
      </w:r>
      <w:r>
        <w:rPr>
          <w:rFonts w:ascii="仿宋" w:eastAsia="仿宋" w:hAnsi="仿宋" w:cs="宋体" w:hint="eastAsia"/>
          <w:kern w:val="0"/>
          <w:sz w:val="24"/>
          <w:szCs w:val="24"/>
        </w:rPr>
        <w:t>日内召开；基金管理人决定不召集，基金托管人仍认为有必要召开的，应当由基金托管人自行召集，并自出具书面决定之日起六十日内召开并告知基金管理人，基金管理人应当配合。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）的基金份额持有人就同一事项书面要求召开基金份额持有人大会，应当向基金管理人提出书面提议。基金管理人应当自收到书面提议之日起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日内决定是否召集，并书面告知提出提议的基金份额持有人代表和基金托管人。基金管理人决定召集的，应当自出具书面决定之日起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日内召开；基金管理人决定不召集，代表基金份额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）的基金份额持有人仍认为有必要召开的，应当向基金托管人提出书面提议。基金托管人应当自收到书面提议之日起</w:t>
      </w:r>
      <w:r>
        <w:rPr>
          <w:rFonts w:ascii="仿宋" w:eastAsia="仿宋" w:hAnsi="仿宋" w:cs="宋体"/>
          <w:kern w:val="0"/>
          <w:sz w:val="24"/>
          <w:szCs w:val="24"/>
        </w:rPr>
        <w:t>10</w:t>
      </w:r>
      <w:r>
        <w:rPr>
          <w:rFonts w:ascii="仿宋" w:eastAsia="仿宋" w:hAnsi="仿宋" w:cs="宋体" w:hint="eastAsia"/>
          <w:kern w:val="0"/>
          <w:sz w:val="24"/>
          <w:szCs w:val="24"/>
        </w:rPr>
        <w:t>日内决定是否召集，并书面告知提出提议的基金份额持有人代表和基金管理人；基金托管人决定召集的，应当自出具书面决定之日起</w:t>
      </w:r>
      <w:r>
        <w:rPr>
          <w:rFonts w:ascii="仿宋" w:eastAsia="仿宋" w:hAnsi="仿宋" w:cs="宋体"/>
          <w:kern w:val="0"/>
          <w:sz w:val="24"/>
          <w:szCs w:val="24"/>
        </w:rPr>
        <w:t>60</w:t>
      </w:r>
      <w:r>
        <w:rPr>
          <w:rFonts w:ascii="仿宋" w:eastAsia="仿宋" w:hAnsi="仿宋" w:cs="宋体" w:hint="eastAsia"/>
          <w:kern w:val="0"/>
          <w:sz w:val="24"/>
          <w:szCs w:val="24"/>
        </w:rPr>
        <w:t>日内召开并告知基金管理人，基金管理人应当配合。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）的基金份额持有人就同一事项要求召开基金份额持有人大会，而基金管理人、基金托管人都不召集的，单独或合计代表基金份额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）的基金份额持有人有权自行召集，并至少提前</w:t>
      </w:r>
      <w:r>
        <w:rPr>
          <w:rFonts w:ascii="仿宋" w:eastAsia="仿宋" w:hAnsi="仿宋" w:cs="宋体"/>
          <w:kern w:val="0"/>
          <w:sz w:val="24"/>
          <w:szCs w:val="24"/>
        </w:rPr>
        <w:t>30</w:t>
      </w:r>
      <w:r>
        <w:rPr>
          <w:rFonts w:ascii="仿宋" w:eastAsia="仿宋" w:hAnsi="仿宋" w:cs="宋体" w:hint="eastAsia"/>
          <w:kern w:val="0"/>
          <w:sz w:val="24"/>
          <w:szCs w:val="24"/>
        </w:rPr>
        <w:t>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3" w:name="_Toc79392586"/>
      <w:r>
        <w:rPr>
          <w:rFonts w:ascii="仿宋" w:eastAsia="仿宋" w:hAnsi="仿宋" w:cs="宋体" w:hint="eastAsia"/>
          <w:b/>
          <w:bCs/>
          <w:kern w:val="0"/>
          <w:sz w:val="24"/>
          <w:szCs w:val="24"/>
        </w:rPr>
        <w:t>三、召开基金份额持有人大会的通知时间、通知内容、通知方式</w:t>
      </w:r>
      <w:bookmarkEnd w:id="131"/>
      <w:bookmarkEnd w:id="132"/>
      <w:bookmarkEnd w:id="13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、召开基金份额持有人大会，召集人应于会议召开前3</w:t>
      </w:r>
      <w:r>
        <w:rPr>
          <w:rFonts w:ascii="仿宋" w:eastAsia="仿宋" w:hAnsi="仿宋" w:cs="宋体"/>
          <w:kern w:val="0"/>
          <w:sz w:val="24"/>
          <w:szCs w:val="24"/>
        </w:rPr>
        <w:t>0</w:t>
      </w:r>
      <w:r>
        <w:rPr>
          <w:rFonts w:ascii="仿宋" w:eastAsia="仿宋" w:hAnsi="仿宋" w:cs="宋体" w:hint="eastAsia"/>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4" w:name="_Toc79392587"/>
      <w:bookmarkStart w:id="135" w:name="_Toc57530246"/>
      <w:bookmarkStart w:id="136" w:name="_Toc15641223"/>
      <w:r>
        <w:rPr>
          <w:rFonts w:ascii="仿宋" w:eastAsia="仿宋" w:hAnsi="仿宋" w:cs="宋体" w:hint="eastAsia"/>
          <w:b/>
          <w:bCs/>
          <w:kern w:val="0"/>
          <w:sz w:val="24"/>
          <w:szCs w:val="24"/>
        </w:rPr>
        <w:t>四、基金份额持有人出席会议的方式</w:t>
      </w:r>
      <w:bookmarkEnd w:id="134"/>
      <w:bookmarkEnd w:id="135"/>
      <w:bookmarkEnd w:id="136"/>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基金份额持有人大会可通过现场开会方式、通讯开会方式或法律法规、监管机构允许的其他方式召开，会议的召开方式由会议召集人确定。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665CE1">
        <w:rPr>
          <w:rFonts w:ascii="仿宋" w:eastAsia="仿宋" w:hAnsi="仿宋"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、通讯开会。通讯开会系指基金份额持有人将其对表决事项的投票以</w:t>
      </w:r>
      <w:r w:rsidRPr="008238A7">
        <w:rPr>
          <w:rFonts w:ascii="仿宋" w:eastAsia="仿宋" w:hAnsi="仿宋" w:cs="宋体" w:hint="eastAsia"/>
          <w:kern w:val="0"/>
          <w:sz w:val="24"/>
          <w:szCs w:val="24"/>
        </w:rPr>
        <w:t>书面形式或</w:t>
      </w:r>
      <w:r w:rsidRPr="00ED6494">
        <w:rPr>
          <w:rFonts w:ascii="仿宋" w:eastAsia="仿宋" w:hAnsi="仿宋" w:cs="宋体" w:hint="eastAsia"/>
          <w:kern w:val="0"/>
          <w:sz w:val="24"/>
          <w:szCs w:val="24"/>
        </w:rPr>
        <w:t>大会公告载明</w:t>
      </w:r>
      <w:r>
        <w:rPr>
          <w:rFonts w:ascii="仿宋" w:eastAsia="仿宋" w:hAnsi="仿宋" w:cs="宋体" w:hint="eastAsia"/>
          <w:kern w:val="0"/>
          <w:sz w:val="24"/>
          <w:szCs w:val="24"/>
        </w:rPr>
        <w:t>的其他方式在表决截止日以前送达至召集人指定的地址或系统。</w:t>
      </w:r>
      <w:r w:rsidRPr="008238A7">
        <w:rPr>
          <w:rFonts w:ascii="仿宋" w:eastAsia="仿宋" w:hAnsi="仿宋" w:cs="宋体" w:hint="eastAsia"/>
          <w:kern w:val="0"/>
          <w:sz w:val="24"/>
          <w:szCs w:val="24"/>
        </w:rPr>
        <w:t>通讯开会应以书面方式或</w:t>
      </w:r>
      <w:r w:rsidRPr="00ED6494">
        <w:rPr>
          <w:rFonts w:ascii="仿宋" w:eastAsia="仿宋" w:hAnsi="仿宋" w:cs="宋体" w:hint="eastAsia"/>
          <w:kern w:val="0"/>
          <w:sz w:val="24"/>
          <w:szCs w:val="24"/>
        </w:rPr>
        <w:t>大会公告载明</w:t>
      </w:r>
      <w:r w:rsidRPr="008238A7">
        <w:rPr>
          <w:rFonts w:ascii="仿宋" w:eastAsia="仿宋" w:hAnsi="仿宋" w:cs="宋体" w:hint="eastAsia"/>
          <w:kern w:val="0"/>
          <w:sz w:val="24"/>
          <w:szCs w:val="24"/>
        </w:rPr>
        <w:t>的其他方式进行表决</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在同时符合以下条件时，通讯开会的方式视为有效：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）会议召集人按《基金合同》约定公布会议通知后，在</w:t>
      </w:r>
      <w:r w:rsidRPr="008238A7">
        <w:rPr>
          <w:rFonts w:ascii="仿宋" w:eastAsia="仿宋" w:hAnsi="仿宋" w:cs="宋体" w:hint="eastAsia"/>
          <w:kern w:val="0"/>
          <w:sz w:val="24"/>
          <w:szCs w:val="24"/>
        </w:rPr>
        <w:t>2个工作日内连续</w:t>
      </w:r>
      <w:r>
        <w:rPr>
          <w:rFonts w:ascii="仿宋" w:eastAsia="仿宋" w:hAnsi="仿宋" w:cs="宋体" w:hint="eastAsia"/>
          <w:kern w:val="0"/>
          <w:sz w:val="24"/>
          <w:szCs w:val="24"/>
        </w:rPr>
        <w:t>公布相关提示性公告；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）本人直接出具表决意见或授权他人代表出具表决意见的，基金份额持有人所持有的基金份额不小于在权益登记日基金总份额的</w:t>
      </w:r>
      <w:r w:rsidRPr="008238A7">
        <w:rPr>
          <w:rFonts w:ascii="仿宋" w:eastAsia="仿宋" w:hAnsi="仿宋" w:cs="宋体" w:hint="eastAsia"/>
          <w:kern w:val="0"/>
          <w:sz w:val="24"/>
          <w:szCs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）上述第（</w:t>
      </w:r>
      <w:r>
        <w:rPr>
          <w:rFonts w:ascii="仿宋" w:eastAsia="仿宋" w:hAnsi="仿宋" w:cs="宋体"/>
          <w:kern w:val="0"/>
          <w:sz w:val="24"/>
          <w:szCs w:val="24"/>
        </w:rPr>
        <w:t>3</w:t>
      </w:r>
      <w:r>
        <w:rPr>
          <w:rFonts w:ascii="仿宋" w:eastAsia="仿宋" w:hAnsi="仿宋" w:cs="宋体" w:hint="eastAsia"/>
          <w:kern w:val="0"/>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w:t>
      </w:r>
      <w:r w:rsidRPr="008238A7">
        <w:rPr>
          <w:rFonts w:ascii="仿宋" w:eastAsia="仿宋" w:hAnsi="仿宋" w:cs="宋体" w:hint="eastAsia"/>
          <w:kern w:val="0"/>
          <w:sz w:val="24"/>
          <w:szCs w:val="24"/>
        </w:rPr>
        <w:t>委托证明需</w:t>
      </w:r>
      <w:r>
        <w:rPr>
          <w:rFonts w:ascii="仿宋" w:eastAsia="仿宋" w:hAnsi="仿宋" w:cs="宋体" w:hint="eastAsia"/>
          <w:kern w:val="0"/>
          <w:sz w:val="24"/>
          <w:szCs w:val="24"/>
        </w:rPr>
        <w:t>符合法律法规、《基金合同》和会议通知的规定</w:t>
      </w:r>
      <w:r w:rsidRPr="00BF1B33">
        <w:rPr>
          <w:rFonts w:ascii="仿宋" w:eastAsia="仿宋" w:hAnsi="仿宋" w:cs="宋体" w:hint="eastAsia"/>
          <w:kern w:val="0"/>
          <w:sz w:val="24"/>
          <w:szCs w:val="24"/>
        </w:rPr>
        <w:t>，并与基金登记机构记录相符</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37" w:name="_Toc79392588"/>
      <w:bookmarkStart w:id="138" w:name="_Toc15641224"/>
      <w:bookmarkStart w:id="139" w:name="_Toc57530247"/>
      <w:r>
        <w:rPr>
          <w:rFonts w:ascii="仿宋" w:eastAsia="仿宋" w:hAnsi="仿宋" w:cs="宋体" w:hint="eastAsia"/>
          <w:b/>
          <w:bCs/>
          <w:kern w:val="0"/>
          <w:sz w:val="24"/>
          <w:szCs w:val="24"/>
        </w:rPr>
        <w:t>五、议事内容与程序</w:t>
      </w:r>
      <w:bookmarkEnd w:id="137"/>
      <w:bookmarkEnd w:id="138"/>
      <w:bookmarkEnd w:id="13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、议事内容及提案权</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宋体"/>
          <w:kern w:val="0"/>
          <w:sz w:val="24"/>
          <w:szCs w:val="24"/>
        </w:rPr>
        <w:t>二分之一</w:t>
      </w:r>
      <w:r>
        <w:rPr>
          <w:rFonts w:ascii="仿宋" w:eastAsia="仿宋" w:hAnsi="仿宋" w:cs="宋体" w:hint="eastAsia"/>
          <w:kern w:val="0"/>
          <w:sz w:val="24"/>
          <w:szCs w:val="24"/>
        </w:rPr>
        <w:t>以上（含</w:t>
      </w:r>
      <w:r>
        <w:rPr>
          <w:rFonts w:ascii="仿宋" w:eastAsia="仿宋" w:hAnsi="仿宋" w:cs="宋体"/>
          <w:kern w:val="0"/>
          <w:sz w:val="24"/>
          <w:szCs w:val="24"/>
        </w:rPr>
        <w:t>二分之一</w:t>
      </w:r>
      <w:r>
        <w:rPr>
          <w:rFonts w:ascii="仿宋" w:eastAsia="仿宋" w:hAnsi="仿宋" w:cs="宋体" w:hint="eastAsia"/>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在通讯开会的情况下，首先由召集人提前</w:t>
      </w:r>
      <w:r>
        <w:rPr>
          <w:rFonts w:ascii="仿宋" w:eastAsia="仿宋" w:hAnsi="仿宋" w:cs="宋体"/>
          <w:kern w:val="0"/>
          <w:sz w:val="24"/>
          <w:szCs w:val="24"/>
        </w:rPr>
        <w:t>30</w:t>
      </w:r>
      <w:r>
        <w:rPr>
          <w:rFonts w:ascii="仿宋" w:eastAsia="仿宋" w:hAnsi="仿宋" w:cs="宋体" w:hint="eastAsia"/>
          <w:kern w:val="0"/>
          <w:sz w:val="24"/>
          <w:szCs w:val="24"/>
        </w:rPr>
        <w:t>日公布提案，在所通知的表决截止日期后</w:t>
      </w:r>
      <w:r>
        <w:rPr>
          <w:rFonts w:ascii="仿宋" w:eastAsia="仿宋" w:hAnsi="仿宋" w:cs="宋体"/>
          <w:kern w:val="0"/>
          <w:sz w:val="24"/>
          <w:szCs w:val="24"/>
        </w:rPr>
        <w:t>2</w:t>
      </w:r>
      <w:r>
        <w:rPr>
          <w:rFonts w:ascii="仿宋" w:eastAsia="仿宋" w:hAnsi="仿宋" w:cs="宋体" w:hint="eastAsia"/>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40" w:name="_Toc57530248"/>
      <w:bookmarkStart w:id="141" w:name="_Toc79392589"/>
      <w:bookmarkStart w:id="142" w:name="_Toc15641225"/>
      <w:r>
        <w:rPr>
          <w:rFonts w:ascii="仿宋" w:eastAsia="仿宋" w:hAnsi="仿宋" w:cs="宋体" w:hint="eastAsia"/>
          <w:b/>
          <w:bCs/>
          <w:kern w:val="0"/>
          <w:sz w:val="24"/>
          <w:szCs w:val="24"/>
        </w:rPr>
        <w:t>六、表决</w:t>
      </w:r>
      <w:bookmarkEnd w:id="140"/>
      <w:bookmarkEnd w:id="141"/>
      <w:bookmarkEnd w:id="14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、一般决议，一般决议须经参加大会的基金份额持有人或其代理人所持表决权的二分之一以上（含二分之一）通过方为有效；除下列第</w:t>
      </w:r>
      <w:r>
        <w:rPr>
          <w:rFonts w:ascii="仿宋" w:eastAsia="仿宋" w:hAnsi="仿宋" w:cs="宋体"/>
          <w:kern w:val="0"/>
          <w:sz w:val="24"/>
          <w:szCs w:val="24"/>
        </w:rPr>
        <w:t>2</w:t>
      </w:r>
      <w:r>
        <w:rPr>
          <w:rFonts w:ascii="仿宋" w:eastAsia="仿宋" w:hAnsi="仿宋" w:cs="宋体" w:hint="eastAsia"/>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宋体" w:hint="eastAsia"/>
          <w:kern w:val="0"/>
          <w:sz w:val="24"/>
          <w:szCs w:val="24"/>
        </w:rPr>
        <w:t>除法律法规另有规定或基金合同另有约定外，</w:t>
      </w:r>
      <w:r>
        <w:rPr>
          <w:rFonts w:ascii="仿宋" w:eastAsia="仿宋" w:hAnsi="仿宋" w:cs="宋体" w:hint="eastAsia"/>
          <w:kern w:val="0"/>
          <w:sz w:val="24"/>
          <w:szCs w:val="24"/>
        </w:rPr>
        <w:t>转换基金运作方式、更换基金管理人或者基金托管人、终止《基金合同》、</w:t>
      </w:r>
      <w:r w:rsidRPr="00D0678D">
        <w:rPr>
          <w:rFonts w:ascii="仿宋" w:eastAsia="仿宋" w:hAnsi="仿宋" w:cs="宋体" w:hint="eastAsia"/>
          <w:kern w:val="0"/>
          <w:sz w:val="24"/>
          <w:szCs w:val="24"/>
        </w:rPr>
        <w:t>本基金</w:t>
      </w:r>
      <w:r>
        <w:rPr>
          <w:rFonts w:ascii="仿宋" w:eastAsia="仿宋" w:hAnsi="仿宋" w:cs="宋体" w:hint="eastAsia"/>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43" w:name="_Toc15641226"/>
      <w:bookmarkStart w:id="144" w:name="_Toc57530249"/>
      <w:bookmarkStart w:id="145" w:name="_Toc79392590"/>
      <w:r>
        <w:rPr>
          <w:rFonts w:ascii="仿宋" w:eastAsia="仿宋" w:hAnsi="仿宋" w:cs="宋体" w:hint="eastAsia"/>
          <w:b/>
          <w:bCs/>
          <w:kern w:val="0"/>
          <w:sz w:val="24"/>
          <w:szCs w:val="24"/>
        </w:rPr>
        <w:t>七、计票</w:t>
      </w:r>
      <w:bookmarkEnd w:id="143"/>
      <w:bookmarkEnd w:id="144"/>
      <w:bookmarkEnd w:id="14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）计票过程应由公证机关予以公证</w:t>
      </w:r>
      <w:r>
        <w:rPr>
          <w:rFonts w:ascii="仿宋" w:eastAsia="仿宋" w:hAnsi="仿宋" w:cs="宋体"/>
          <w:kern w:val="0"/>
          <w:sz w:val="24"/>
          <w:szCs w:val="24"/>
        </w:rPr>
        <w:t>,</w:t>
      </w:r>
      <w:r>
        <w:rPr>
          <w:rFonts w:ascii="仿宋" w:eastAsia="仿宋" w:hAnsi="仿宋" w:cs="宋体" w:hint="eastAsia"/>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6" w:name="_Toc15641227"/>
      <w:bookmarkStart w:id="147" w:name="_Toc79392591"/>
      <w:bookmarkStart w:id="148" w:name="_Toc57530250"/>
      <w:r>
        <w:rPr>
          <w:rFonts w:ascii="仿宋" w:eastAsia="仿宋" w:hAnsi="仿宋" w:cs="宋体" w:hint="eastAsia"/>
          <w:kern w:val="0"/>
          <w:sz w:val="24"/>
          <w:szCs w:val="24"/>
        </w:rPr>
        <w:t>。基金管理人或基金托管人拒派代表对表决意见的计票进行监督的，不影响计票和表决结果。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八、生效与公告</w:t>
      </w:r>
      <w:bookmarkEnd w:id="146"/>
      <w:bookmarkEnd w:id="147"/>
      <w:bookmarkEnd w:id="14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基金份额持有人大会的决议，召集人应当自通过之日起</w:t>
      </w:r>
      <w:r>
        <w:rPr>
          <w:rFonts w:ascii="仿宋" w:eastAsia="仿宋" w:hAnsi="仿宋" w:cs="宋体"/>
          <w:kern w:val="0"/>
          <w:sz w:val="24"/>
          <w:szCs w:val="24"/>
        </w:rPr>
        <w:t>5</w:t>
      </w:r>
      <w:r>
        <w:rPr>
          <w:rFonts w:ascii="仿宋" w:eastAsia="仿宋" w:hAnsi="仿宋" w:cs="宋体" w:hint="eastAsia"/>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49" w:name="OLE_LINK6"/>
      <w:r>
        <w:rPr>
          <w:rFonts w:ascii="仿宋" w:eastAsia="仿宋" w:hAnsi="仿宋" w:cs="宋体" w:hint="eastAsia"/>
          <w:kern w:val="0"/>
          <w:sz w:val="24"/>
          <w:szCs w:val="24"/>
        </w:rPr>
        <w:t>基金份额持有人大会决议自生效之日起</w:t>
      </w:r>
      <w:r>
        <w:rPr>
          <w:rFonts w:ascii="仿宋" w:eastAsia="仿宋" w:hAnsi="仿宋" w:cs="宋体"/>
          <w:kern w:val="0"/>
          <w:sz w:val="24"/>
          <w:szCs w:val="24"/>
        </w:rPr>
        <w:t>2</w:t>
      </w:r>
      <w:r>
        <w:rPr>
          <w:rFonts w:ascii="仿宋" w:eastAsia="仿宋" w:hAnsi="仿宋" w:cs="宋体" w:hint="eastAsia"/>
          <w:kern w:val="0"/>
          <w:sz w:val="24"/>
          <w:szCs w:val="24"/>
        </w:rPr>
        <w:t>日内在规定媒介上公告。</w:t>
      </w:r>
      <w:bookmarkStart w:id="150" w:name="_Hlt88820702"/>
      <w:bookmarkEnd w:id="150"/>
      <w:r>
        <w:rPr>
          <w:rFonts w:ascii="仿宋" w:eastAsia="仿宋" w:hAnsi="仿宋" w:cs="宋体" w:hint="eastAsia"/>
          <w:kern w:val="0"/>
          <w:sz w:val="24"/>
          <w:szCs w:val="24"/>
        </w:rPr>
        <w:t>如果采用通讯方式进行表决，在公告基金份额持有人大会决议时，必须将公证书全文、公证机构、公证员姓名等一同公告</w:t>
      </w:r>
      <w:bookmarkEnd w:id="14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九、实施侧袋机制期间基金份额持有人大会的特殊约定</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1、基金份额持有人行使提议权、召集权、提名权所需单独或合计代表相关基金份额10%以上（含10%）；</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2、现场开会的到会者在权益登记日代表的基金份额不少于本基金在权益登记日相关基金份额的二分之一（含二分之一）；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5、现场开会由出席大会的基金份额持有人和代理人所持表决权的50%以上（含50%）选举产生一名基金份额持有人作为该次基金份额持有人大会的主持人；</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6、一般决议须经参加大会的基金份额持有人或其代理人所持表决权的二分之一以上（含二分之一）通过；</w:t>
      </w:r>
    </w:p>
    <w:p w:rsidR="00E45E2B" w:rsidRPr="001C3977"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C3977">
        <w:rPr>
          <w:rFonts w:ascii="仿宋" w:eastAsia="仿宋" w:hAnsi="仿宋" w:cs="宋体" w:hint="eastAsia"/>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51" w:name="_Toc15118245"/>
      <w:bookmarkStart w:id="152" w:name="_Toc57530252"/>
      <w:bookmarkStart w:id="153" w:name="_Toc79392593"/>
      <w:r>
        <w:rPr>
          <w:rFonts w:ascii="仿宋" w:eastAsia="仿宋" w:hAnsi="仿宋" w:cs="宋体" w:hint="eastAsia"/>
          <w:kern w:val="0"/>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w:t>
      </w:r>
      <w:r w:rsidRPr="0072430B">
        <w:rPr>
          <w:rFonts w:ascii="仿宋" w:eastAsia="仿宋" w:hAnsi="仿宋" w:cs="宋体" w:hint="eastAsia"/>
          <w:kern w:val="0"/>
          <w:sz w:val="24"/>
          <w:szCs w:val="24"/>
        </w:rPr>
        <w:t>与基金托管人协商一致并</w:t>
      </w:r>
      <w:r>
        <w:rPr>
          <w:rFonts w:ascii="仿宋" w:eastAsia="仿宋" w:hAnsi="仿宋" w:cs="宋体" w:hint="eastAsia"/>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54" w:name="_Toc377998624"/>
      <w:bookmarkStart w:id="155" w:name="_Toc459291247"/>
      <w:bookmarkStart w:id="156" w:name="_Toc169163869"/>
      <w:r w:rsidRPr="004F6C89">
        <w:rPr>
          <w:rFonts w:eastAsia="仿宋" w:hint="eastAsia"/>
          <w:sz w:val="30"/>
          <w:szCs w:val="30"/>
          <w:lang w:val="zh-CN"/>
        </w:rPr>
        <w:t>第九部分</w:t>
      </w:r>
      <w:r w:rsidRPr="004F6C89">
        <w:rPr>
          <w:rFonts w:eastAsia="仿宋" w:hint="eastAsia"/>
          <w:sz w:val="30"/>
          <w:szCs w:val="30"/>
          <w:lang w:val="zh-CN"/>
        </w:rPr>
        <w:t xml:space="preserve">    </w:t>
      </w:r>
      <w:r w:rsidRPr="004F6C89">
        <w:rPr>
          <w:rFonts w:eastAsia="仿宋" w:hint="eastAsia"/>
          <w:sz w:val="30"/>
          <w:szCs w:val="30"/>
          <w:lang w:val="zh-CN"/>
        </w:rPr>
        <w:t>基金管理人、基金托管人的更换条件和程序</w:t>
      </w:r>
      <w:bookmarkEnd w:id="154"/>
      <w:bookmarkEnd w:id="155"/>
      <w:bookmarkEnd w:id="156"/>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一、基金管理人和基金托管人职责终止的情形</w:t>
      </w:r>
      <w:bookmarkEnd w:id="151"/>
      <w:bookmarkEnd w:id="152"/>
      <w:bookmarkEnd w:id="153"/>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7" w:name="_Toc22005971"/>
      <w:r>
        <w:rPr>
          <w:rFonts w:ascii="仿宋" w:eastAsia="仿宋" w:hAnsi="仿宋" w:cs="宋体" w:hint="eastAsia"/>
          <w:b/>
          <w:bCs/>
          <w:kern w:val="0"/>
          <w:sz w:val="24"/>
          <w:szCs w:val="24"/>
        </w:rPr>
        <w:t>（一）基金管理人职责终止的情形</w:t>
      </w:r>
      <w:bookmarkEnd w:id="15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有下列情形之一的，基金管理人职责终止：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、被依法取消基金管理资格；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8" w:name="_Toc22005972"/>
      <w:r>
        <w:rPr>
          <w:rFonts w:ascii="仿宋" w:eastAsia="仿宋" w:hAnsi="仿宋" w:cs="宋体" w:hint="eastAsia"/>
          <w:b/>
          <w:bCs/>
          <w:kern w:val="0"/>
          <w:sz w:val="24"/>
          <w:szCs w:val="24"/>
        </w:rPr>
        <w:t>（二）基金托管人职责终止的情形</w:t>
      </w:r>
      <w:bookmarkEnd w:id="15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有下列情形之一的，基金托管人职责终止：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、被依法取消基金托管资格；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、被基金份额持有人大会解任；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、依法解散、被依法撤销或被依法宣告破产；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、法律法规及中国证监会规定的和《基金合同》约定的其他情形。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59" w:name="_Toc57530253"/>
      <w:bookmarkStart w:id="160" w:name="_Toc79392594"/>
      <w:bookmarkStart w:id="161" w:name="_Toc15118246"/>
      <w:r>
        <w:rPr>
          <w:rFonts w:ascii="仿宋" w:eastAsia="仿宋" w:hAnsi="仿宋" w:cs="宋体" w:hint="eastAsia"/>
          <w:b/>
          <w:bCs/>
          <w:kern w:val="0"/>
          <w:sz w:val="24"/>
          <w:szCs w:val="24"/>
        </w:rPr>
        <w:t>二、基金管理人和基金托管人的更换程序</w:t>
      </w:r>
      <w:bookmarkEnd w:id="159"/>
      <w:bookmarkEnd w:id="160"/>
      <w:bookmarkEnd w:id="161"/>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2" w:name="_Toc22005974"/>
      <w:r>
        <w:rPr>
          <w:rFonts w:ascii="仿宋" w:eastAsia="仿宋" w:hAnsi="仿宋" w:cs="宋体" w:hint="eastAsia"/>
          <w:b/>
          <w:bCs/>
          <w:kern w:val="0"/>
          <w:sz w:val="24"/>
          <w:szCs w:val="24"/>
        </w:rPr>
        <w:t>（一）基金管理人的更换程序</w:t>
      </w:r>
      <w:bookmarkEnd w:id="16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、提名：新任基金管理人由基金托管人或由单独或合计持有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、决议：基金份额持有人大会在基金管理人职责终止后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个月内对被提名的基金管理人形成决议，该决议需经参加大会的基金份额持有人所持表决权的</w:t>
      </w:r>
      <w:r>
        <w:rPr>
          <w:rFonts w:ascii="仿宋" w:eastAsia="仿宋" w:hAnsi="仿宋" w:cs="宋体"/>
          <w:kern w:val="0"/>
          <w:sz w:val="24"/>
          <w:szCs w:val="24"/>
        </w:rPr>
        <w:t>2/3</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CA79D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、临时基金管理人：新任基金管理人产生之前，由中国证监会指定临时基金管理人；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、备案：基金份额持有人大会更换基金管理人的决议须报中国证监会备案；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、公告：基金管理人更换后，由基金托管人在更换基金管理人的基金份额持有人大会决议生效后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、审计：基金管理人职责终止的，应当按照法律法规规定聘请符合法律法规规定的会计师事务所对基金财产进行审计，并将审计结果予以公告，同时报中国证监会备案；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、基金名称变更：基金管理人更换后，如果原任或新任基金管理人要求，应按其要求替换或删除基金名称中与原基金管理人有关的名称字样。</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3" w:name="_Toc22005975"/>
      <w:r>
        <w:rPr>
          <w:rFonts w:ascii="仿宋" w:eastAsia="仿宋" w:hAnsi="仿宋" w:cs="宋体" w:hint="eastAsia"/>
          <w:b/>
          <w:bCs/>
          <w:kern w:val="0"/>
          <w:sz w:val="24"/>
          <w:szCs w:val="24"/>
        </w:rPr>
        <w:t>（二）基金托管人的更换程序</w:t>
      </w:r>
      <w:bookmarkEnd w:id="163"/>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、提名：新任基金托管人由基金管理人或由单独或合计持有</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）基金份额的基金份额持有人提名；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、决议：基金份额持有人大会在基金托管人职责终止后</w:t>
      </w:r>
      <w:r>
        <w:rPr>
          <w:rFonts w:ascii="仿宋" w:eastAsia="仿宋" w:hAnsi="仿宋" w:cs="宋体"/>
          <w:kern w:val="0"/>
          <w:sz w:val="24"/>
          <w:szCs w:val="24"/>
        </w:rPr>
        <w:t>6</w:t>
      </w:r>
      <w:r>
        <w:rPr>
          <w:rFonts w:ascii="仿宋" w:eastAsia="仿宋" w:hAnsi="仿宋" w:cs="宋体" w:hint="eastAsia"/>
          <w:kern w:val="0"/>
          <w:sz w:val="24"/>
          <w:szCs w:val="24"/>
        </w:rPr>
        <w:t>个月内对被提名的基金托管人形成决议，该决议需经参加大会的基金份额持有人所持表决权的</w:t>
      </w:r>
      <w:r>
        <w:rPr>
          <w:rFonts w:ascii="仿宋" w:eastAsia="仿宋" w:hAnsi="仿宋" w:cs="宋体"/>
          <w:kern w:val="0"/>
          <w:sz w:val="24"/>
          <w:szCs w:val="24"/>
        </w:rPr>
        <w:t xml:space="preserve">2/3 </w:t>
      </w:r>
      <w:r>
        <w:rPr>
          <w:rFonts w:ascii="仿宋" w:eastAsia="仿宋" w:hAnsi="仿宋" w:cs="宋体" w:hint="eastAsia"/>
          <w:kern w:val="0"/>
          <w:sz w:val="24"/>
          <w:szCs w:val="24"/>
        </w:rPr>
        <w:t>以上（含</w:t>
      </w:r>
      <w:r>
        <w:rPr>
          <w:rFonts w:ascii="仿宋" w:eastAsia="仿宋" w:hAnsi="仿宋" w:cs="宋体"/>
          <w:kern w:val="0"/>
          <w:sz w:val="24"/>
          <w:szCs w:val="24"/>
        </w:rPr>
        <w:t>2/3</w:t>
      </w:r>
      <w:r>
        <w:rPr>
          <w:rFonts w:ascii="仿宋" w:eastAsia="仿宋" w:hAnsi="仿宋" w:cs="宋体" w:hint="eastAsia"/>
          <w:kern w:val="0"/>
          <w:sz w:val="24"/>
          <w:szCs w:val="24"/>
        </w:rPr>
        <w:t>）表决通过</w:t>
      </w:r>
      <w:r w:rsidRPr="004C1A06">
        <w:rPr>
          <w:rFonts w:ascii="仿宋" w:eastAsia="仿宋" w:hAnsi="仿宋" w:cs="宋体" w:hint="eastAsia"/>
          <w:kern w:val="0"/>
          <w:sz w:val="24"/>
          <w:szCs w:val="24"/>
        </w:rPr>
        <w:t>，决议自表决通过之日起生效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、临时基金托管人：新任基金托管人产生之前，由中国证监会指定临时基金托管人；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、备案：基金份额持有人大会更换基金托管人的决议须报中国证监会备案；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、公告：基金托管人更换后，由基金管理人在更换基金托管人的基金份额持有人大会决议生效后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、审计：基金托管人职责终止的，应当按照法律法规规定聘请</w:t>
      </w:r>
      <w:r w:rsidRPr="0047161F">
        <w:rPr>
          <w:rFonts w:ascii="仿宋" w:eastAsia="仿宋" w:hAnsi="仿宋" w:cs="宋体" w:hint="eastAsia"/>
          <w:kern w:val="0"/>
          <w:sz w:val="24"/>
          <w:szCs w:val="24"/>
        </w:rPr>
        <w:t>符合法律法规规定的</w:t>
      </w:r>
      <w:r>
        <w:rPr>
          <w:rFonts w:ascii="仿宋" w:eastAsia="仿宋" w:hAnsi="仿宋" w:cs="宋体" w:hint="eastAsia"/>
          <w:kern w:val="0"/>
          <w:sz w:val="24"/>
          <w:szCs w:val="24"/>
        </w:rPr>
        <w:t>会计师事务所对基金财产进行审计，并将审计结果予以公告，同时报中国证监会备案。</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64" w:name="_Toc1357"/>
      <w:r>
        <w:rPr>
          <w:rFonts w:ascii="仿宋" w:eastAsia="仿宋" w:hAnsi="仿宋" w:cs="宋体" w:hint="eastAsia"/>
          <w:b/>
          <w:bCs/>
          <w:kern w:val="0"/>
          <w:sz w:val="24"/>
          <w:szCs w:val="24"/>
        </w:rPr>
        <w:t>（三）基金管理人与基金托管人同时更换的条件和程序</w:t>
      </w:r>
      <w:bookmarkEnd w:id="164"/>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、提名：如果基金管理人和基金托管人同时更换，由单独或合计持有基金总份额</w:t>
      </w:r>
      <w:r>
        <w:rPr>
          <w:rFonts w:ascii="仿宋" w:eastAsia="仿宋" w:hAnsi="仿宋" w:cs="宋体"/>
          <w:kern w:val="0"/>
          <w:sz w:val="24"/>
          <w:szCs w:val="24"/>
        </w:rPr>
        <w:t>10%</w:t>
      </w:r>
      <w:r>
        <w:rPr>
          <w:rFonts w:ascii="仿宋" w:eastAsia="仿宋" w:hAnsi="仿宋" w:cs="宋体" w:hint="eastAsia"/>
          <w:kern w:val="0"/>
          <w:sz w:val="24"/>
          <w:szCs w:val="24"/>
        </w:rPr>
        <w:t>以上（含</w:t>
      </w:r>
      <w:r>
        <w:rPr>
          <w:rFonts w:ascii="仿宋" w:eastAsia="仿宋" w:hAnsi="仿宋" w:cs="宋体"/>
          <w:kern w:val="0"/>
          <w:sz w:val="24"/>
          <w:szCs w:val="24"/>
        </w:rPr>
        <w:t>10%</w:t>
      </w:r>
      <w:r>
        <w:rPr>
          <w:rFonts w:ascii="仿宋" w:eastAsia="仿宋" w:hAnsi="仿宋" w:cs="宋体" w:hint="eastAsia"/>
          <w:kern w:val="0"/>
          <w:sz w:val="24"/>
          <w:szCs w:val="24"/>
        </w:rPr>
        <w:t>）的基金份额持有人提名新的基金管理人和基金托管人；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、基金管理人和基金托管人的更换分别按上述程序进行；</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、公告：新任基金管理人和新任基金托管人应在更换基金管理人和基金托管人的基金份额持有人大会决议生效后2日内在规定媒介上联合公告。</w:t>
      </w:r>
    </w:p>
    <w:p w:rsidR="00E45E2B" w:rsidRDefault="00E45E2B" w:rsidP="00E45E2B">
      <w:pPr>
        <w:spacing w:line="360" w:lineRule="auto"/>
        <w:ind w:firstLineChars="200" w:firstLine="480"/>
        <w:rPr>
          <w:rFonts w:ascii="仿宋" w:eastAsia="仿宋" w:hAnsi="仿宋"/>
          <w:bCs/>
          <w:color w:val="000000"/>
          <w:sz w:val="24"/>
        </w:rPr>
      </w:pPr>
      <w:r>
        <w:rPr>
          <w:rFonts w:ascii="仿宋" w:eastAsia="仿宋" w:hAnsi="仿宋" w:hint="eastAsia"/>
          <w:color w:val="000000"/>
          <w:sz w:val="24"/>
          <w:szCs w:val="24"/>
        </w:rPr>
        <w:t>三、</w:t>
      </w:r>
      <w:r>
        <w:rPr>
          <w:rFonts w:ascii="仿宋" w:eastAsia="仿宋" w:hAnsi="仿宋" w:hint="eastAsia"/>
          <w:bCs/>
          <w:color w:val="000000"/>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45E2B" w:rsidRDefault="00E45E2B" w:rsidP="00E45E2B">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四、</w:t>
      </w:r>
      <w:r w:rsidRPr="00E94984">
        <w:rPr>
          <w:rFonts w:ascii="仿宋" w:eastAsia="仿宋" w:hAnsi="仿宋" w:hint="eastAsia"/>
          <w:color w:val="000000"/>
          <w:sz w:val="24"/>
          <w:szCs w:val="24"/>
        </w:rPr>
        <w:t>新任基金管理人/临时</w:t>
      </w:r>
      <w:r>
        <w:rPr>
          <w:rFonts w:ascii="仿宋" w:eastAsia="仿宋" w:hAnsi="仿宋" w:hint="eastAsia"/>
          <w:color w:val="000000"/>
          <w:sz w:val="24"/>
          <w:szCs w:val="24"/>
        </w:rPr>
        <w:t>基金管理人</w:t>
      </w:r>
      <w:r w:rsidRPr="000865F7">
        <w:rPr>
          <w:rFonts w:ascii="仿宋" w:eastAsia="仿宋" w:hAnsi="仿宋" w:hint="eastAsia"/>
          <w:color w:val="000000"/>
          <w:sz w:val="24"/>
          <w:szCs w:val="24"/>
        </w:rPr>
        <w:t>接收基金管理业务</w:t>
      </w:r>
      <w:r>
        <w:rPr>
          <w:rFonts w:ascii="仿宋" w:eastAsia="仿宋" w:hAnsi="仿宋" w:hint="eastAsia"/>
          <w:color w:val="000000"/>
          <w:sz w:val="24"/>
          <w:szCs w:val="24"/>
        </w:rPr>
        <w:t>或</w:t>
      </w:r>
      <w:r w:rsidRPr="00E94984">
        <w:rPr>
          <w:rFonts w:ascii="仿宋" w:eastAsia="仿宋" w:hAnsi="仿宋" w:hint="eastAsia"/>
          <w:color w:val="000000"/>
          <w:sz w:val="24"/>
          <w:szCs w:val="24"/>
        </w:rPr>
        <w:t>新任基金托管人/临时</w:t>
      </w:r>
      <w:r>
        <w:rPr>
          <w:rFonts w:ascii="仿宋" w:eastAsia="仿宋" w:hAnsi="仿宋" w:hint="eastAsia"/>
          <w:color w:val="000000"/>
          <w:sz w:val="24"/>
          <w:szCs w:val="24"/>
        </w:rPr>
        <w:t>基金托管人接收基金财产和基金托管业务前，原基金管理人或原基金托管人应继续履行相关职责，并保证不做出对基金份额持有人的利益造成损害的行为。</w:t>
      </w:r>
      <w:r w:rsidRPr="00E94984">
        <w:rPr>
          <w:rFonts w:ascii="仿宋" w:eastAsia="仿宋" w:hAnsi="仿宋" w:hint="eastAsia"/>
          <w:color w:val="000000"/>
          <w:sz w:val="24"/>
          <w:szCs w:val="24"/>
        </w:rPr>
        <w:t>原基金管理人或基金托管人在继续履行相关职责期间，仍有权按照本基金合同的规定收取基金管理费或基金托管费。</w:t>
      </w:r>
    </w:p>
    <w:p w:rsidR="00E45E2B" w:rsidRDefault="00E45E2B" w:rsidP="00E45E2B">
      <w:pPr>
        <w:widowControl/>
        <w:jc w:val="left"/>
        <w:rPr>
          <w:rFonts w:ascii="仿宋" w:eastAsia="仿宋" w:hAnsi="仿宋" w:cs="宋体"/>
          <w:kern w:val="0"/>
          <w:sz w:val="24"/>
          <w:szCs w:val="24"/>
        </w:rPr>
      </w:pPr>
    </w:p>
    <w:p w:rsidR="00E45E2B" w:rsidRDefault="00E45E2B" w:rsidP="004F6C89">
      <w:pPr>
        <w:pStyle w:val="1"/>
        <w:spacing w:line="360" w:lineRule="auto"/>
        <w:jc w:val="center"/>
      </w:pPr>
      <w:r>
        <w:br w:type="page"/>
      </w:r>
      <w:bookmarkStart w:id="165" w:name="_Toc377998625"/>
      <w:bookmarkStart w:id="166" w:name="_Toc459291248"/>
      <w:bookmarkStart w:id="167" w:name="_Toc169163870"/>
      <w:r w:rsidRPr="004F6C89">
        <w:rPr>
          <w:rFonts w:eastAsia="仿宋" w:hint="eastAsia"/>
          <w:sz w:val="30"/>
          <w:szCs w:val="30"/>
          <w:lang w:val="zh-CN"/>
        </w:rPr>
        <w:t>第十部分</w:t>
      </w:r>
      <w:r w:rsidRPr="004F6C89">
        <w:rPr>
          <w:rFonts w:eastAsia="仿宋" w:hint="eastAsia"/>
          <w:sz w:val="30"/>
          <w:szCs w:val="30"/>
          <w:lang w:val="zh-CN"/>
        </w:rPr>
        <w:t xml:space="preserve">    </w:t>
      </w:r>
      <w:r w:rsidRPr="004F6C89">
        <w:rPr>
          <w:rFonts w:eastAsia="仿宋" w:hint="eastAsia"/>
          <w:sz w:val="30"/>
          <w:szCs w:val="30"/>
          <w:lang w:val="zh-CN"/>
        </w:rPr>
        <w:t>基金的托管</w:t>
      </w:r>
      <w:bookmarkEnd w:id="165"/>
      <w:bookmarkEnd w:id="166"/>
      <w:bookmarkEnd w:id="167"/>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基金托管人和基金管理人按照《基金法》、《基金合同》及其他有关规定订立托管协议。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rsidR="00E45E2B" w:rsidRPr="004F6C89" w:rsidRDefault="00E45E2B" w:rsidP="004F6C89">
      <w:pPr>
        <w:pStyle w:val="1"/>
        <w:spacing w:line="360" w:lineRule="auto"/>
        <w:jc w:val="center"/>
        <w:rPr>
          <w:rFonts w:eastAsia="仿宋"/>
          <w:sz w:val="30"/>
          <w:szCs w:val="30"/>
          <w:lang w:val="zh-CN"/>
        </w:rPr>
      </w:pPr>
      <w:bookmarkStart w:id="168" w:name="_Toc377998626"/>
      <w:bookmarkStart w:id="169" w:name="_Toc459291249"/>
      <w:bookmarkStart w:id="170" w:name="_Toc169163871"/>
      <w:r w:rsidRPr="004F6C89">
        <w:rPr>
          <w:rFonts w:eastAsia="仿宋" w:hint="eastAsia"/>
          <w:sz w:val="30"/>
          <w:szCs w:val="30"/>
          <w:lang w:val="zh-CN"/>
        </w:rPr>
        <w:t>第十一部分</w:t>
      </w:r>
      <w:r w:rsidRPr="004F6C89">
        <w:rPr>
          <w:rFonts w:eastAsia="仿宋" w:hint="eastAsia"/>
          <w:sz w:val="30"/>
          <w:szCs w:val="30"/>
          <w:lang w:val="zh-CN"/>
        </w:rPr>
        <w:t xml:space="preserve">    </w:t>
      </w:r>
      <w:r w:rsidRPr="004F6C89">
        <w:rPr>
          <w:rFonts w:eastAsia="仿宋" w:hint="eastAsia"/>
          <w:sz w:val="30"/>
          <w:szCs w:val="30"/>
          <w:lang w:val="zh-CN"/>
        </w:rPr>
        <w:t>基金份额的登记</w:t>
      </w:r>
      <w:bookmarkEnd w:id="168"/>
      <w:bookmarkEnd w:id="169"/>
      <w:bookmarkEnd w:id="17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二、基金登记业务办理机构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三、基金登记机构的权利</w:t>
      </w:r>
      <w:bookmarkStart w:id="171" w:name="_Hlt88820748"/>
      <w:bookmarkEnd w:id="171"/>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基金登记机构享有以下权利：</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、取得登记费；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、建立和管理投资者基金账户；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、保管基金份额持有人开户资料、交易资料、基金份额持有人名册等；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、在法律法规允许的范围内，对登记业务的办理时间进行调整，并依照有关规定于开始实施前在规定媒介上公告；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四、基金登记机构的义务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基金登记机构承担以下义务：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、配备足够的专业人员办理本基金份额的登记业务；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、严格按照法律法规和《基金合同》规定的条件办理本基金份额的登记业务；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、妥善保存登记数据，并将基金份额持有人名称、身份信息及基金份额明细等数据备份至中国证监会认定的机构。其保存期限自基金账户销户之日起不得少于</w:t>
      </w:r>
      <w:r w:rsidRPr="00F51C0F">
        <w:rPr>
          <w:rFonts w:ascii="仿宋" w:eastAsia="仿宋" w:hAnsi="仿宋" w:cs="宋体" w:hint="eastAsia"/>
          <w:kern w:val="0"/>
          <w:sz w:val="24"/>
          <w:szCs w:val="24"/>
        </w:rPr>
        <w:t>法定最低期限</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Pr>
          <w:rFonts w:ascii="仿宋" w:eastAsia="仿宋" w:hAnsi="仿宋" w:cs="宋体"/>
          <w:kern w:val="0"/>
          <w:sz w:val="24"/>
          <w:szCs w:val="24"/>
        </w:rPr>
        <w:t xml:space="preserve"> </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、按《基金合同》及招募说明书规定为投资者办理非交易过户业务、提供其他必要的服务；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、接受基金管理人的监督；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rFonts w:ascii="仿宋" w:hAnsi="仿宋" w:cs="宋体"/>
          <w:b w:val="0"/>
          <w:bCs w:val="0"/>
          <w:kern w:val="0"/>
        </w:rPr>
        <w:br w:type="page"/>
      </w:r>
      <w:bookmarkStart w:id="172" w:name="_Toc377998627"/>
      <w:bookmarkStart w:id="173" w:name="_Toc459291250"/>
      <w:bookmarkStart w:id="174" w:name="_Toc169163872"/>
      <w:r w:rsidRPr="004F6C89">
        <w:rPr>
          <w:rFonts w:eastAsia="仿宋" w:hint="eastAsia"/>
          <w:sz w:val="30"/>
          <w:szCs w:val="30"/>
          <w:lang w:val="zh-CN"/>
        </w:rPr>
        <w:t>第十二部分</w:t>
      </w:r>
      <w:r w:rsidRPr="004F6C89">
        <w:rPr>
          <w:rFonts w:eastAsia="仿宋" w:hint="eastAsia"/>
          <w:sz w:val="30"/>
          <w:szCs w:val="30"/>
          <w:lang w:val="zh-CN"/>
        </w:rPr>
        <w:t xml:space="preserve">    </w:t>
      </w:r>
      <w:r w:rsidRPr="004F6C89">
        <w:rPr>
          <w:rFonts w:eastAsia="仿宋" w:hint="eastAsia"/>
          <w:sz w:val="30"/>
          <w:szCs w:val="30"/>
          <w:lang w:val="zh-CN"/>
        </w:rPr>
        <w:t>基金的投资</w:t>
      </w:r>
      <w:bookmarkEnd w:id="172"/>
      <w:bookmarkEnd w:id="173"/>
      <w:bookmarkEnd w:id="17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一、投资目标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rPr>
      </w:pPr>
      <w:r>
        <w:rPr>
          <w:rFonts w:ascii="仿宋" w:eastAsia="仿宋" w:hAnsi="仿宋" w:hint="eastAsia"/>
          <w:color w:val="000000"/>
          <w:sz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本基金的投资范围包括国内依法发行上市的股票及存托凭证（含创业板及其他经中国证监会核准或注册上市的股票及存托凭证）、港股通标的股票、债券（包括</w:t>
      </w:r>
      <w:r w:rsidRPr="00E811FD">
        <w:rPr>
          <w:rFonts w:ascii="仿宋" w:eastAsia="仿宋" w:hAnsi="仿宋" w:hint="eastAsia"/>
          <w:color w:val="000000"/>
          <w:sz w:val="24"/>
        </w:rPr>
        <w:t>国内依法发行</w:t>
      </w:r>
      <w:r>
        <w:rPr>
          <w:rFonts w:ascii="仿宋" w:eastAsia="仿宋" w:hAnsi="仿宋" w:hint="eastAsia"/>
          <w:color w:val="000000"/>
          <w:sz w:val="24"/>
        </w:rPr>
        <w:t>的国债、地方政府债、政府支持机构债、金融债、</w:t>
      </w:r>
      <w:r w:rsidRPr="00EE3E37">
        <w:rPr>
          <w:rFonts w:ascii="仿宋" w:eastAsia="仿宋" w:hAnsi="仿宋" w:hint="eastAsia"/>
          <w:color w:val="000000"/>
          <w:sz w:val="24"/>
        </w:rPr>
        <w:t>公开发行的次级债券</w:t>
      </w:r>
      <w:r>
        <w:rPr>
          <w:rFonts w:ascii="仿宋" w:eastAsia="仿宋" w:hAnsi="仿宋" w:hint="eastAsia"/>
          <w:color w:val="000000"/>
          <w:sz w:val="24"/>
        </w:rPr>
        <w:t>、中央银行票据、企业债、公司债、中期票据、短期融资券、超短期融资券、可转换债券、可分离交易可转债、可交换债券）、债券回购、银行存款、同业存单、货币市场工具、资产支持证券、股指期货、国债期货、股票期权</w:t>
      </w:r>
      <w:r w:rsidRPr="000E340F">
        <w:rPr>
          <w:rFonts w:ascii="仿宋" w:eastAsia="仿宋" w:hAnsi="仿宋" w:hint="eastAsia"/>
          <w:color w:val="000000"/>
          <w:sz w:val="24"/>
        </w:rPr>
        <w:t>、信用衍生品</w:t>
      </w:r>
      <w:r>
        <w:rPr>
          <w:rFonts w:ascii="仿宋" w:eastAsia="仿宋" w:hAnsi="仿宋" w:hint="eastAsia"/>
          <w:color w:val="000000"/>
          <w:sz w:val="24"/>
        </w:rPr>
        <w:t>以及经中国证监会允许基金投资的其他金融工具（但须符合中国证监会的相关规定）。</w:t>
      </w:r>
      <w:r w:rsidRPr="00FA68C5">
        <w:rPr>
          <w:rFonts w:ascii="仿宋" w:eastAsia="仿宋" w:hAnsi="仿宋" w:hint="eastAsia"/>
          <w:color w:val="000000"/>
          <w:sz w:val="24"/>
        </w:rPr>
        <w:t>本基金可根据法律法规和基金合同的约定参与融资业务。</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如法律法规或监管机构以后允许基金投资其他品种，基金管理人在履行适当程序后，可以将其纳入投资范围。</w:t>
      </w:r>
    </w:p>
    <w:p w:rsidR="00E45E2B" w:rsidRDefault="00E45E2B" w:rsidP="00E45E2B">
      <w:pPr>
        <w:spacing w:line="360" w:lineRule="auto"/>
        <w:ind w:firstLine="426"/>
        <w:rPr>
          <w:rFonts w:ascii="仿宋" w:eastAsia="仿宋" w:hAnsi="仿宋"/>
          <w:color w:val="000000"/>
          <w:sz w:val="24"/>
        </w:rPr>
      </w:pPr>
      <w:r>
        <w:rPr>
          <w:rFonts w:ascii="仿宋" w:eastAsia="仿宋" w:hAnsi="仿宋" w:hint="eastAsia"/>
          <w:color w:val="000000"/>
          <w:sz w:val="24"/>
        </w:rPr>
        <w:t>本基金的投资比例为：</w:t>
      </w:r>
    </w:p>
    <w:p w:rsidR="00E45E2B" w:rsidRPr="00C432A4" w:rsidRDefault="00E45E2B" w:rsidP="00E45E2B">
      <w:pPr>
        <w:spacing w:line="360" w:lineRule="auto"/>
        <w:ind w:firstLine="426"/>
        <w:rPr>
          <w:rFonts w:ascii="仿宋" w:eastAsia="仿宋" w:hAnsi="仿宋"/>
          <w:color w:val="000000"/>
          <w:sz w:val="24"/>
        </w:rPr>
      </w:pPr>
      <w:r w:rsidRPr="00D6151C">
        <w:rPr>
          <w:rFonts w:ascii="仿宋" w:eastAsia="仿宋" w:hAnsi="仿宋" w:hint="eastAsia"/>
          <w:color w:val="000000"/>
          <w:sz w:val="24"/>
        </w:rPr>
        <w:t>本基金投资于股票资产（含存托凭证）的比例为基金资产的60%-95%</w:t>
      </w:r>
      <w:r w:rsidRPr="00C432A4">
        <w:rPr>
          <w:rFonts w:ascii="仿宋" w:eastAsia="仿宋" w:hAnsi="仿宋" w:hint="eastAsia"/>
          <w:color w:val="000000"/>
          <w:sz w:val="24"/>
        </w:rPr>
        <w:t>（其中投资于港股通标的股票的比例占股票资产的0%-50%）。</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sidRPr="00C432A4">
        <w:rPr>
          <w:rFonts w:ascii="仿宋" w:eastAsia="仿宋" w:hAnsi="仿宋" w:hint="eastAsia"/>
          <w:color w:val="000000"/>
          <w:sz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contextualSpacing/>
        <w:jc w:val="left"/>
        <w:rPr>
          <w:rFonts w:ascii="仿宋" w:eastAsia="仿宋" w:hAnsi="仿宋"/>
          <w:color w:val="000000"/>
          <w:sz w:val="24"/>
        </w:rPr>
      </w:pPr>
      <w:r>
        <w:rPr>
          <w:rFonts w:ascii="仿宋" w:eastAsia="仿宋" w:hAnsi="仿宋" w:hint="eastAsia"/>
          <w:color w:val="000000"/>
          <w:sz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contextualSpacing/>
        <w:jc w:val="left"/>
        <w:rPr>
          <w:rFonts w:ascii="仿宋" w:eastAsia="仿宋" w:hAnsi="仿宋" w:cs="宋体"/>
          <w:b/>
          <w:bCs/>
          <w:kern w:val="0"/>
          <w:sz w:val="24"/>
          <w:szCs w:val="24"/>
        </w:rPr>
      </w:pPr>
      <w:r>
        <w:rPr>
          <w:rFonts w:ascii="仿宋" w:eastAsia="仿宋" w:hAnsi="仿宋" w:cs="宋体" w:hint="eastAsia"/>
          <w:b/>
          <w:bCs/>
          <w:kern w:val="0"/>
          <w:sz w:val="24"/>
          <w:szCs w:val="24"/>
        </w:rPr>
        <w:t>三、投资策略</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hint="eastAsia"/>
          <w:color w:val="000000"/>
          <w:sz w:val="24"/>
        </w:rPr>
        <w:t>（一）资产配置</w:t>
      </w:r>
    </w:p>
    <w:p w:rsidR="00E45E2B" w:rsidRPr="00F00954"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本基金聚焦于与中国经济发展趋势相符的标的资产，立足于长期价值投资的理念，通过定性与定量研究相结合的方法，确定投资组合中权益类资产和其他资产的配置比例。</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sidRPr="00F00954">
        <w:rPr>
          <w:rFonts w:ascii="仿宋" w:eastAsia="仿宋" w:hAnsi="仿宋" w:hint="eastAsia"/>
          <w:color w:val="000000"/>
          <w:sz w:val="24"/>
        </w:rPr>
        <w:t>本基金通过动态跟踪海内外主要经济体的GDP、CPI、利率等宏观经济指标，以及估值水平、盈利预期、流动性、投资人心态等市场指标，预测未来市场变动趋势。本基金通过全面评估上述各种关键指标的变动趋势，对股票、债券等大类资产的风险和收益特征进行预测。根据上述定性和定量指标的分析结果，运用资产配置优化模型，在目标收益条件下，追求风险最小化目标，最终确</w:t>
      </w:r>
      <w:r>
        <w:rPr>
          <w:rFonts w:ascii="仿宋" w:eastAsia="仿宋" w:hAnsi="仿宋" w:hint="eastAsia"/>
          <w:color w:val="000000"/>
          <w:sz w:val="24"/>
        </w:rPr>
        <w:t>定大类资产投资权重，力争实现资产合理配置。</w:t>
      </w:r>
    </w:p>
    <w:p w:rsidR="00E45E2B" w:rsidRPr="00943939" w:rsidRDefault="00E45E2B" w:rsidP="00E45E2B">
      <w:pPr>
        <w:autoSpaceDE w:val="0"/>
        <w:autoSpaceDN w:val="0"/>
        <w:adjustRightIn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（二）</w:t>
      </w:r>
      <w:r w:rsidR="00C84DAB" w:rsidRPr="00C84DAB">
        <w:rPr>
          <w:rFonts w:ascii="仿宋" w:eastAsia="仿宋" w:hAnsi="仿宋" w:hint="eastAsia"/>
          <w:color w:val="000000"/>
          <w:sz w:val="24"/>
        </w:rPr>
        <w:t>股票投资策略</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本基金利用基金管理人投研团队的资源，对企业内在价值进行深入细致的分析，并进一步挖掘出优质的上市公司股票（含存托凭证）进行投资。</w:t>
      </w:r>
    </w:p>
    <w:p w:rsidR="00A42F40" w:rsidRPr="00A42F40" w:rsidRDefault="00A42F40" w:rsidP="00A42F40">
      <w:pPr>
        <w:autoSpaceDE w:val="0"/>
        <w:autoSpaceDN w:val="0"/>
        <w:adjustRightIn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1、个股选择</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sidRPr="00A42F40">
        <w:rPr>
          <w:rFonts w:ascii="仿宋" w:eastAsia="仿宋" w:hAnsi="仿宋" w:hint="eastAsia"/>
          <w:color w:val="000000"/>
          <w:sz w:val="24"/>
        </w:rPr>
        <w:t>基金管理人的股票研究团队将深入调研上市公司、公司竞争对手以及产业链上下游，挑选出优质的上市公司股票进行投资。对于个股是否纳入投资组合，基金管理人会重点关注3个方面：公司素质、公司的成长空间及未来盈利增速、目前个股估值。其中公司素质是基金管理人最看重的因素，包括公司商业模式的独特性、竞争壁垒、行业地位、公司管理层的品格和能力等方面。同时本基金还会密切关注上市公司的可持续经营发展状况，从环境、社会、公司治理三个方面对上市公司进行评估。对于具有优秀基因的上市公司，基金管理人将会纳入本基金投资组合；否则会将其放入股票库并持续跟踪。</w:t>
      </w:r>
    </w:p>
    <w:p w:rsidR="00E45E2B" w:rsidRDefault="00A42F40" w:rsidP="00E45E2B">
      <w:pPr>
        <w:autoSpaceDE w:val="0"/>
        <w:autoSpaceDN w:val="0"/>
        <w:adjustRightInd w:val="0"/>
        <w:snapToGrid w:val="0"/>
        <w:spacing w:line="360" w:lineRule="auto"/>
        <w:ind w:firstLine="420"/>
        <w:jc w:val="left"/>
        <w:rPr>
          <w:rFonts w:ascii="仿宋" w:eastAsia="仿宋" w:hAnsi="仿宋"/>
          <w:color w:val="000000"/>
          <w:sz w:val="24"/>
        </w:rPr>
      </w:pPr>
      <w:r>
        <w:rPr>
          <w:rFonts w:ascii="仿宋" w:eastAsia="仿宋" w:hAnsi="仿宋" w:hint="eastAsia"/>
          <w:color w:val="000000"/>
          <w:sz w:val="24"/>
        </w:rPr>
        <w:t>2、</w:t>
      </w:r>
      <w:r w:rsidR="00E45E2B">
        <w:rPr>
          <w:rFonts w:ascii="仿宋" w:eastAsia="仿宋" w:hAnsi="仿宋" w:hint="eastAsia"/>
          <w:color w:val="000000"/>
          <w:sz w:val="24"/>
        </w:rPr>
        <w:t>港股通标的股票投资策略</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本基金</w:t>
      </w:r>
      <w:r>
        <w:rPr>
          <w:rFonts w:ascii="仿宋" w:eastAsia="仿宋" w:hAnsi="仿宋" w:hint="eastAsia"/>
          <w:color w:val="000000"/>
          <w:sz w:val="24"/>
        </w:rPr>
        <w:t>可</w:t>
      </w:r>
      <w:r w:rsidRPr="00AF6815">
        <w:rPr>
          <w:rFonts w:ascii="仿宋" w:eastAsia="仿宋" w:hAnsi="仿宋" w:hint="eastAsia"/>
          <w:color w:val="000000"/>
          <w:sz w:val="24"/>
        </w:rPr>
        <w:t>通过内地与香港股票市场交易互联互通机制投资于香港股票市场，不使用合格境内机构投资</w:t>
      </w:r>
      <w:r>
        <w:rPr>
          <w:rFonts w:ascii="仿宋" w:eastAsia="仿宋" w:hAnsi="仿宋" w:hint="eastAsia"/>
          <w:color w:val="000000"/>
          <w:sz w:val="24"/>
        </w:rPr>
        <w:t>者</w:t>
      </w:r>
      <w:r w:rsidRPr="00AF6815">
        <w:rPr>
          <w:rFonts w:ascii="仿宋" w:eastAsia="仿宋" w:hAnsi="仿宋" w:hint="eastAsia"/>
          <w:color w:val="000000"/>
          <w:sz w:val="24"/>
        </w:rPr>
        <w:t>(QDII)境外投资额度进行境外投资。本基金将重点关注：</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1）A股稀缺性行业和个股，包括优质中资公司（如国内互联网及软件企业、国内部分消费行业领导品牌等）、A股缺乏投资标的行业（如博彩）；</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2）具有持续领先优势或核心竞争力的企业，这类企业应具有良好成长性或为市场龙头；</w:t>
      </w:r>
    </w:p>
    <w:p w:rsidR="00E45E2B" w:rsidRPr="00AF6815"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3）符合内地政策和投资逻辑的主题性行业个股；</w:t>
      </w:r>
    </w:p>
    <w:p w:rsidR="00E45E2B"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AF6815">
        <w:rPr>
          <w:rFonts w:ascii="仿宋" w:eastAsia="仿宋" w:hAnsi="仿宋" w:hint="eastAsia"/>
          <w:color w:val="000000"/>
          <w:sz w:val="24"/>
        </w:rPr>
        <w:t>4）与A股同类公司相比具有估值优势的公司。</w:t>
      </w:r>
    </w:p>
    <w:p w:rsidR="00E45E2B" w:rsidRDefault="00A42F40" w:rsidP="00995D9A">
      <w:pPr>
        <w:autoSpaceDE w:val="0"/>
        <w:autoSpaceDN w:val="0"/>
        <w:adjustRightInd w:val="0"/>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sidR="00E45E2B">
        <w:rPr>
          <w:rFonts w:ascii="仿宋" w:eastAsia="仿宋" w:hAnsi="仿宋" w:hint="eastAsia"/>
          <w:color w:val="000000"/>
          <w:sz w:val="24"/>
        </w:rPr>
        <w:t>存托凭证的投资策略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本基金投资存托凭证的策略依照上述内地上市交易的股票投资策略执行。</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（三）可转换债券、可分离交易可转债和可交换债券的投资策略</w:t>
      </w:r>
    </w:p>
    <w:p w:rsidR="00E45E2B" w:rsidRPr="00943939" w:rsidRDefault="00E45E2B" w:rsidP="00E45E2B">
      <w:pPr>
        <w:autoSpaceDE w:val="0"/>
        <w:autoSpaceDN w:val="0"/>
        <w:adjustRightInd w:val="0"/>
        <w:snapToGrid w:val="0"/>
        <w:spacing w:line="360" w:lineRule="auto"/>
        <w:ind w:firstLine="420"/>
        <w:jc w:val="left"/>
        <w:rPr>
          <w:rFonts w:ascii="仿宋" w:eastAsia="仿宋" w:hAnsi="仿宋"/>
          <w:color w:val="000000"/>
          <w:sz w:val="24"/>
        </w:rPr>
      </w:pPr>
      <w:r w:rsidRPr="00943939">
        <w:rPr>
          <w:rFonts w:ascii="仿宋" w:eastAsia="仿宋" w:hAnsi="仿宋" w:hint="eastAsia"/>
          <w:color w:val="000000"/>
          <w:sz w:val="24"/>
        </w:rPr>
        <w:t>本基金投资可转换债券、可分离交易可转债和可交换债券有两种途径，一级市场申购和二级市场参与。一级市场申购，主要考虑发行条款较好、申购收益较高、公司基本面优秀的个券。二级市场参与可采用多种投资策略，本基金将运用企业基本面分析和理论价值分析策略，精选个券，力争实现较高的投资收益；同时，本基金也可以采用相对价值分析策略，即通过分析不同市场环境下可转换债券、可分离交易可转债和可交换债券股性和债性的相对价值，把握其价值走向，选择相应券种，力争获取较高投资收益。另外，本基金将密切关注可转换债券、可分离交易可转债和可交换债券的套利机会和条款博弈机会。</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（四）</w:t>
      </w:r>
      <w:r w:rsidRPr="00AC3430">
        <w:rPr>
          <w:rFonts w:ascii="仿宋" w:eastAsia="仿宋" w:hAnsi="仿宋" w:hint="eastAsia"/>
          <w:color w:val="000000"/>
          <w:sz w:val="24"/>
        </w:rPr>
        <w:t>其他固定收益类证券投资策略</w:t>
      </w:r>
    </w:p>
    <w:p w:rsidR="00E45E2B" w:rsidRDefault="00E45E2B" w:rsidP="00E45E2B">
      <w:pPr>
        <w:spacing w:line="360" w:lineRule="auto"/>
        <w:ind w:firstLine="405"/>
        <w:contextualSpacing/>
        <w:rPr>
          <w:rFonts w:ascii="仿宋" w:eastAsia="仿宋" w:hAnsi="仿宋"/>
          <w:color w:val="000000"/>
          <w:sz w:val="24"/>
        </w:rPr>
      </w:pPr>
      <w:r>
        <w:rPr>
          <w:rFonts w:ascii="仿宋" w:eastAsia="仿宋" w:hAnsi="仿宋" w:hint="eastAsia"/>
          <w:color w:val="000000"/>
          <w:sz w:val="24"/>
        </w:rPr>
        <w:t>本基金的固定收益类投资品种主要有国债、企业债等中国证监会认可的、具有良好流动性的金融工具。固定收益投资主要用于提高非股票资产的收益率，基金管理人将坚持价值投资的理念，严格控制风险，追求合理的回报。</w:t>
      </w:r>
    </w:p>
    <w:p w:rsidR="00E45E2B" w:rsidRDefault="00E45E2B" w:rsidP="00E45E2B">
      <w:pPr>
        <w:spacing w:line="360" w:lineRule="auto"/>
        <w:ind w:firstLine="405"/>
        <w:contextualSpacing/>
        <w:rPr>
          <w:rFonts w:ascii="仿宋" w:eastAsia="仿宋" w:hAnsi="仿宋"/>
          <w:color w:val="000000"/>
          <w:sz w:val="24"/>
        </w:rPr>
      </w:pPr>
      <w:r w:rsidRPr="00D018A9">
        <w:rPr>
          <w:rFonts w:ascii="仿宋" w:eastAsia="仿宋" w:hAnsi="仿宋" w:hint="eastAsia"/>
          <w:color w:val="000000"/>
          <w:sz w:val="24"/>
        </w:rPr>
        <w:t>在债券投资方面，基金管理人将</w:t>
      </w:r>
      <w:r>
        <w:rPr>
          <w:rFonts w:ascii="仿宋" w:eastAsia="仿宋" w:hAnsi="仿宋" w:hint="eastAsia"/>
          <w:color w:val="000000"/>
          <w:sz w:val="24"/>
        </w:rPr>
        <w:t>以宏观形势及利率分析为基础，依据国家经济发展规划量化核心基准参照指标和辅助参考指标，结合货币政策、财政政策的实施情况，以及国际金融市场基准利率水平及变化情况，预测未来基准利率水平变化趋势与幅度，进行定量评价。</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cs="宋体" w:hint="eastAsia"/>
          <w:kern w:val="0"/>
          <w:sz w:val="24"/>
          <w:szCs w:val="24"/>
        </w:rPr>
        <w:t>（五）资产支持证券投资策略</w:t>
      </w:r>
    </w:p>
    <w:p w:rsidR="00E45E2B" w:rsidRDefault="00E45E2B" w:rsidP="00E45E2B">
      <w:pPr>
        <w:autoSpaceDE w:val="0"/>
        <w:autoSpaceDN w:val="0"/>
        <w:adjustRightInd w:val="0"/>
        <w:spacing w:line="360" w:lineRule="auto"/>
        <w:ind w:firstLine="403"/>
        <w:jc w:val="left"/>
        <w:rPr>
          <w:rFonts w:ascii="仿宋" w:eastAsia="仿宋" w:hAnsi="仿宋"/>
          <w:color w:val="000000"/>
          <w:sz w:val="24"/>
        </w:rPr>
      </w:pPr>
      <w:r>
        <w:rPr>
          <w:rFonts w:ascii="仿宋" w:eastAsia="仿宋" w:hAnsi="仿宋" w:cs="宋体" w:hint="eastAsia"/>
          <w:kern w:val="0"/>
          <w:sz w:val="24"/>
          <w:szCs w:val="24"/>
        </w:rPr>
        <w:t>本基金资产支持证券的投资配置策</w:t>
      </w:r>
      <w:r>
        <w:rPr>
          <w:rFonts w:ascii="仿宋" w:eastAsia="仿宋" w:hAnsi="仿宋" w:hint="eastAsia"/>
          <w:color w:val="000000"/>
          <w:sz w:val="24"/>
        </w:rPr>
        <w:t>略</w:t>
      </w:r>
      <w:r>
        <w:rPr>
          <w:rFonts w:ascii="仿宋" w:eastAsia="仿宋" w:hAnsi="仿宋"/>
          <w:color w:val="000000"/>
          <w:sz w:val="24"/>
        </w:rPr>
        <w:t>主要从信用风险、流动性、收益率几方面来考虑</w:t>
      </w:r>
      <w:r>
        <w:rPr>
          <w:rFonts w:ascii="仿宋" w:eastAsia="仿宋" w:hAnsi="仿宋" w:hint="eastAsia"/>
          <w:color w:val="000000"/>
          <w:sz w:val="24"/>
        </w:rPr>
        <w:t>，采用自下而上的项目</w:t>
      </w:r>
      <w:r>
        <w:rPr>
          <w:rFonts w:ascii="仿宋" w:eastAsia="仿宋" w:hAnsi="仿宋" w:cs="宋体" w:hint="eastAsia"/>
          <w:kern w:val="0"/>
          <w:sz w:val="24"/>
          <w:szCs w:val="24"/>
        </w:rPr>
        <w:t>精选策略，以资产支持证券的优先级或次优级为投资标的，精选违约或逾期风险可控、收益率较高的资产支持证券项目。根据不同资产支持证券的基础资产采取适度分散的地区配置策略和行业配置策略，在有效分散风险的前提下为投资人谋求较高的投资组合回报率。资产支持证券的信用风险分析采取内外结合的方法，以基金管理人的内部信用风险评估为主，并结合外部信用评级机构的分析报告，最终得出对每个资产支持证券项目的总体风险判断。另外，鉴于资产支持证券的流动性较差，本基金更倾向于配置久期较短的品种。</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Pr>
          <w:rFonts w:ascii="仿宋" w:eastAsia="仿宋" w:hAnsi="仿宋" w:hint="eastAsia"/>
          <w:color w:val="000000"/>
          <w:sz w:val="24"/>
        </w:rPr>
        <w:t>（六）股指期货投资策略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股指期货将根据风险管理的原则，以套期保值为目的，以回避市场风险。故股指期货空头的合约价值主要与股票组合的多头价值相对应。基金管理人通过动态管理股指期货合约数量，以期萃取相应股票组合的超额收益。</w:t>
      </w:r>
    </w:p>
    <w:p w:rsidR="00E45E2B" w:rsidRDefault="00E45E2B" w:rsidP="00E45E2B">
      <w:pPr>
        <w:spacing w:line="360" w:lineRule="auto"/>
        <w:ind w:firstLine="405"/>
        <w:rPr>
          <w:rFonts w:ascii="仿宋" w:eastAsia="仿宋" w:hAnsi="仿宋" w:cs="宋体"/>
          <w:kern w:val="0"/>
          <w:sz w:val="24"/>
          <w:szCs w:val="24"/>
        </w:rPr>
      </w:pPr>
      <w:r>
        <w:rPr>
          <w:rFonts w:ascii="仿宋" w:eastAsia="仿宋" w:hAnsi="仿宋" w:cs="宋体" w:hint="eastAsia"/>
          <w:kern w:val="0"/>
          <w:sz w:val="24"/>
          <w:szCs w:val="24"/>
        </w:rPr>
        <w:t>（七）国债期货投资策略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40067E">
        <w:rPr>
          <w:rFonts w:ascii="仿宋" w:eastAsia="仿宋" w:hAnsi="仿宋" w:cs="宋体" w:hint="eastAsia"/>
          <w:kern w:val="0"/>
          <w:sz w:val="24"/>
          <w:szCs w:val="24"/>
        </w:rPr>
        <w:t>本基金投资国债期货将根据风险管理的原则，以套期保值为目的，以回避市场风险。故国债期货空头的合约价值主要与债券组合的多头价值相对应。基金管理人通过动态管理国债期货合约数量，以期萃取相应债券组合的超额收益。</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八</w:t>
      </w:r>
      <w:r w:rsidRPr="00C268B2">
        <w:rPr>
          <w:rFonts w:ascii="仿宋" w:eastAsia="仿宋" w:hAnsi="仿宋" w:cs="宋体" w:hint="eastAsia"/>
          <w:kern w:val="0"/>
          <w:sz w:val="24"/>
          <w:szCs w:val="24"/>
        </w:rPr>
        <w:t>）股票期权投资策略</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本基金将按照风险管理的原则，以套期保值为主要目的，参与股票期权的投资。本基金将在有效控制风险的前提下，选择流动性好、交易活跃的期权合约进行投资。</w:t>
      </w:r>
    </w:p>
    <w:p w:rsidR="00E45E2B" w:rsidRPr="00E37A1A"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（九）信用衍生品投资策略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E37A1A">
        <w:rPr>
          <w:rFonts w:ascii="仿宋" w:eastAsia="仿宋" w:hAnsi="仿宋" w:cs="宋体" w:hint="eastAsia"/>
          <w:kern w:val="0"/>
          <w:sz w:val="24"/>
          <w:szCs w:val="24"/>
        </w:rPr>
        <w:t>本基金将按照风险管理的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w:t>
      </w:r>
      <w:r>
        <w:rPr>
          <w:rFonts w:ascii="仿宋" w:eastAsia="仿宋" w:hAnsi="仿宋" w:cs="宋体" w:hint="eastAsia"/>
          <w:kern w:val="0"/>
          <w:sz w:val="24"/>
          <w:szCs w:val="24"/>
        </w:rPr>
        <w:t>十</w:t>
      </w:r>
      <w:r w:rsidRPr="00C268B2">
        <w:rPr>
          <w:rFonts w:ascii="仿宋" w:eastAsia="仿宋" w:hAnsi="仿宋" w:cs="宋体" w:hint="eastAsia"/>
          <w:kern w:val="0"/>
          <w:sz w:val="24"/>
          <w:szCs w:val="24"/>
        </w:rPr>
        <w:t>）</w:t>
      </w:r>
      <w:r w:rsidRPr="00E37A1A">
        <w:rPr>
          <w:rFonts w:ascii="仿宋" w:eastAsia="仿宋" w:hAnsi="仿宋" w:cs="宋体" w:hint="eastAsia"/>
          <w:kern w:val="0"/>
          <w:sz w:val="24"/>
          <w:szCs w:val="24"/>
        </w:rPr>
        <w:t>参与融资业务策略</w:t>
      </w:r>
    </w:p>
    <w:p w:rsidR="00E45E2B" w:rsidRPr="00C268B2"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本基金将在充分考虑风险和收益特征的基础上，审慎参与融资交易。本基金将基于对市场行情和组合风险收益的分析，确定投资时机、标的证券以及投资比例。若相关融资业务法律法规和监管要求发生变化，本基金将从其最新规定，以符合法律法规和监管要求的变化。</w:t>
      </w:r>
    </w:p>
    <w:p w:rsidR="00E45E2B" w:rsidRDefault="00E45E2B" w:rsidP="00E45E2B">
      <w:pPr>
        <w:autoSpaceDE w:val="0"/>
        <w:autoSpaceDN w:val="0"/>
        <w:adjustRightInd w:val="0"/>
        <w:spacing w:line="360" w:lineRule="auto"/>
        <w:ind w:firstLine="403"/>
        <w:jc w:val="left"/>
        <w:rPr>
          <w:rFonts w:ascii="仿宋" w:eastAsia="仿宋" w:hAnsi="仿宋" w:cs="宋体"/>
          <w:kern w:val="0"/>
          <w:sz w:val="24"/>
          <w:szCs w:val="24"/>
        </w:rPr>
      </w:pPr>
      <w:r w:rsidRPr="00C268B2">
        <w:rPr>
          <w:rFonts w:ascii="仿宋" w:eastAsia="仿宋" w:hAnsi="仿宋" w:cs="宋体" w:hint="eastAsia"/>
          <w:kern w:val="0"/>
          <w:sz w:val="24"/>
          <w:szCs w:val="24"/>
        </w:rPr>
        <w:t>未来，随着证券市场投资工具的发展和丰富，本基金在履行适当程序后可相应调整和更新相关投资策略，并在招募说明书中更新公告。</w:t>
      </w:r>
    </w:p>
    <w:p w:rsidR="00E45E2B" w:rsidRDefault="00E45E2B" w:rsidP="00E45E2B">
      <w:pPr>
        <w:autoSpaceDE w:val="0"/>
        <w:autoSpaceDN w:val="0"/>
        <w:adjustRightInd w:val="0"/>
        <w:spacing w:line="360" w:lineRule="auto"/>
        <w:jc w:val="left"/>
        <w:rPr>
          <w:rFonts w:ascii="仿宋" w:eastAsia="仿宋" w:hAnsi="仿宋" w:cs="宋体"/>
          <w:b/>
          <w:bCs/>
          <w:kern w:val="0"/>
          <w:sz w:val="24"/>
          <w:szCs w:val="24"/>
        </w:rPr>
      </w:pPr>
      <w:r>
        <w:rPr>
          <w:rFonts w:ascii="仿宋" w:eastAsia="仿宋" w:hAnsi="仿宋" w:cs="宋体" w:hint="eastAsia"/>
          <w:b/>
          <w:bCs/>
          <w:kern w:val="0"/>
          <w:sz w:val="24"/>
          <w:szCs w:val="24"/>
        </w:rPr>
        <w:t xml:space="preserve">    四、投资限制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（一）投资组合限制</w:t>
      </w:r>
    </w:p>
    <w:p w:rsidR="00E45E2B" w:rsidRDefault="00E45E2B" w:rsidP="00E45E2B">
      <w:pPr>
        <w:autoSpaceDE w:val="0"/>
        <w:autoSpaceDN w:val="0"/>
        <w:adjustRightInd w:val="0"/>
        <w:spacing w:line="360" w:lineRule="auto"/>
        <w:ind w:left="420"/>
        <w:jc w:val="left"/>
        <w:rPr>
          <w:rFonts w:ascii="仿宋" w:eastAsia="仿宋" w:hAnsi="仿宋" w:cs="宋体"/>
          <w:kern w:val="0"/>
          <w:sz w:val="24"/>
          <w:szCs w:val="24"/>
        </w:rPr>
      </w:pPr>
      <w:r>
        <w:rPr>
          <w:rFonts w:ascii="仿宋" w:eastAsia="仿宋" w:hAnsi="仿宋" w:cs="宋体" w:hint="eastAsia"/>
          <w:kern w:val="0"/>
          <w:sz w:val="24"/>
          <w:szCs w:val="24"/>
        </w:rPr>
        <w:t>本基金的投资组合将遵循以下限制：</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（1）</w:t>
      </w:r>
      <w:r w:rsidRPr="00F7437A">
        <w:rPr>
          <w:rFonts w:ascii="仿宋" w:eastAsia="仿宋" w:hAnsi="仿宋" w:hint="eastAsia"/>
          <w:color w:val="000000"/>
          <w:sz w:val="24"/>
        </w:rPr>
        <w:t>本基金投资于股票资产（含存托凭证）的比例为基金资产的60%-95%</w:t>
      </w:r>
      <w:r w:rsidRPr="00C268B2">
        <w:rPr>
          <w:rFonts w:ascii="仿宋" w:eastAsia="仿宋" w:hAnsi="仿宋" w:hint="eastAsia"/>
          <w:color w:val="000000"/>
          <w:sz w:val="24"/>
        </w:rPr>
        <w:t>（其中投资于港股通标的股票的比例占股票资产的0%-50%）</w:t>
      </w:r>
      <w:r w:rsidRPr="00C268B2">
        <w:rPr>
          <w:rFonts w:ascii="仿宋" w:eastAsia="仿宋" w:hAnsi="仿宋"/>
          <w:color w:val="000000"/>
          <w:sz w:val="24"/>
        </w:rPr>
        <w:t>；</w:t>
      </w:r>
      <w:r w:rsidRPr="00C268B2">
        <w:rPr>
          <w:rFonts w:ascii="仿宋" w:eastAsia="仿宋" w:hAnsi="仿宋" w:hint="eastAsia"/>
          <w:color w:val="000000"/>
          <w:sz w:val="24"/>
        </w:rPr>
        <w:t xml:space="preserve"> </w:t>
      </w:r>
    </w:p>
    <w:p w:rsidR="00E45E2B" w:rsidRPr="00C268B2" w:rsidRDefault="00E45E2B" w:rsidP="00E45E2B">
      <w:pPr>
        <w:spacing w:line="360" w:lineRule="auto"/>
        <w:ind w:firstLineChars="200" w:firstLine="480"/>
        <w:rPr>
          <w:rFonts w:ascii="仿宋" w:eastAsia="仿宋" w:hAnsi="仿宋"/>
          <w:color w:val="000000"/>
          <w:sz w:val="24"/>
        </w:rPr>
      </w:pPr>
      <w:r>
        <w:rPr>
          <w:rFonts w:ascii="仿宋" w:eastAsia="仿宋" w:hAnsi="仿宋" w:hint="eastAsia"/>
          <w:color w:val="000000"/>
          <w:sz w:val="24"/>
        </w:rPr>
        <w:t>（2）</w:t>
      </w:r>
      <w:r w:rsidRPr="00C268B2">
        <w:rPr>
          <w:rFonts w:ascii="仿宋" w:eastAsia="仿宋" w:hAnsi="仿宋" w:hint="eastAsia"/>
          <w:color w:val="000000"/>
          <w:sz w:val="24"/>
        </w:rPr>
        <w:t>本基金每个交易日日终在扣除股指期货、国债期货和股票期权合约需缴纳的交易保证金后，保持不低于基金资产净值5%的现金或者到期日在一年以内的政府债券。前述现金不包括结算备付金、存出保证金、应收申购款等</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（3）基金财产参与股票发行申购，本基金所申报的金额不超过本基金的总资产，本基金所申报的股票数量不超过拟发行股票公司本次发行股票的总量；</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4</w:t>
      </w:r>
      <w:r>
        <w:rPr>
          <w:rFonts w:ascii="仿宋" w:eastAsia="仿宋" w:hAnsi="仿宋"/>
          <w:color w:val="000000"/>
          <w:sz w:val="24"/>
        </w:rPr>
        <w:t>）本基金持有一家</w:t>
      </w:r>
      <w:r>
        <w:rPr>
          <w:rFonts w:ascii="仿宋" w:eastAsia="仿宋" w:hAnsi="仿宋" w:hint="eastAsia"/>
          <w:color w:val="000000"/>
          <w:sz w:val="24"/>
        </w:rPr>
        <w:t>公司发行</w:t>
      </w:r>
      <w:r>
        <w:rPr>
          <w:rFonts w:ascii="仿宋" w:eastAsia="仿宋" w:hAnsi="仿宋"/>
          <w:color w:val="000000"/>
          <w:sz w:val="24"/>
        </w:rPr>
        <w:t>的证券，其市值</w:t>
      </w:r>
      <w:r>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5</w:t>
      </w:r>
      <w:r>
        <w:rPr>
          <w:rFonts w:ascii="仿宋" w:eastAsia="仿宋" w:hAnsi="仿宋"/>
          <w:color w:val="000000"/>
          <w:sz w:val="24"/>
        </w:rPr>
        <w:t>）本基金管理人管理的全部基金持有一家公司发行的证券</w:t>
      </w:r>
      <w:r w:rsidRPr="00C268B2">
        <w:rPr>
          <w:rFonts w:ascii="仿宋" w:eastAsia="仿宋" w:hAnsi="仿宋" w:hint="eastAsia"/>
          <w:color w:val="000000"/>
          <w:sz w:val="24"/>
        </w:rPr>
        <w:t>（同一家公司在内地和香港同时上市的A+H股合计计算），</w:t>
      </w:r>
      <w:r>
        <w:rPr>
          <w:rFonts w:ascii="仿宋" w:eastAsia="仿宋" w:hAnsi="仿宋"/>
          <w:color w:val="000000"/>
          <w:sz w:val="24"/>
        </w:rPr>
        <w:t>不超过该证券的10％</w:t>
      </w:r>
      <w:r w:rsidRPr="00C268B2">
        <w:rPr>
          <w:rFonts w:ascii="仿宋" w:eastAsia="仿宋" w:hAnsi="仿宋" w:hint="eastAsia"/>
          <w:color w:val="000000"/>
          <w:sz w:val="24"/>
        </w:rPr>
        <w:t>，完全按照有关指数的构成比例进行证券投资的基金品种可以不受此条款规定的比例限制</w:t>
      </w:r>
      <w:r>
        <w:rPr>
          <w:rFonts w:ascii="仿宋" w:eastAsia="仿宋" w:hAnsi="仿宋"/>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（6）本基金管理人管理的全部开放式基金</w:t>
      </w:r>
      <w:r>
        <w:rPr>
          <w:rFonts w:ascii="仿宋" w:eastAsia="仿宋" w:hAnsi="仿宋" w:hint="eastAsia"/>
          <w:bCs/>
          <w:color w:val="000000"/>
          <w:sz w:val="24"/>
        </w:rPr>
        <w:t>（</w:t>
      </w:r>
      <w:r>
        <w:rPr>
          <w:rFonts w:ascii="仿宋" w:eastAsia="仿宋" w:hAnsi="仿宋"/>
          <w:bCs/>
          <w:color w:val="000000"/>
          <w:sz w:val="24"/>
        </w:rPr>
        <w:t>包括开放式基金以及处于开放期的定期开放基金</w:t>
      </w:r>
      <w:r>
        <w:rPr>
          <w:rFonts w:ascii="仿宋" w:eastAsia="仿宋" w:hAnsi="仿宋" w:hint="eastAsia"/>
          <w:bCs/>
          <w:color w:val="000000"/>
          <w:sz w:val="24"/>
        </w:rPr>
        <w:t>）</w:t>
      </w:r>
      <w:r>
        <w:rPr>
          <w:rFonts w:ascii="仿宋" w:eastAsia="仿宋" w:hAnsi="仿宋" w:hint="eastAsia"/>
          <w:color w:val="000000"/>
          <w:sz w:val="24"/>
        </w:rPr>
        <w:t>持有一家上市公司发行的可流通股票，不得超过该上市公司可流通股票的15%；本基金管理人管理的全部投资组合持有一家上市公司发行的可流通股票，不得超过该上市公司可流通股票的30%</w:t>
      </w:r>
      <w:r w:rsidRPr="00A606F2">
        <w:rPr>
          <w:rFonts w:ascii="仿宋" w:eastAsia="仿宋" w:hAnsi="仿宋" w:hint="eastAsia"/>
          <w:color w:val="000000"/>
          <w:sz w:val="24"/>
        </w:rPr>
        <w:t>。完全按照有关指数的构成比例进行证券投资的开放式基金以及中国证监会认定的特殊投资组合可不受前述比例限制</w:t>
      </w:r>
      <w:r>
        <w:rPr>
          <w:rFonts w:ascii="仿宋" w:eastAsia="仿宋" w:hAnsi="仿宋" w:hint="eastAsia"/>
          <w:color w:val="000000"/>
          <w:sz w:val="24"/>
        </w:rPr>
        <w:t>；</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（7）本基金投资于同一原始权益人的各类资产支持证券的比例，不得超过基金资产净值的10％；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（8）本基金持有的全部资产支持证券，其市值不得超过基金资产净值的20％；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（9）本基金持有的同一(指同一信用级别)资产支持证券的比例，不得超过该资产支持证券规模的10％；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0）本基金管理人管理的全部基金投资于同一原始权益人的各类资产支持证券，不得超过其各类资产支持证券合计规模的10％；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w:t>
      </w:r>
      <w:r>
        <w:rPr>
          <w:rFonts w:ascii="仿宋" w:eastAsia="仿宋" w:hAnsi="仿宋" w:hint="eastAsia"/>
          <w:color w:val="000000"/>
          <w:sz w:val="24"/>
        </w:rPr>
        <w:t>1</w:t>
      </w:r>
      <w:r>
        <w:rPr>
          <w:rFonts w:ascii="仿宋" w:eastAsia="仿宋" w:hAnsi="仿宋"/>
          <w:color w:val="000000"/>
          <w:sz w:val="24"/>
        </w:rPr>
        <w:t>1）本基金应投资于信用级别评级为BBB以上(含BBB)的资产支持证券。基金持有资产支持证券期间，如果其信用等级下降、不再符合投资标准，应在评级报告发布之日起3个月内予以全部卖出；</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（12）本</w:t>
      </w:r>
      <w:r>
        <w:rPr>
          <w:rFonts w:ascii="仿宋" w:eastAsia="仿宋" w:hAnsi="仿宋" w:hint="eastAsia"/>
          <w:color w:val="000000"/>
          <w:sz w:val="24"/>
        </w:rPr>
        <w:t>基金总资产不得超过基金净资产的140%；</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3</w:t>
      </w:r>
      <w:r>
        <w:rPr>
          <w:rFonts w:ascii="仿宋" w:eastAsia="仿宋" w:hAnsi="仿宋" w:hint="eastAsia"/>
          <w:color w:val="000000"/>
          <w:sz w:val="24"/>
        </w:rPr>
        <w:t>）</w:t>
      </w:r>
      <w:r w:rsidRPr="00A606F2">
        <w:rPr>
          <w:rFonts w:ascii="仿宋" w:eastAsia="仿宋" w:hAnsi="仿宋" w:hint="eastAsia"/>
          <w:color w:val="000000"/>
          <w:sz w:val="24"/>
        </w:rPr>
        <w:t>本基金参与股指期货和/或国债期货交易时，应当遵守下列要求：</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1）基金在任何交易日日终，持有的买入股指期货合约价值不得超过基金资产净值的10%，持有的买入国债期货合约价值，不得超过基金资产净值的15%。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2）基金在任何交易日日终，持有的卖出股指期货合约价值不得超过基金持有的股票总市值的20%，持有的卖出国债期货合约价值不得超过基金持有的债券总市值的30%。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3）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4）基金在任何交易日日终，持有的买入国债期货和股指期货合约价值与有价证券市值之和，不得超过基金资产净值的95%。</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其中，有价证券指股票、债券（不含到期日在一年以内的政府债券）、资产支持证券、买入返售金融资产（不含质押式回购）等。</w:t>
      </w:r>
    </w:p>
    <w:p w:rsidR="00E45E2B" w:rsidRPr="00A606F2"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5）基金所持有的股票市值和买入、卖出股指期货合约价值，合计（轧差计算）应当符合基金合同关于股票投资比例的有关约定；</w:t>
      </w:r>
    </w:p>
    <w:p w:rsidR="00E45E2B" w:rsidRDefault="00E45E2B" w:rsidP="00E45E2B">
      <w:pPr>
        <w:spacing w:line="360" w:lineRule="auto"/>
        <w:ind w:firstLineChars="177" w:firstLine="425"/>
        <w:rPr>
          <w:rFonts w:ascii="仿宋" w:eastAsia="仿宋" w:hAnsi="仿宋"/>
          <w:color w:val="000000"/>
          <w:sz w:val="24"/>
        </w:rPr>
      </w:pPr>
      <w:r w:rsidRPr="00A606F2">
        <w:rPr>
          <w:rFonts w:ascii="仿宋" w:eastAsia="仿宋" w:hAnsi="仿宋" w:hint="eastAsia"/>
          <w:color w:val="000000"/>
          <w:sz w:val="24"/>
        </w:rPr>
        <w:t>基金所持有的债券（不含到期日在一年以内的政府债券）市值和买入、卖出国债期货合约价值，合计（轧差计算）应当符合基金合同关于债券投资比例的有关约定；</w:t>
      </w:r>
    </w:p>
    <w:p w:rsidR="00E45E2B" w:rsidRPr="00B82EC6"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4</w:t>
      </w:r>
      <w:r>
        <w:rPr>
          <w:rFonts w:ascii="仿宋" w:eastAsia="仿宋" w:hAnsi="仿宋" w:hint="eastAsia"/>
          <w:color w:val="000000"/>
          <w:sz w:val="24"/>
        </w:rPr>
        <w:t>）</w:t>
      </w:r>
      <w:r w:rsidRPr="00B82EC6">
        <w:rPr>
          <w:rFonts w:ascii="仿宋" w:eastAsia="仿宋" w:hAnsi="仿宋" w:hint="eastAsia"/>
          <w:color w:val="000000"/>
          <w:sz w:val="24"/>
        </w:rPr>
        <w:t>本基金参与股票期权交易的，应当符合下列要求：</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1）基金因未平仓的期权合约支付和收取的权利金总额不得超过基金资产净值的10%；</w:t>
      </w:r>
    </w:p>
    <w:p w:rsidR="00E45E2B" w:rsidRPr="00B82EC6"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2）开仓卖出认购期权的，应持有足额标的证券；开仓卖出认沽期权的，应持有合约行权所需的全额现金或交易所规则认可的可冲抵期权保证金的现金等价物；</w:t>
      </w:r>
    </w:p>
    <w:p w:rsidR="00E45E2B" w:rsidRDefault="00E45E2B" w:rsidP="00E45E2B">
      <w:pPr>
        <w:spacing w:line="360" w:lineRule="auto"/>
        <w:ind w:firstLineChars="177" w:firstLine="425"/>
        <w:rPr>
          <w:rFonts w:ascii="仿宋" w:eastAsia="仿宋" w:hAnsi="仿宋"/>
          <w:color w:val="000000"/>
          <w:sz w:val="24"/>
        </w:rPr>
      </w:pPr>
      <w:r w:rsidRPr="00B82EC6">
        <w:rPr>
          <w:rFonts w:ascii="仿宋" w:eastAsia="仿宋" w:hAnsi="仿宋" w:hint="eastAsia"/>
          <w:color w:val="000000"/>
          <w:sz w:val="24"/>
        </w:rPr>
        <w:t>3）未平仓的期权合约面值不得超过基金资产净值的20%，其中，合约面值按照行权价乘以合约乘数计算；</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（15）本基金不得持有信用保护卖方属性的信用衍生品，不得持有合约类信用衍生品，持有的信用衍生品的名义本金不得超过本基金对应受保护债券面值的100%；</w:t>
      </w:r>
    </w:p>
    <w:p w:rsidR="00E45E2B" w:rsidRPr="00E37A1A"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（16）本基金投资于同一信用保护卖方的各类信用衍生品的名义本金合计不得超过基金资产净值的10%；</w:t>
      </w:r>
    </w:p>
    <w:p w:rsidR="00E45E2B" w:rsidRDefault="00E45E2B" w:rsidP="00E45E2B">
      <w:pPr>
        <w:spacing w:line="360" w:lineRule="auto"/>
        <w:ind w:firstLineChars="177" w:firstLine="425"/>
        <w:rPr>
          <w:rFonts w:ascii="仿宋" w:eastAsia="仿宋" w:hAnsi="仿宋"/>
          <w:color w:val="000000"/>
          <w:sz w:val="24"/>
        </w:rPr>
      </w:pPr>
      <w:r w:rsidRPr="00E37A1A">
        <w:rPr>
          <w:rFonts w:ascii="仿宋" w:eastAsia="仿宋" w:hAnsi="仿宋" w:hint="eastAsia"/>
          <w:color w:val="000000"/>
          <w:sz w:val="24"/>
        </w:rPr>
        <w:t>因证券、期货市场波动、证券发行人合并、基金规模变动等基金管理人之外的因素致使基金不符合前述（15）、（16）所规定比例限制的，基金管理人应在3个月之内进行调整；</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7</w:t>
      </w:r>
      <w:r>
        <w:rPr>
          <w:rFonts w:ascii="仿宋" w:eastAsia="仿宋" w:hAnsi="仿宋" w:hint="eastAsia"/>
          <w:color w:val="000000"/>
          <w:sz w:val="24"/>
        </w:rPr>
        <w:t>）本基金与私募类证券资管产品及中国证监会认定的其他主体为交易对手开展逆回购交易的，可接受质押品的资质要求应当与基金合同约定的投资范围保持一致；</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hint="eastAsia"/>
          <w:color w:val="000000"/>
          <w:sz w:val="24"/>
        </w:rPr>
        <w:t>（</w:t>
      </w:r>
      <w:r>
        <w:rPr>
          <w:rFonts w:ascii="仿宋" w:eastAsia="仿宋" w:hAnsi="仿宋"/>
          <w:color w:val="000000"/>
          <w:sz w:val="24"/>
        </w:rPr>
        <w:t>18</w:t>
      </w:r>
      <w:r>
        <w:rPr>
          <w:rFonts w:ascii="仿宋" w:eastAsia="仿宋" w:hAnsi="仿宋" w:hint="eastAsia"/>
          <w:color w:val="000000"/>
          <w:sz w:val="24"/>
        </w:rPr>
        <w:t>）</w:t>
      </w:r>
      <w:r>
        <w:rPr>
          <w:rFonts w:ascii="仿宋" w:eastAsia="仿宋" w:hAnsi="仿宋" w:cs="宋体" w:hint="eastAsia"/>
          <w:bCs/>
          <w:kern w:val="0"/>
          <w:sz w:val="24"/>
          <w:szCs w:val="24"/>
        </w:rPr>
        <w:t>本基金主动投资于流动性受限资产的市值合计不得超过本基金资产净值的15%；</w:t>
      </w:r>
      <w:r w:rsidRPr="003E35E3">
        <w:rPr>
          <w:rFonts w:ascii="仿宋" w:eastAsia="仿宋" w:hAnsi="仿宋" w:cs="宋体" w:hint="eastAsia"/>
          <w:bCs/>
          <w:kern w:val="0"/>
          <w:sz w:val="24"/>
          <w:szCs w:val="24"/>
        </w:rPr>
        <w:t>因证券市场波动、上市公司股票停牌、基金规模变动等基金管理人之外的因素致使基金不符合前款所规定的比例限制的，基金管理人不得主动新增流动性受限资产的投资；</w:t>
      </w:r>
    </w:p>
    <w:p w:rsidR="00E45E2B" w:rsidRDefault="00E45E2B" w:rsidP="00E45E2B">
      <w:pPr>
        <w:autoSpaceDE w:val="0"/>
        <w:autoSpaceDN w:val="0"/>
        <w:adjustRightInd w:val="0"/>
        <w:spacing w:line="360" w:lineRule="auto"/>
        <w:ind w:firstLine="420"/>
        <w:jc w:val="left"/>
        <w:rPr>
          <w:rFonts w:ascii="仿宋" w:eastAsia="仿宋" w:hAnsi="仿宋"/>
          <w:color w:val="000000"/>
          <w:sz w:val="24"/>
        </w:rPr>
      </w:pPr>
      <w:r>
        <w:rPr>
          <w:rFonts w:ascii="仿宋" w:eastAsia="仿宋" w:hAnsi="仿宋" w:cs="宋体" w:hint="eastAsia"/>
          <w:bCs/>
          <w:kern w:val="0"/>
          <w:sz w:val="24"/>
          <w:szCs w:val="24"/>
        </w:rPr>
        <w:t>（1</w:t>
      </w:r>
      <w:r>
        <w:rPr>
          <w:rFonts w:ascii="仿宋" w:eastAsia="仿宋" w:hAnsi="仿宋" w:cs="宋体"/>
          <w:bCs/>
          <w:kern w:val="0"/>
          <w:sz w:val="24"/>
          <w:szCs w:val="24"/>
        </w:rPr>
        <w:t>9</w:t>
      </w:r>
      <w:r>
        <w:rPr>
          <w:rFonts w:ascii="仿宋" w:eastAsia="仿宋" w:hAnsi="仿宋" w:cs="宋体" w:hint="eastAsia"/>
          <w:bCs/>
          <w:kern w:val="0"/>
          <w:sz w:val="24"/>
          <w:szCs w:val="24"/>
        </w:rPr>
        <w:t>）</w:t>
      </w:r>
      <w:r w:rsidRPr="003E35E3">
        <w:rPr>
          <w:rFonts w:ascii="仿宋" w:eastAsia="仿宋" w:hAnsi="仿宋" w:cs="宋体" w:hint="eastAsia"/>
          <w:bCs/>
          <w:kern w:val="0"/>
          <w:sz w:val="24"/>
          <w:szCs w:val="24"/>
        </w:rPr>
        <w:t>参与融资业务后，在任何交易日日终，本基金持有的融资买入股票与其他有价证券市值之和，不得超过基金资产净值的95%；</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w:t>
      </w:r>
      <w:r>
        <w:rPr>
          <w:rFonts w:ascii="仿宋" w:eastAsia="仿宋" w:hAnsi="仿宋" w:cs="宋体"/>
          <w:bCs/>
          <w:kern w:val="0"/>
          <w:sz w:val="24"/>
          <w:szCs w:val="24"/>
        </w:rPr>
        <w:t>20</w:t>
      </w:r>
      <w:r>
        <w:rPr>
          <w:rFonts w:ascii="仿宋" w:eastAsia="仿宋" w:hAnsi="仿宋" w:cs="宋体" w:hint="eastAsia"/>
          <w:bCs/>
          <w:kern w:val="0"/>
          <w:sz w:val="24"/>
          <w:szCs w:val="24"/>
        </w:rPr>
        <w:t>）本基金投资存托凭证的比例限制依照内地上市交易的股票执行；</w:t>
      </w:r>
    </w:p>
    <w:p w:rsidR="00E45E2B" w:rsidRDefault="00E45E2B" w:rsidP="00E45E2B">
      <w:pPr>
        <w:spacing w:line="360" w:lineRule="auto"/>
        <w:ind w:firstLineChars="177" w:firstLine="425"/>
        <w:rPr>
          <w:rFonts w:ascii="仿宋" w:eastAsia="仿宋" w:hAnsi="仿宋"/>
          <w:color w:val="000000"/>
          <w:sz w:val="24"/>
        </w:rPr>
      </w:pPr>
      <w:r>
        <w:rPr>
          <w:rFonts w:ascii="仿宋" w:eastAsia="仿宋" w:hAnsi="仿宋"/>
          <w:color w:val="000000"/>
          <w:sz w:val="24"/>
        </w:rPr>
        <w:t>（21）</w:t>
      </w:r>
      <w:r>
        <w:rPr>
          <w:rFonts w:ascii="仿宋" w:eastAsia="仿宋" w:hAnsi="仿宋" w:hint="eastAsia"/>
          <w:color w:val="000000"/>
          <w:sz w:val="24"/>
        </w:rPr>
        <w:t>法律法规及中国证监会规定的和《基金合同》约定的其他投资限制。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法律法规或监管部门取消或调整上述限制，如适用于本基金，则在履行适当程序后，本基金投资不再受相关限制</w:t>
      </w:r>
      <w:r w:rsidRPr="0091500D">
        <w:rPr>
          <w:rFonts w:ascii="仿宋" w:eastAsia="仿宋" w:hAnsi="仿宋" w:cs="宋体" w:hint="eastAsia"/>
          <w:kern w:val="0"/>
          <w:sz w:val="24"/>
          <w:szCs w:val="24"/>
        </w:rPr>
        <w:t>或按照调整后的规定执行</w:t>
      </w:r>
      <w:r>
        <w:rPr>
          <w:rFonts w:ascii="仿宋" w:eastAsia="仿宋" w:hAnsi="仿宋" w:hint="eastAsia"/>
          <w:color w:val="000000"/>
          <w:sz w:val="24"/>
        </w:rPr>
        <w:t>,基金管理人及时根据《信息披露办法》规定在</w:t>
      </w:r>
      <w:r>
        <w:rPr>
          <w:rFonts w:ascii="仿宋" w:eastAsia="仿宋" w:hAnsi="仿宋" w:cs="宋体" w:hint="eastAsia"/>
          <w:kern w:val="0"/>
          <w:sz w:val="24"/>
          <w:szCs w:val="24"/>
        </w:rPr>
        <w:t>规定媒介公告。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91500D">
        <w:rPr>
          <w:rFonts w:ascii="仿宋" w:eastAsia="仿宋" w:hAnsi="仿宋" w:cs="宋体" w:hint="eastAsia"/>
          <w:kern w:val="0"/>
          <w:sz w:val="24"/>
          <w:szCs w:val="24"/>
        </w:rPr>
        <w:t>除（2）、（11）、（15）、（16）</w:t>
      </w:r>
      <w:r w:rsidRPr="00E37A1A">
        <w:rPr>
          <w:rFonts w:ascii="仿宋" w:eastAsia="仿宋" w:hAnsi="仿宋" w:cs="宋体" w:hint="eastAsia"/>
          <w:kern w:val="0"/>
          <w:sz w:val="24"/>
          <w:szCs w:val="24"/>
        </w:rPr>
        <w:t>、（17）、（18）</w:t>
      </w:r>
      <w:r w:rsidRPr="0091500D">
        <w:rPr>
          <w:rFonts w:ascii="仿宋" w:eastAsia="仿宋" w:hAnsi="仿宋" w:cs="宋体" w:hint="eastAsia"/>
          <w:kern w:val="0"/>
          <w:sz w:val="24"/>
          <w:szCs w:val="24"/>
        </w:rPr>
        <w:t>条外，</w:t>
      </w:r>
      <w:r>
        <w:rPr>
          <w:rFonts w:ascii="仿宋" w:eastAsia="仿宋" w:hAnsi="仿宋" w:cs="宋体" w:hint="eastAsia"/>
          <w:kern w:val="0"/>
          <w:sz w:val="24"/>
          <w:szCs w:val="24"/>
        </w:rPr>
        <w:t>因证券、期货市场波动、证券发行人合并、基金规模变动等基金管理人之外的因素致使基金投资比例不符合上述规定投资比例的，基金管理人应当在</w:t>
      </w:r>
      <w:r>
        <w:rPr>
          <w:rFonts w:ascii="仿宋" w:eastAsia="仿宋" w:hAnsi="仿宋" w:cs="宋体"/>
          <w:kern w:val="0"/>
          <w:sz w:val="24"/>
          <w:szCs w:val="24"/>
        </w:rPr>
        <w:t>10</w:t>
      </w:r>
      <w:r>
        <w:rPr>
          <w:rFonts w:ascii="仿宋" w:eastAsia="仿宋" w:hAnsi="仿宋" w:cs="宋体" w:hint="eastAsia"/>
          <w:kern w:val="0"/>
          <w:sz w:val="24"/>
          <w:szCs w:val="24"/>
        </w:rPr>
        <w:t>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基金管理人应当自基金合同生效之日起</w:t>
      </w:r>
      <w:r>
        <w:rPr>
          <w:rFonts w:ascii="仿宋" w:eastAsia="仿宋" w:hAnsi="仿宋" w:cs="宋体"/>
          <w:kern w:val="0"/>
          <w:sz w:val="24"/>
          <w:szCs w:val="24"/>
        </w:rPr>
        <w:t>6</w:t>
      </w:r>
      <w:r>
        <w:rPr>
          <w:rFonts w:ascii="仿宋" w:eastAsia="仿宋" w:hAnsi="仿宋" w:cs="宋体"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（二）禁止行为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为维护基金份额持有人的合法权益，</w:t>
      </w:r>
      <w:r w:rsidRPr="00D427D2">
        <w:rPr>
          <w:rFonts w:ascii="仿宋" w:eastAsia="仿宋" w:hAnsi="仿宋" w:cs="宋体" w:hint="eastAsia"/>
          <w:kern w:val="0"/>
          <w:sz w:val="24"/>
          <w:szCs w:val="24"/>
        </w:rPr>
        <w:t>基金财产不得用于下列投资或者活动</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、承销证券；</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5、向其基金管理人、基金托管人出资；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7、法律、行政法规和中国证监会规定禁止的其他活动。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如法律、行政法规或监管部门取消或调整上述禁止性规定，</w:t>
      </w:r>
      <w:r w:rsidRPr="007C48BC">
        <w:rPr>
          <w:rFonts w:ascii="仿宋" w:eastAsia="仿宋" w:hAnsi="仿宋" w:cs="宋体" w:hint="eastAsia"/>
          <w:kern w:val="0"/>
          <w:sz w:val="24"/>
          <w:szCs w:val="24"/>
        </w:rPr>
        <w:t>如适用于</w:t>
      </w:r>
      <w:r>
        <w:rPr>
          <w:rFonts w:ascii="仿宋" w:eastAsia="仿宋" w:hAnsi="仿宋" w:cs="宋体" w:hint="eastAsia"/>
          <w:kern w:val="0"/>
          <w:sz w:val="24"/>
          <w:szCs w:val="24"/>
        </w:rPr>
        <w:t>本基金，基金管理人在履行适当程序后，本基金可不受上述规定的限制</w:t>
      </w:r>
      <w:r w:rsidRPr="009B2533">
        <w:rPr>
          <w:rFonts w:ascii="仿宋" w:eastAsia="仿宋" w:hAnsi="仿宋" w:cs="宋体" w:hint="eastAsia"/>
          <w:kern w:val="0"/>
          <w:sz w:val="24"/>
          <w:szCs w:val="24"/>
        </w:rPr>
        <w:t>或以调整后的规定为准</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（三）关联交易原则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E37A1A">
        <w:rPr>
          <w:rFonts w:ascii="仿宋" w:eastAsia="仿宋" w:hAnsi="仿宋" w:cs="宋体" w:hint="eastAsia"/>
          <w:kern w:val="0"/>
          <w:sz w:val="24"/>
          <w:szCs w:val="24"/>
        </w:rPr>
        <w:t>法律法规或监管部门取消或变更上述限制，如适用于本基金，基金管理人在履行适当程序后，则本基金投资不再受相关限制或按变更后的规定执行。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五、业绩比较基准</w:t>
      </w:r>
    </w:p>
    <w:p w:rsidR="00E45E2B" w:rsidRDefault="00E45E2B" w:rsidP="00E45E2B">
      <w:pPr>
        <w:widowControl/>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本基金的业绩比较基准为：</w:t>
      </w:r>
      <w:r w:rsidRPr="00DA5015">
        <w:rPr>
          <w:rFonts w:ascii="仿宋" w:eastAsia="仿宋" w:hAnsi="仿宋" w:hint="eastAsia"/>
          <w:color w:val="000000"/>
          <w:sz w:val="24"/>
        </w:rPr>
        <w:t>沪深300指数收益率*70%+恒生指数收益率（经汇率估值调整）*20%+中国债券总指数收益率*10%</w:t>
      </w:r>
      <w:r>
        <w:rPr>
          <w:rFonts w:ascii="仿宋" w:eastAsia="仿宋" w:hAnsi="仿宋" w:hint="eastAsia"/>
          <w:color w:val="000000"/>
          <w:sz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其中，</w:t>
      </w:r>
      <w:r>
        <w:rPr>
          <w:rFonts w:ascii="仿宋" w:eastAsia="仿宋" w:hAnsi="仿宋" w:cs="宋体" w:hint="eastAsia"/>
          <w:kern w:val="0"/>
          <w:sz w:val="24"/>
          <w:szCs w:val="24"/>
        </w:rPr>
        <w:t>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场总体发展趋势。</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hint="eastAsia"/>
          <w:color w:val="000000"/>
          <w:sz w:val="24"/>
        </w:rPr>
        <w:t>恒生指数是由恒生指数服务有限公司编制，以香港股票市场中的</w:t>
      </w:r>
      <w:r>
        <w:rPr>
          <w:rFonts w:ascii="仿宋" w:eastAsia="仿宋" w:hAnsi="仿宋"/>
          <w:color w:val="000000"/>
          <w:sz w:val="24"/>
        </w:rPr>
        <w:t>50</w:t>
      </w:r>
      <w:r>
        <w:rPr>
          <w:rFonts w:ascii="仿宋" w:eastAsia="仿宋" w:hAnsi="仿宋" w:hint="eastAsia"/>
          <w:color w:val="000000"/>
          <w:sz w:val="24"/>
        </w:rPr>
        <w:t>家上市股票为成份股样本，以其发行量为权数的加权平均股价指数，是反映香港股市价幅趋势最有影响的一种股价指数。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中国债券总指数是由中央国债登记结算有限责任公司于2001年12月31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B114F0">
        <w:rPr>
          <w:rFonts w:ascii="仿宋" w:eastAsia="仿宋" w:hAnsi="仿宋" w:cs="宋体" w:hint="eastAsia"/>
          <w:kern w:val="0"/>
          <w:sz w:val="24"/>
          <w:szCs w:val="24"/>
        </w:rPr>
        <w:t>综上，</w:t>
      </w:r>
      <w:r>
        <w:rPr>
          <w:rFonts w:ascii="仿宋" w:eastAsia="仿宋" w:hAnsi="仿宋" w:cs="宋体" w:hint="eastAsia"/>
          <w:kern w:val="0"/>
          <w:sz w:val="24"/>
          <w:szCs w:val="24"/>
        </w:rPr>
        <w:t>本基金业绩比较基准</w:t>
      </w:r>
      <w:r w:rsidRPr="00917F0D">
        <w:rPr>
          <w:rFonts w:ascii="仿宋" w:eastAsia="仿宋" w:hAnsi="仿宋" w:cs="宋体" w:hint="eastAsia"/>
          <w:kern w:val="0"/>
          <w:sz w:val="24"/>
          <w:szCs w:val="24"/>
        </w:rPr>
        <w:t>沪深300指数收益率*70%+恒生指数收益率（经汇率估值调整）*20%+中国债券总指数收益率*10%</w:t>
      </w:r>
      <w:r>
        <w:rPr>
          <w:rFonts w:ascii="仿宋" w:eastAsia="仿宋" w:hAnsi="仿宋" w:cs="宋体" w:hint="eastAsia"/>
          <w:kern w:val="0"/>
          <w:sz w:val="24"/>
          <w:szCs w:val="24"/>
        </w:rPr>
        <w:t>目前能够较好地反映本基金的风险收益特征。如果今后法律法规发生变化，或者有更权威的、更能为市场普遍接受的业绩比较基准推出，或者是市场上出现更加适合用于本基金的业绩</w:t>
      </w:r>
      <w:r w:rsidRPr="00B114F0">
        <w:rPr>
          <w:rFonts w:ascii="仿宋" w:eastAsia="仿宋" w:hAnsi="仿宋" w:cs="宋体" w:hint="eastAsia"/>
          <w:kern w:val="0"/>
          <w:sz w:val="24"/>
          <w:szCs w:val="24"/>
        </w:rPr>
        <w:t>比较</w:t>
      </w:r>
      <w:r>
        <w:rPr>
          <w:rFonts w:ascii="仿宋" w:eastAsia="仿宋" w:hAnsi="仿宋" w:cs="宋体" w:hint="eastAsia"/>
          <w:kern w:val="0"/>
          <w:sz w:val="24"/>
          <w:szCs w:val="24"/>
        </w:rPr>
        <w:t>基准时，</w:t>
      </w:r>
      <w:r w:rsidRPr="009B2533">
        <w:rPr>
          <w:rFonts w:ascii="仿宋" w:eastAsia="仿宋" w:hAnsi="仿宋" w:cs="宋体" w:hint="eastAsia"/>
          <w:kern w:val="0"/>
          <w:sz w:val="24"/>
          <w:szCs w:val="24"/>
        </w:rPr>
        <w:t>基金管理人与基金托管人协商一致且履行适当程序后，本基金可以变更业绩比较基准</w:t>
      </w:r>
      <w:r>
        <w:rPr>
          <w:rFonts w:ascii="仿宋" w:eastAsia="仿宋" w:hAnsi="仿宋" w:cs="宋体" w:hint="eastAsia"/>
          <w:kern w:val="0"/>
          <w:sz w:val="24"/>
          <w:szCs w:val="24"/>
        </w:rPr>
        <w:t>并在规定媒介上及时公告。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六、风险收益特征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本基金是一只混合型基金，其预期风险与预期收益高于债券型基金与货币市场基金，低于股票型基金。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除了投资A股外，还可根据法律法规规定投资香港联合交易所上市的股票。除了需要承担与境内证券投资基金类似的市场波动风险等一般投资风险之外，本基金还面临港股通机制下因投资环境、投资标的、市场制度以及交易规则等差异带来的特有风险。</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75" w:name="_Toc459291251"/>
      <w:r w:rsidRPr="00DA33B7">
        <w:rPr>
          <w:rFonts w:ascii="仿宋" w:eastAsia="仿宋" w:hAnsi="仿宋" w:cs="宋体" w:hint="eastAsia"/>
          <w:b/>
          <w:kern w:val="0"/>
          <w:sz w:val="24"/>
          <w:szCs w:val="24"/>
        </w:rPr>
        <w:t>七、基金管理人代表基金行使股东或债权人权利的处理原则及方法</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1、基金管理人按照国家有关规定代表基金独立行使股东或债权人权利，保护基金份额持有人的利益；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2、不谋求对上市公司的控股；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 xml:space="preserve">3、有利于基金财产的安全与增值； </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4、不通过关联交易为自身、雇员、授权代理人或任何存在利害关系的第三人牟取任何不当利益。</w:t>
      </w:r>
    </w:p>
    <w:p w:rsidR="00E45E2B" w:rsidRPr="00DA33B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DA33B7">
        <w:rPr>
          <w:rFonts w:ascii="仿宋" w:eastAsia="仿宋" w:hAnsi="仿宋" w:cs="宋体" w:hint="eastAsia"/>
          <w:b/>
          <w:kern w:val="0"/>
          <w:sz w:val="24"/>
          <w:szCs w:val="24"/>
        </w:rPr>
        <w:t>八、侧袋机制的实施和投资运作安排</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当基金持有特定资产且存在或潜在大额赎回申请时，</w:t>
      </w:r>
      <w:r w:rsidRPr="00397C20">
        <w:rPr>
          <w:rFonts w:ascii="仿宋" w:eastAsia="仿宋" w:hAnsi="仿宋" w:cs="宋体" w:hint="eastAsia"/>
          <w:kern w:val="0"/>
          <w:sz w:val="24"/>
          <w:szCs w:val="24"/>
        </w:rPr>
        <w:t>综合考虑投资组合的流动性、特定资产的估值公允性、潜在的赎回压力等因素</w:t>
      </w:r>
      <w:r>
        <w:rPr>
          <w:rFonts w:ascii="仿宋" w:eastAsia="仿宋" w:hAnsi="仿宋" w:cs="宋体" w:hint="eastAsia"/>
          <w:kern w:val="0"/>
          <w:sz w:val="24"/>
          <w:szCs w:val="24"/>
        </w:rPr>
        <w:t>，</w:t>
      </w:r>
      <w:r w:rsidRPr="00F762CE">
        <w:rPr>
          <w:rFonts w:ascii="仿宋" w:eastAsia="仿宋" w:hAnsi="仿宋" w:cs="宋体" w:hint="eastAsia"/>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762CE"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762CE">
        <w:rPr>
          <w:rFonts w:ascii="仿宋" w:eastAsia="仿宋" w:hAnsi="仿宋" w:cs="宋体" w:hint="eastAsia"/>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widowControl/>
        <w:jc w:val="left"/>
        <w:rPr>
          <w:rFonts w:ascii="仿宋" w:eastAsia="仿宋" w:hAnsi="仿宋" w:cs="宋体"/>
          <w:kern w:val="0"/>
          <w:sz w:val="24"/>
          <w:szCs w:val="24"/>
        </w:rPr>
      </w:pPr>
      <w:r>
        <w:rPr>
          <w:rFonts w:ascii="仿宋" w:eastAsia="仿宋" w:hAnsi="仿宋" w:cs="宋体"/>
          <w:kern w:val="0"/>
          <w:sz w:val="24"/>
          <w:szCs w:val="24"/>
        </w:rPr>
        <w:br w:type="page"/>
      </w:r>
    </w:p>
    <w:p w:rsidR="00E45E2B" w:rsidRPr="004F6C89" w:rsidRDefault="00E45E2B" w:rsidP="004F6C89">
      <w:pPr>
        <w:pStyle w:val="1"/>
        <w:spacing w:line="360" w:lineRule="auto"/>
        <w:jc w:val="center"/>
        <w:rPr>
          <w:rFonts w:eastAsia="仿宋"/>
          <w:sz w:val="30"/>
          <w:szCs w:val="30"/>
          <w:lang w:val="zh-CN"/>
        </w:rPr>
      </w:pPr>
      <w:bookmarkStart w:id="176" w:name="_Toc377998628"/>
      <w:bookmarkStart w:id="177" w:name="_Toc169163873"/>
      <w:r w:rsidRPr="004F6C89">
        <w:rPr>
          <w:rFonts w:eastAsia="仿宋" w:hint="eastAsia"/>
          <w:sz w:val="30"/>
          <w:szCs w:val="30"/>
          <w:lang w:val="zh-CN"/>
        </w:rPr>
        <w:t>第十三部分</w:t>
      </w:r>
      <w:r w:rsidRPr="004F6C89">
        <w:rPr>
          <w:rFonts w:eastAsia="仿宋" w:hint="eastAsia"/>
          <w:sz w:val="30"/>
          <w:szCs w:val="30"/>
          <w:lang w:val="zh-CN"/>
        </w:rPr>
        <w:t xml:space="preserve">    </w:t>
      </w:r>
      <w:r w:rsidRPr="004F6C89">
        <w:rPr>
          <w:rFonts w:eastAsia="仿宋" w:hint="eastAsia"/>
          <w:sz w:val="30"/>
          <w:szCs w:val="30"/>
          <w:lang w:val="zh-CN"/>
        </w:rPr>
        <w:t>基金的财产</w:t>
      </w:r>
      <w:bookmarkEnd w:id="175"/>
      <w:bookmarkEnd w:id="176"/>
      <w:bookmarkEnd w:id="17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一、基金资产总值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基金资产总值是指基金拥有的各类有价证券</w:t>
      </w:r>
      <w:r w:rsidRPr="00B114F0">
        <w:rPr>
          <w:rFonts w:ascii="仿宋" w:eastAsia="仿宋" w:hAnsi="仿宋" w:cs="宋体" w:hint="eastAsia"/>
          <w:kern w:val="0"/>
          <w:sz w:val="24"/>
          <w:szCs w:val="24"/>
        </w:rPr>
        <w:t>及票据价值</w:t>
      </w:r>
      <w:r>
        <w:rPr>
          <w:rFonts w:ascii="仿宋" w:eastAsia="仿宋" w:hAnsi="仿宋" w:cs="宋体" w:hint="eastAsia"/>
          <w:kern w:val="0"/>
          <w:sz w:val="24"/>
          <w:szCs w:val="24"/>
        </w:rPr>
        <w:t>、银行存款本息和基金应收申购款及其他资产的价值总和。</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基金资产净值是指基金资产总值减去基金负债后的价值。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三、基金财产的账户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bookmarkStart w:id="178" w:name="_Hlt88841837"/>
      <w:bookmarkEnd w:id="178"/>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四、基金财产的保管和处分</w:t>
      </w:r>
      <w:bookmarkStart w:id="179" w:name="_Hlt88900062"/>
      <w:bookmarkEnd w:id="179"/>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536EDF">
        <w:rPr>
          <w:rFonts w:ascii="仿宋" w:eastAsia="仿宋" w:hAnsi="仿宋" w:cs="宋体" w:hint="eastAsia"/>
          <w:kern w:val="0"/>
          <w:sz w:val="24"/>
          <w:szCs w:val="24"/>
        </w:rPr>
        <w:t>非因基金财产本身承担的债务，不得对基金财产强制执行。</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Pr="004F6C89" w:rsidRDefault="00E45E2B" w:rsidP="004F6C89">
      <w:pPr>
        <w:pStyle w:val="1"/>
        <w:spacing w:line="360" w:lineRule="auto"/>
        <w:jc w:val="center"/>
        <w:rPr>
          <w:rFonts w:eastAsia="仿宋"/>
          <w:sz w:val="30"/>
          <w:szCs w:val="30"/>
          <w:lang w:val="zh-CN"/>
        </w:rPr>
      </w:pPr>
      <w:bookmarkStart w:id="180" w:name="_Toc377998629"/>
      <w:bookmarkStart w:id="181" w:name="_Toc459291252"/>
      <w:bookmarkStart w:id="182" w:name="_Toc169163874"/>
      <w:r w:rsidRPr="004F6C89">
        <w:rPr>
          <w:rFonts w:eastAsia="仿宋" w:hint="eastAsia"/>
          <w:sz w:val="30"/>
          <w:szCs w:val="30"/>
          <w:lang w:val="zh-CN"/>
        </w:rPr>
        <w:t>第十四部分</w:t>
      </w:r>
      <w:r w:rsidRPr="004F6C89">
        <w:rPr>
          <w:rFonts w:eastAsia="仿宋" w:hint="eastAsia"/>
          <w:sz w:val="30"/>
          <w:szCs w:val="30"/>
          <w:lang w:val="zh-CN"/>
        </w:rPr>
        <w:t xml:space="preserve">    </w:t>
      </w:r>
      <w:r w:rsidRPr="004F6C89">
        <w:rPr>
          <w:rFonts w:eastAsia="仿宋" w:hint="eastAsia"/>
          <w:sz w:val="30"/>
          <w:szCs w:val="30"/>
          <w:lang w:val="zh-CN"/>
        </w:rPr>
        <w:t>基金资产估值</w:t>
      </w:r>
      <w:bookmarkEnd w:id="180"/>
      <w:bookmarkEnd w:id="181"/>
      <w:bookmarkEnd w:id="182"/>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183" w:name="_Toc141703895"/>
      <w:bookmarkStart w:id="184" w:name="_Toc32046"/>
      <w:bookmarkStart w:id="185" w:name="_Toc139991745"/>
      <w:r>
        <w:rPr>
          <w:rFonts w:ascii="仿宋" w:eastAsia="仿宋" w:hAnsi="仿宋" w:cs="宋体" w:hint="eastAsia"/>
          <w:b/>
          <w:bCs/>
          <w:kern w:val="0"/>
          <w:sz w:val="24"/>
          <w:szCs w:val="24"/>
        </w:rPr>
        <w:t>一、估值日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本基金的估值日为本基金相关的证券交易场所的交易日以及国家法律法规规定需要对外披露基金净值的非交易日。</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二、估值对象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基金所拥有的股票、债券、</w:t>
      </w:r>
      <w:r w:rsidRPr="00536EDF">
        <w:rPr>
          <w:rFonts w:ascii="仿宋" w:eastAsia="仿宋" w:hAnsi="仿宋" w:cs="宋体" w:hint="eastAsia"/>
          <w:kern w:val="0"/>
          <w:sz w:val="24"/>
          <w:szCs w:val="24"/>
        </w:rPr>
        <w:t>资产支持证券、股票期</w:t>
      </w:r>
      <w:r>
        <w:rPr>
          <w:rFonts w:ascii="仿宋" w:eastAsia="仿宋" w:hAnsi="仿宋" w:cs="宋体" w:hint="eastAsia"/>
          <w:kern w:val="0"/>
          <w:sz w:val="24"/>
          <w:szCs w:val="24"/>
        </w:rPr>
        <w:t>权合约、股指期货合约、国债期货合约</w:t>
      </w:r>
      <w:r w:rsidRPr="00B114F0">
        <w:rPr>
          <w:rFonts w:ascii="仿宋" w:eastAsia="仿宋" w:hAnsi="仿宋" w:cs="宋体" w:hint="eastAsia"/>
          <w:kern w:val="0"/>
          <w:sz w:val="24"/>
          <w:szCs w:val="24"/>
        </w:rPr>
        <w:t>、信用衍生品</w:t>
      </w:r>
      <w:r>
        <w:rPr>
          <w:rFonts w:ascii="仿宋" w:eastAsia="仿宋" w:hAnsi="仿宋" w:cs="宋体" w:hint="eastAsia"/>
          <w:kern w:val="0"/>
          <w:sz w:val="24"/>
          <w:szCs w:val="24"/>
        </w:rPr>
        <w:t>和银行存款本息、应收款项、其它投资等资产和负债。</w:t>
      </w:r>
    </w:p>
    <w:p w:rsidR="00E45E2B" w:rsidRPr="00AF382F" w:rsidRDefault="00E45E2B" w:rsidP="008F3C70">
      <w:pPr>
        <w:spacing w:line="360" w:lineRule="auto"/>
        <w:ind w:firstLineChars="200" w:firstLine="480"/>
        <w:rPr>
          <w:rFonts w:ascii="仿宋" w:eastAsia="仿宋" w:hAnsi="仿宋" w:cs="宋体"/>
          <w:b/>
          <w:kern w:val="0"/>
          <w:sz w:val="24"/>
          <w:szCs w:val="24"/>
        </w:rPr>
      </w:pPr>
      <w:r w:rsidRPr="00AF382F">
        <w:rPr>
          <w:rFonts w:ascii="仿宋" w:eastAsia="仿宋" w:hAnsi="仿宋" w:cs="宋体" w:hint="eastAsia"/>
          <w:b/>
          <w:kern w:val="0"/>
          <w:sz w:val="24"/>
          <w:szCs w:val="24"/>
        </w:rPr>
        <w:t>三、估值原则</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基金管理人在确定相关金融资产和金融负债的公允价值时，应符合《企业会计准则》、监管部门有关规定。</w:t>
      </w:r>
    </w:p>
    <w:p w:rsidR="00E45E2B" w:rsidRDefault="00E45E2B" w:rsidP="00E45E2B">
      <w:pPr>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45E2B" w:rsidRDefault="00E45E2B" w:rsidP="00E45E2B">
      <w:pPr>
        <w:tabs>
          <w:tab w:val="left" w:pos="0"/>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（3）如经济环境发生重大变化或证券发行人发生影响证券价格的重大事件，使潜在估值调整对前一估值日的基金资产净值的影响在0.25%以上的，应对估值进行调整并确定公允价值。</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四、估值方法</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Pr="00CC69FD">
        <w:rPr>
          <w:rFonts w:ascii="仿宋" w:eastAsia="仿宋" w:hAnsi="仿宋" w:cs="宋体" w:hint="eastAsia"/>
          <w:kern w:val="0"/>
          <w:sz w:val="24"/>
          <w:szCs w:val="24"/>
        </w:rPr>
        <w:t>上市或挂牌转让的</w:t>
      </w:r>
      <w:r>
        <w:rPr>
          <w:rFonts w:ascii="仿宋" w:eastAsia="仿宋" w:hAnsi="仿宋" w:cs="宋体" w:hint="eastAsia"/>
          <w:kern w:val="0"/>
          <w:sz w:val="24"/>
          <w:szCs w:val="24"/>
        </w:rPr>
        <w:t>有价证券的估值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已上市交易或挂牌转让的不含权固定收益品种</w:t>
      </w:r>
      <w:r>
        <w:rPr>
          <w:rFonts w:ascii="仿宋" w:eastAsia="仿宋" w:hAnsi="仿宋" w:cs="宋体" w:hint="eastAsia"/>
          <w:kern w:val="0"/>
          <w:sz w:val="24"/>
          <w:szCs w:val="24"/>
        </w:rPr>
        <w:t>（另有规定的除外）</w:t>
      </w:r>
      <w:r w:rsidRPr="00FA6D41">
        <w:rPr>
          <w:rFonts w:ascii="仿宋" w:eastAsia="仿宋" w:hAnsi="仿宋" w:cs="宋体" w:hint="eastAsia"/>
          <w:kern w:val="0"/>
          <w:sz w:val="24"/>
          <w:szCs w:val="24"/>
        </w:rPr>
        <w:t>，选取估值日第三方估值基准服务机构提供的相应品种当日的估值全价进行估值；</w:t>
      </w:r>
    </w:p>
    <w:p w:rsidR="00E45E2B" w:rsidRPr="00FA6D41"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w:t>
      </w:r>
      <w:r w:rsidRPr="00FA6D41">
        <w:rPr>
          <w:rFonts w:ascii="仿宋" w:eastAsia="仿宋" w:hAnsi="仿宋" w:cs="宋体" w:hint="eastAsia"/>
          <w:kern w:val="0"/>
          <w:sz w:val="24"/>
          <w:szCs w:val="24"/>
        </w:rPr>
        <w:t>已上市交易或挂牌转让的含权固定收益品种</w:t>
      </w:r>
      <w:r>
        <w:rPr>
          <w:rFonts w:ascii="仿宋" w:eastAsia="仿宋" w:hAnsi="仿宋" w:cs="宋体" w:hint="eastAsia"/>
          <w:kern w:val="0"/>
          <w:sz w:val="24"/>
          <w:szCs w:val="24"/>
        </w:rPr>
        <w:t>（</w:t>
      </w:r>
      <w:r w:rsidRPr="001E63D1">
        <w:rPr>
          <w:rFonts w:ascii="仿宋" w:eastAsia="仿宋" w:hAnsi="仿宋" w:cs="宋体" w:hint="eastAsia"/>
          <w:kern w:val="0"/>
          <w:sz w:val="24"/>
          <w:szCs w:val="24"/>
        </w:rPr>
        <w:t>另有规定的除外</w:t>
      </w:r>
      <w:r>
        <w:rPr>
          <w:rFonts w:ascii="仿宋" w:eastAsia="仿宋" w:hAnsi="仿宋" w:cs="宋体" w:hint="eastAsia"/>
          <w:kern w:val="0"/>
          <w:sz w:val="24"/>
          <w:szCs w:val="24"/>
        </w:rPr>
        <w:t>）</w:t>
      </w:r>
      <w:r w:rsidRPr="00FA6D41">
        <w:rPr>
          <w:rFonts w:ascii="仿宋" w:eastAsia="仿宋" w:hAnsi="仿宋" w:cs="宋体" w:hint="eastAsia"/>
          <w:kern w:val="0"/>
          <w:sz w:val="24"/>
          <w:szCs w:val="24"/>
        </w:rPr>
        <w:t>，选取估值日第三方估值基准服务机构提供的相应品种当日的唯一估值全价或推荐估值全价进行估值；</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FA6D41"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Default="00E45E2B" w:rsidP="00E45E2B">
      <w:pPr>
        <w:widowControl/>
        <w:shd w:val="clear" w:color="auto" w:fill="FFFFFF"/>
        <w:tabs>
          <w:tab w:val="left" w:pos="426"/>
          <w:tab w:val="left" w:pos="993"/>
          <w:tab w:val="left" w:pos="1134"/>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（6）已上市或挂牌转让且不存在活跃市场的有价证券，采用估值技术确定公允价值。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、处于未上市或未挂牌转让期间的有价证券应区分如下情况处理：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）送股、转增股、配股和公开增发的新股，按估值日在证券交易所挂牌的同一股票的</w:t>
      </w:r>
      <w:r>
        <w:rPr>
          <w:rFonts w:ascii="仿宋" w:eastAsia="仿宋" w:hAnsi="仿宋" w:hint="eastAsia"/>
          <w:kern w:val="0"/>
          <w:sz w:val="24"/>
        </w:rPr>
        <w:t>估值方法</w:t>
      </w:r>
      <w:r>
        <w:rPr>
          <w:rFonts w:ascii="仿宋" w:eastAsia="仿宋" w:hAnsi="仿宋" w:cs="宋体" w:hint="eastAsia"/>
          <w:kern w:val="0"/>
          <w:sz w:val="24"/>
          <w:szCs w:val="24"/>
        </w:rPr>
        <w:t>估值；该日无交易的，以最近一日的市价（收盘价）估值；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）首次公开发行未上市的股票，采用估值技术确定公允价值；</w:t>
      </w:r>
    </w:p>
    <w:p w:rsidR="00E45E2B" w:rsidRDefault="00E45E2B" w:rsidP="00E45E2B">
      <w:pPr>
        <w:widowControl/>
        <w:shd w:val="clear" w:color="auto" w:fill="FFFFFF"/>
        <w:tabs>
          <w:tab w:val="left" w:pos="426"/>
          <w:tab w:val="left" w:pos="993"/>
          <w:tab w:val="left" w:pos="1134"/>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t>（3）</w:t>
      </w:r>
      <w:r w:rsidRPr="00FA6D41">
        <w:rPr>
          <w:rFonts w:ascii="仿宋" w:eastAsia="仿宋" w:hAnsi="仿宋" w:cs="宋体" w:hint="eastAsia"/>
          <w:kern w:val="0"/>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ascii="仿宋" w:eastAsia="仿宋" w:hAnsi="仿宋" w:cs="宋体" w:hint="eastAsia"/>
          <w:kern w:val="0"/>
          <w:sz w:val="24"/>
          <w:szCs w:val="24"/>
        </w:rPr>
        <w:t>，按监管机构或行业协会有关规定确定公允价值；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Pr="00FA6D41">
        <w:rPr>
          <w:rFonts w:ascii="仿宋" w:eastAsia="仿宋" w:hAnsi="仿宋" w:cs="宋体" w:hint="eastAsia"/>
          <w:kern w:val="0"/>
          <w:sz w:val="24"/>
          <w:szCs w:val="24"/>
        </w:rPr>
        <w:t>对于未上市或未挂牌转让且不存在活跃市场的固定收益品种，应采用在当前情况下</w:t>
      </w:r>
      <w:r>
        <w:rPr>
          <w:rFonts w:ascii="仿宋" w:eastAsia="仿宋" w:hAnsi="仿宋" w:cs="宋体" w:hint="eastAsia"/>
          <w:kern w:val="0"/>
          <w:sz w:val="24"/>
          <w:szCs w:val="24"/>
        </w:rPr>
        <w:t>适用并且有足够可利用数据和其他信息支持的估值技术确定其公允价值。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3、</w:t>
      </w:r>
      <w:r w:rsidRPr="00FA6D41">
        <w:rPr>
          <w:rFonts w:ascii="仿宋" w:eastAsia="仿宋" w:hAnsi="仿宋" w:cs="宋体" w:hint="eastAsia"/>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4、</w:t>
      </w:r>
      <w:r w:rsidRPr="00FA6D41">
        <w:rPr>
          <w:rFonts w:ascii="仿宋" w:eastAsia="仿宋" w:hAnsi="仿宋" w:cs="宋体" w:hint="eastAsia"/>
          <w:kern w:val="0"/>
          <w:sz w:val="24"/>
          <w:szCs w:val="24"/>
        </w:rPr>
        <w:t>同一证券同时在两个或两个以上市场交易的，按证券所处的市场分别估值。</w:t>
      </w:r>
    </w:p>
    <w:p w:rsidR="00E45E2B"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5、投资证券衍生品的估值方法</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（1）股指期货合约，一般以估值当日结算价进行估值，估值当日无结算价的， 且最近交易日后经济环境未发生重大变化的，采用最近交易日结算价估值。</w:t>
      </w:r>
    </w:p>
    <w:p w:rsidR="00E45E2B" w:rsidRPr="00FA6D41" w:rsidRDefault="00E45E2B" w:rsidP="00E45E2B">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FA6D41">
        <w:rPr>
          <w:rFonts w:ascii="仿宋" w:eastAsia="仿宋" w:hAnsi="仿宋" w:cs="宋体" w:hint="eastAsia"/>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FA6D41">
        <w:rPr>
          <w:rFonts w:ascii="仿宋" w:eastAsia="仿宋" w:hAnsi="仿宋" w:cs="宋体" w:hint="eastAsia"/>
          <w:kern w:val="0"/>
          <w:sz w:val="24"/>
          <w:szCs w:val="24"/>
        </w:rPr>
        <w:t>（3）股票期权合约，一般以估值当日结算价进行估值，估值当日无结算价的，且最近交易日后经济环境未发生重大变化的，采用最近交易日结算价估值。如有相关法律法规以及监管部门相关</w:t>
      </w:r>
      <w:r>
        <w:rPr>
          <w:rFonts w:ascii="仿宋" w:eastAsia="仿宋" w:hAnsi="仿宋" w:cs="宋体" w:hint="eastAsia"/>
          <w:kern w:val="0"/>
          <w:sz w:val="24"/>
          <w:szCs w:val="24"/>
        </w:rPr>
        <w:t>规定，按其规定内容进行估值。</w:t>
      </w:r>
    </w:p>
    <w:p w:rsidR="00E45E2B" w:rsidRDefault="00E45E2B" w:rsidP="00E45E2B">
      <w:pPr>
        <w:tabs>
          <w:tab w:val="left" w:pos="567"/>
        </w:tabs>
        <w:spacing w:line="360" w:lineRule="auto"/>
        <w:ind w:firstLineChars="200" w:firstLine="480"/>
        <w:jc w:val="left"/>
        <w:rPr>
          <w:rFonts w:ascii="仿宋" w:eastAsia="仿宋" w:hAnsi="仿宋" w:cs="宋体"/>
          <w:kern w:val="0"/>
          <w:sz w:val="24"/>
          <w:szCs w:val="24"/>
        </w:rPr>
      </w:pPr>
      <w:r w:rsidRPr="00B15961">
        <w:rPr>
          <w:rFonts w:ascii="仿宋" w:eastAsia="仿宋" w:hAnsi="仿宋" w:cs="宋体" w:hint="eastAsia"/>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Default="00E45E2B" w:rsidP="00E45E2B">
      <w:pPr>
        <w:tabs>
          <w:tab w:val="left" w:pos="567"/>
          <w:tab w:val="left" w:pos="993"/>
        </w:tabs>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ab/>
      </w:r>
      <w:r>
        <w:rPr>
          <w:rFonts w:ascii="仿宋" w:eastAsia="仿宋" w:hAnsi="仿宋" w:cs="宋体"/>
          <w:kern w:val="0"/>
          <w:sz w:val="24"/>
          <w:szCs w:val="24"/>
        </w:rPr>
        <w:t>6</w:t>
      </w:r>
      <w:r>
        <w:rPr>
          <w:rFonts w:ascii="仿宋" w:eastAsia="仿宋" w:hAnsi="仿宋" w:cs="宋体" w:hint="eastAsia"/>
          <w:kern w:val="0"/>
          <w:sz w:val="24"/>
          <w:szCs w:val="24"/>
        </w:rPr>
        <w:t>、存款的估值方法</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持有的银行定期存款或通知存款以本金列示，按协议或合同利率逐日确认利息收入。如提前支取或利率发生变化，基金管理人应及时进行账务调整。</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、汇率</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本基金外币资产价值计算中，涉及外币对人民币汇率的，应当以基金估值日中国人民银行或其授权机构公布的人民币汇率中间价为准。</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w:t>
      </w:r>
      <w:r w:rsidRPr="00CF758A">
        <w:rPr>
          <w:rFonts w:ascii="仿宋" w:eastAsia="仿宋" w:hAnsi="仿宋" w:cs="宋体" w:hint="eastAsia"/>
          <w:kern w:val="0"/>
          <w:sz w:val="24"/>
          <w:szCs w:val="24"/>
        </w:rPr>
        <w:t>本基金参与融资业务的，按照相关法律法规和监管部门的规定估值。</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9、本基金投资存托凭证的估值核算依照内地上市交易的股票执行。</w:t>
      </w:r>
    </w:p>
    <w:p w:rsidR="00E45E2B" w:rsidRPr="00CF758A"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w:t>
      </w:r>
      <w:r w:rsidRPr="00CF758A">
        <w:rPr>
          <w:rFonts w:ascii="仿宋" w:eastAsia="仿宋" w:hAnsi="仿宋" w:cs="宋体" w:hint="eastAsia"/>
          <w:kern w:val="0"/>
          <w:sz w:val="24"/>
          <w:szCs w:val="24"/>
        </w:rPr>
        <w:t>税收</w:t>
      </w:r>
    </w:p>
    <w:p w:rsidR="00E45E2B" w:rsidRDefault="00E45E2B" w:rsidP="00E45E2B">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CF758A">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w:t>
      </w:r>
      <w:r w:rsidRPr="00CF758A">
        <w:rPr>
          <w:rFonts w:ascii="仿宋" w:eastAsia="仿宋" w:hAnsi="仿宋" w:cs="宋体" w:hint="eastAsia"/>
          <w:kern w:val="0"/>
          <w:sz w:val="24"/>
          <w:szCs w:val="24"/>
        </w:rPr>
        <w:t>当发生大额申购或赎回情形时，基金管理人可以采用摆动定价机制，以确保基金估值的公平性</w:t>
      </w:r>
      <w:r w:rsidRPr="00B15961">
        <w:rPr>
          <w:rFonts w:ascii="仿宋" w:eastAsia="仿宋" w:hAnsi="仿宋" w:cs="宋体" w:hint="eastAsia"/>
          <w:kern w:val="0"/>
          <w:sz w:val="24"/>
          <w:szCs w:val="24"/>
        </w:rPr>
        <w:t>，并履行相关信息披露义务</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3</w:t>
      </w:r>
      <w:r>
        <w:rPr>
          <w:rFonts w:ascii="仿宋" w:eastAsia="仿宋" w:hAnsi="仿宋" w:cs="宋体" w:hint="eastAsia"/>
          <w:kern w:val="0"/>
          <w:sz w:val="24"/>
          <w:szCs w:val="24"/>
        </w:rPr>
        <w:t>、相关法律法规以及监管部门有强制规定的，从其规定。如有新增事项，按国家最新规定估值。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根据有关法律法规，基金管理人计算基金资产净值，基金托管人复核、审查基金管理人计算的基金资产净值。基金资产</w:t>
      </w:r>
      <w:r w:rsidRPr="00CF758A">
        <w:rPr>
          <w:rFonts w:ascii="仿宋" w:eastAsia="仿宋" w:hAnsi="仿宋" w:cs="宋体" w:hint="eastAsia"/>
          <w:kern w:val="0"/>
          <w:sz w:val="24"/>
          <w:szCs w:val="24"/>
        </w:rPr>
        <w:t>净值计算、基金份额</w:t>
      </w:r>
      <w:r>
        <w:rPr>
          <w:rFonts w:ascii="仿宋" w:eastAsia="仿宋" w:hAnsi="仿宋" w:cs="宋体" w:hint="eastAsia"/>
          <w:kern w:val="0"/>
          <w:sz w:val="24"/>
          <w:szCs w:val="24"/>
        </w:rPr>
        <w:t>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五、估值程序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1、基金份额净值是按照每个估值日</w:t>
      </w:r>
      <w:r w:rsidRPr="00B15961">
        <w:rPr>
          <w:rFonts w:ascii="仿宋" w:eastAsia="仿宋" w:hAnsi="仿宋" w:cs="宋体" w:hint="eastAsia"/>
          <w:kern w:val="0"/>
          <w:sz w:val="24"/>
          <w:szCs w:val="24"/>
        </w:rPr>
        <w:t>闭市后，</w:t>
      </w:r>
      <w:r>
        <w:rPr>
          <w:rFonts w:ascii="仿宋" w:eastAsia="仿宋" w:hAnsi="仿宋" w:cs="宋体" w:hint="eastAsia"/>
          <w:kern w:val="0"/>
          <w:sz w:val="24"/>
          <w:szCs w:val="24"/>
        </w:rPr>
        <w:t>基金资产净值除以当日基金份额的余额数量计算</w:t>
      </w:r>
      <w:r w:rsidRPr="005C603D">
        <w:rPr>
          <w:rFonts w:ascii="仿宋" w:eastAsia="仿宋" w:hAnsi="仿宋" w:cs="宋体" w:hint="eastAsia"/>
          <w:kern w:val="0"/>
          <w:sz w:val="24"/>
          <w:szCs w:val="24"/>
        </w:rPr>
        <w:t>得出的结果，基金份额净值的计算</w:t>
      </w:r>
      <w:r>
        <w:rPr>
          <w:rFonts w:ascii="仿宋" w:eastAsia="仿宋" w:hAnsi="仿宋" w:cs="宋体" w:hint="eastAsia"/>
          <w:kern w:val="0"/>
          <w:sz w:val="24"/>
          <w:szCs w:val="24"/>
        </w:rPr>
        <w:t>精确到0.0001元，小数点后第5位四舍五入</w:t>
      </w:r>
      <w:r w:rsidRPr="005C603D">
        <w:rPr>
          <w:rFonts w:ascii="仿宋" w:eastAsia="仿宋" w:hAnsi="仿宋" w:cs="宋体" w:hint="eastAsia"/>
          <w:kern w:val="0"/>
          <w:sz w:val="24"/>
          <w:szCs w:val="24"/>
        </w:rPr>
        <w:t>，由此产生的误差计入基金财产。基金管理人可以设立大额赎回情形下的净值精度应急调整机制</w:t>
      </w:r>
      <w:r>
        <w:rPr>
          <w:rFonts w:ascii="仿宋" w:eastAsia="仿宋" w:hAnsi="仿宋" w:cs="宋体" w:hint="eastAsia"/>
          <w:kern w:val="0"/>
          <w:sz w:val="24"/>
          <w:szCs w:val="24"/>
        </w:rPr>
        <w:t>。国家另有规定的，从其规定。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基金管理人于每个估值日计算基金资产净值及基金份额净值，</w:t>
      </w:r>
      <w:r w:rsidRPr="00EE36DF">
        <w:rPr>
          <w:rFonts w:ascii="仿宋" w:eastAsia="仿宋" w:hAnsi="仿宋" w:cs="宋体" w:hint="eastAsia"/>
          <w:kern w:val="0"/>
          <w:sz w:val="24"/>
          <w:szCs w:val="24"/>
        </w:rPr>
        <w:t>经基金托管人复核，</w:t>
      </w:r>
      <w:r>
        <w:rPr>
          <w:rFonts w:ascii="仿宋" w:eastAsia="仿宋" w:hAnsi="仿宋" w:cs="宋体" w:hint="eastAsia"/>
          <w:kern w:val="0"/>
          <w:sz w:val="24"/>
          <w:szCs w:val="24"/>
        </w:rPr>
        <w:t>并按规定公告。</w:t>
      </w:r>
      <w:r w:rsidRPr="00B15961">
        <w:rPr>
          <w:rFonts w:ascii="仿宋" w:eastAsia="仿宋" w:hAnsi="仿宋" w:cs="宋体" w:hint="eastAsia"/>
          <w:kern w:val="0"/>
          <w:sz w:val="24"/>
          <w:szCs w:val="24"/>
        </w:rPr>
        <w:t>如遇特殊情况，经履行适当程序，可以适当延迟计算或公告。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六、估值错误的处理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基金管理人和基金托管人将采取必要、适当、合理的措施确保基金资产估值的准确性、及时性。当基金份额净值小数点后4位以内(含第4位)发生估值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时，视为基金份额净值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关于估值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处理，本基金合同的当事人按照以下约定处理：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类型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的当事人（“受损方”）的直接损失按下述“估值错误处理原则”给予赔偿，承担赔偿责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上述估值错误的主要类型包括但不限于：资料申报差错、数据传输差错、数据计算差错、系统故障差错、下达指令差错等。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已发生，但尚未给当事人造成损失时，估值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责任方应及时协调各方，及时进行更正，因更正估值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发生的费用由估值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责任方承担；由于估值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责任方未及时更正已产生的估值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，给当事人造成损失的，由估值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责任方对直接损失承担赔偿责任；若估值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责任方已经积极协调，并且有协助义务的当事人有足够的时间进行更正而未更正，则其应当承担相应赔偿责任。估值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责任方应对更正的情况向有关当事人进行确认，确保估值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已得到更正。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的责任方对有关当事人的直接损失负责，不对间接损失负责，并且仅对估值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的有关直接当事人负责，不对第三方负责。</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而获得不当得利的当事人负有及时返还不当得利的义务。但估值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责任方仍应对估值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负责，如果由于获得不当得利的当事人不返还或不全部返还不当得利造成其他当事人的利益损失（“受损方”），则估值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调整采用尽量恢复至假设未发生估值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的正确情形的方式。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被发现后，有关的当事人应当及时进行处理，处理的程序如下：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）查明估值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发生的原因，列明所有的当事人，并根据估值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发生的原因确定估值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处理原则或当事人协商的方法对因估值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造成的损失进行评估；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处理原则或当事人协商的方法由估值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的责任方进行更正和赔偿损失；</w:t>
      </w:r>
    </w:p>
    <w:p w:rsidR="00E45E2B" w:rsidRDefault="00E45E2B" w:rsidP="00E45E2B">
      <w:pPr>
        <w:autoSpaceDE w:val="0"/>
        <w:autoSpaceDN w:val="0"/>
        <w:adjustRightInd w:val="0"/>
        <w:spacing w:line="360" w:lineRule="auto"/>
        <w:ind w:firstLineChars="175"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）根据估值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处理的方法，需要修改基金登记机构的交易数据的，由基金登记机构进行更正，并就估值</w:t>
      </w:r>
      <w:r w:rsidRPr="005C603D">
        <w:rPr>
          <w:rFonts w:ascii="仿宋" w:eastAsia="仿宋" w:hAnsi="仿宋" w:cs="宋体" w:hint="eastAsia"/>
          <w:kern w:val="0"/>
          <w:sz w:val="24"/>
          <w:szCs w:val="24"/>
        </w:rPr>
        <w:t>错误</w:t>
      </w:r>
      <w:r>
        <w:rPr>
          <w:rFonts w:ascii="仿宋" w:eastAsia="仿宋" w:hAnsi="仿宋" w:cs="宋体" w:hint="eastAsia"/>
          <w:kern w:val="0"/>
          <w:sz w:val="24"/>
          <w:szCs w:val="24"/>
        </w:rPr>
        <w:t>的更正向有关当事人进行确认。</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基金份额净值估值</w:t>
      </w:r>
      <w:r w:rsidRPr="005C603D">
        <w:rPr>
          <w:rFonts w:ascii="仿宋" w:eastAsia="仿宋" w:hAnsi="仿宋" w:cs="宋体" w:hint="eastAsia"/>
          <w:kern w:val="0"/>
          <w:sz w:val="24"/>
          <w:szCs w:val="24"/>
        </w:rPr>
        <w:t>错误</w:t>
      </w:r>
      <w:r>
        <w:rPr>
          <w:rFonts w:ascii="仿宋" w:eastAsia="仿宋" w:hAnsi="仿宋" w:cs="宋体"/>
          <w:kern w:val="0"/>
          <w:sz w:val="24"/>
          <w:szCs w:val="24"/>
        </w:rPr>
        <w:t>处理的方法如下：</w:t>
      </w:r>
    </w:p>
    <w:p w:rsidR="00E45E2B" w:rsidRDefault="00E45E2B" w:rsidP="00E45E2B">
      <w:pPr>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（1）基金份额净值计算出现错误时，基金管理人应当立即予以纠正，通报基金托管人，并采取合理的措施防止损失进一步扩大。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（2）错误偏差达到基金份额净值的</w:t>
      </w:r>
      <w:r>
        <w:rPr>
          <w:rFonts w:ascii="仿宋" w:eastAsia="仿宋" w:hAnsi="仿宋" w:cs="宋体"/>
          <w:kern w:val="0"/>
          <w:sz w:val="24"/>
          <w:szCs w:val="24"/>
        </w:rPr>
        <w:t>0.25%</w:t>
      </w:r>
      <w:r>
        <w:rPr>
          <w:rFonts w:ascii="仿宋" w:eastAsia="仿宋" w:hAnsi="仿宋" w:cs="宋体" w:hint="eastAsia"/>
          <w:kern w:val="0"/>
          <w:sz w:val="24"/>
          <w:szCs w:val="24"/>
        </w:rPr>
        <w:t>时，基金管理人应当通报基金托管人并报中国证监会备案；错误偏差达到基金份额净值的</w:t>
      </w:r>
      <w:r>
        <w:rPr>
          <w:rFonts w:ascii="仿宋" w:eastAsia="仿宋" w:hAnsi="仿宋" w:cs="宋体"/>
          <w:kern w:val="0"/>
          <w:sz w:val="24"/>
          <w:szCs w:val="24"/>
        </w:rPr>
        <w:t>0.5%</w:t>
      </w:r>
      <w:r>
        <w:rPr>
          <w:rFonts w:ascii="仿宋" w:eastAsia="仿宋" w:hAnsi="仿宋" w:cs="宋体" w:hint="eastAsia"/>
          <w:kern w:val="0"/>
          <w:sz w:val="24"/>
          <w:szCs w:val="24"/>
        </w:rPr>
        <w:t>时，基金管理人应当公告并报中国证监会备案。</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（3）当基金份额净值计算错误给基金和基金份额持有人造成损失需要进行赔偿时，基金管理人和基金托管人应根据实际情况界定双方承担的责任，经确认后按以下条款进行赔偿：</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②若基金管理人计算的</w:t>
      </w:r>
      <w:r w:rsidRPr="00225C6C">
        <w:rPr>
          <w:rFonts w:ascii="仿宋" w:eastAsia="仿宋" w:hAnsi="仿宋" w:cs="宋体" w:hint="eastAsia"/>
          <w:kern w:val="0"/>
          <w:sz w:val="24"/>
          <w:szCs w:val="24"/>
        </w:rPr>
        <w:t>基金份额净值已由基金托管人复核确认后公告，而且</w:t>
      </w:r>
      <w:r>
        <w:rPr>
          <w:rFonts w:ascii="仿宋" w:eastAsia="仿宋" w:hAnsi="仿宋" w:cs="宋体" w:hint="eastAsia"/>
          <w:kern w:val="0"/>
          <w:sz w:val="24"/>
          <w:szCs w:val="24"/>
        </w:rPr>
        <w:t>基金托管人未对计算过程提出疑义或要求基金管理人书面说明的，在</w:t>
      </w:r>
      <w:r w:rsidRPr="00225C6C">
        <w:rPr>
          <w:rFonts w:ascii="仿宋" w:eastAsia="仿宋" w:hAnsi="仿宋" w:cs="宋体" w:hint="eastAsia"/>
          <w:kern w:val="0"/>
          <w:sz w:val="24"/>
          <w:szCs w:val="24"/>
        </w:rPr>
        <w:t>基金份额净值出错且造成基金份额持有人直接损失的，应根据法律法规的规定对基金份额持有人或基金支付赔偿金，就实际向基金份额持有人或基金支付的赔偿金额，基金管理人与基金托管人按照过错程度各自承担相应的责任。</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③如基金管理人和基金托管人对</w:t>
      </w:r>
      <w:r w:rsidRPr="00225C6C">
        <w:rPr>
          <w:rFonts w:ascii="仿宋" w:eastAsia="仿宋" w:hAnsi="仿宋" w:cs="宋体" w:hint="eastAsia"/>
          <w:kern w:val="0"/>
          <w:sz w:val="24"/>
          <w:szCs w:val="24"/>
        </w:rPr>
        <w:t>基金份额净值的计算结果，虽然多次重新计算和核对，尚不能</w:t>
      </w:r>
      <w:r>
        <w:rPr>
          <w:rFonts w:ascii="仿宋" w:eastAsia="仿宋" w:hAnsi="仿宋" w:cs="宋体" w:hint="eastAsia"/>
          <w:kern w:val="0"/>
          <w:sz w:val="24"/>
          <w:szCs w:val="24"/>
        </w:rPr>
        <w:t>达成一致时，为避免不能按时公布</w:t>
      </w:r>
      <w:r w:rsidRPr="00225C6C">
        <w:rPr>
          <w:rFonts w:ascii="仿宋" w:eastAsia="仿宋" w:hAnsi="仿宋" w:cs="宋体" w:hint="eastAsia"/>
          <w:kern w:val="0"/>
          <w:sz w:val="24"/>
          <w:szCs w:val="24"/>
        </w:rPr>
        <w:t>基金份额净值的情形，以基金管理人的计算结果对外公布，由此给基金份额持有人和基金造成的直接损失，由基金管理人负责赔付。</w:t>
      </w:r>
    </w:p>
    <w:p w:rsidR="00E45E2B" w:rsidRPr="00225C6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25C6C">
        <w:rPr>
          <w:rFonts w:ascii="仿宋" w:eastAsia="仿宋" w:hAnsi="仿宋" w:cs="宋体" w:hint="eastAsia"/>
          <w:kern w:val="0"/>
          <w:sz w:val="24"/>
          <w:szCs w:val="24"/>
        </w:rPr>
        <w:t>④由于基金管理人</w:t>
      </w:r>
      <w:r>
        <w:rPr>
          <w:rFonts w:ascii="仿宋" w:eastAsia="仿宋" w:hAnsi="仿宋" w:cs="宋体" w:hint="eastAsia"/>
          <w:kern w:val="0"/>
          <w:sz w:val="24"/>
          <w:szCs w:val="24"/>
        </w:rPr>
        <w:t>提供的信息错误（包括但不限于基金申购或赎回金额等），进而导致</w:t>
      </w:r>
      <w:r w:rsidRPr="00225C6C">
        <w:rPr>
          <w:rFonts w:ascii="仿宋" w:eastAsia="仿宋" w:hAnsi="仿宋" w:cs="宋体" w:hint="eastAsia"/>
          <w:kern w:val="0"/>
          <w:sz w:val="24"/>
          <w:szCs w:val="24"/>
        </w:rPr>
        <w:t>基金份额净值计算错误而引起的基金份额持有人和基金财产的直接损失，由基金管理人负责赔付。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w:t>
      </w:r>
      <w:r>
        <w:rPr>
          <w:rFonts w:ascii="仿宋" w:eastAsia="仿宋" w:hAnsi="仿宋" w:cs="宋体"/>
          <w:kern w:val="0"/>
          <w:sz w:val="24"/>
          <w:szCs w:val="24"/>
        </w:rPr>
        <w:t>前述内容如法律法规或监管机关另有规定的，从其规定</w:t>
      </w:r>
      <w:r>
        <w:rPr>
          <w:rFonts w:ascii="仿宋" w:eastAsia="仿宋" w:hAnsi="仿宋" w:cs="宋体" w:hint="eastAsia"/>
          <w:kern w:val="0"/>
          <w:sz w:val="24"/>
          <w:szCs w:val="24"/>
        </w:rPr>
        <w:t>。如果行业另有通行做法，</w:t>
      </w:r>
      <w:r w:rsidRPr="00A3659B">
        <w:rPr>
          <w:rFonts w:ascii="仿宋" w:eastAsia="仿宋" w:hAnsi="仿宋" w:cs="宋体" w:hint="eastAsia"/>
          <w:kern w:val="0"/>
          <w:sz w:val="24"/>
          <w:szCs w:val="24"/>
        </w:rPr>
        <w:t>基金管理人和基金托管人</w:t>
      </w:r>
      <w:r>
        <w:rPr>
          <w:rFonts w:ascii="仿宋" w:eastAsia="仿宋" w:hAnsi="仿宋" w:cs="宋体" w:hint="eastAsia"/>
          <w:kern w:val="0"/>
          <w:sz w:val="24"/>
          <w:szCs w:val="24"/>
        </w:rPr>
        <w:t>应本着平等和保护基金份额持有人利益的原则进行协商处理</w:t>
      </w:r>
      <w:r>
        <w:rPr>
          <w:rFonts w:ascii="仿宋" w:eastAsia="仿宋" w:hAnsi="仿宋" w:cs="宋体"/>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七、暂停估值的情形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、基金投资所涉及的证券、期货交易场所遇法定节假日或因其他原因暂停营业时；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、因不可抗力或其他情形致使基金管理人</w:t>
      </w:r>
      <w:r>
        <w:rPr>
          <w:rFonts w:ascii="仿宋" w:eastAsia="仿宋" w:hAnsi="仿宋" w:cs="宋体"/>
          <w:kern w:val="0"/>
          <w:sz w:val="24"/>
          <w:szCs w:val="24"/>
        </w:rPr>
        <w:t>、基金托管人</w:t>
      </w:r>
      <w:r>
        <w:rPr>
          <w:rFonts w:ascii="仿宋" w:eastAsia="仿宋" w:hAnsi="仿宋" w:cs="宋体" w:hint="eastAsia"/>
          <w:kern w:val="0"/>
          <w:sz w:val="24"/>
          <w:szCs w:val="24"/>
        </w:rPr>
        <w:t>无法准确评估基金资产价值时；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lang w:val="zh-CN"/>
        </w:rPr>
      </w:pPr>
      <w:r>
        <w:rPr>
          <w:rFonts w:ascii="仿宋" w:eastAsia="仿宋" w:hAnsi="仿宋" w:cs="宋体" w:hint="eastAsia"/>
          <w:kern w:val="0"/>
          <w:sz w:val="24"/>
          <w:szCs w:val="24"/>
        </w:rPr>
        <w:t>3、</w:t>
      </w:r>
      <w:r>
        <w:rPr>
          <w:rFonts w:ascii="仿宋" w:eastAsia="仿宋" w:hAnsi="仿宋" w:cs="宋体" w:hint="eastAsia"/>
          <w:bCs/>
          <w:kern w:val="0"/>
          <w:sz w:val="24"/>
          <w:szCs w:val="24"/>
        </w:rPr>
        <w:t>当特定资产占前一估值日基金资产净值50%以上的，经与基金托管人协商确认后，基金管理人应当暂停估值;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4、法律法规规定、中国证监会和《基金合同》认定的其他情形。</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八、基金净值的确认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86" w:name="OLE_LINK22"/>
      <w:r>
        <w:rPr>
          <w:rFonts w:ascii="仿宋" w:eastAsia="仿宋" w:hAnsi="仿宋" w:cs="宋体" w:hint="eastAsia"/>
          <w:kern w:val="0"/>
          <w:sz w:val="24"/>
          <w:szCs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信息按规定予以公布</w:t>
      </w:r>
      <w:bookmarkEnd w:id="186"/>
      <w:r>
        <w:rPr>
          <w:rFonts w:ascii="仿宋" w:eastAsia="仿宋" w:hAnsi="仿宋" w:cs="宋体" w:hint="eastAsia"/>
          <w:kern w:val="0"/>
          <w:sz w:val="24"/>
          <w:szCs w:val="24"/>
        </w:rPr>
        <w:t>。</w:t>
      </w:r>
      <w:r w:rsidRPr="00397C20">
        <w:rPr>
          <w:rFonts w:ascii="仿宋" w:eastAsia="仿宋" w:hAnsi="仿宋" w:cs="宋体" w:hint="eastAsia"/>
          <w:kern w:val="0"/>
          <w:sz w:val="24"/>
          <w:szCs w:val="24"/>
        </w:rPr>
        <w:t>如法律法规将来另有规定的，本基金按照新规定执行。如需据此相应修改基金合同的，基金管理人与基金托管人协商一致，并提前公告后，可直接对相应内容进行修改和调整，无须召开基金份额持有人大会。</w:t>
      </w:r>
    </w:p>
    <w:bookmarkEnd w:id="183"/>
    <w:bookmarkEnd w:id="184"/>
    <w:bookmarkEnd w:id="185"/>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九、特殊情形的处理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、基金管理人、基金托管人按估值方法的第1</w:t>
      </w:r>
      <w:r>
        <w:rPr>
          <w:rFonts w:ascii="仿宋" w:eastAsia="仿宋" w:hAnsi="仿宋" w:cs="宋体"/>
          <w:kern w:val="0"/>
          <w:sz w:val="24"/>
          <w:szCs w:val="24"/>
        </w:rPr>
        <w:t>1</w:t>
      </w:r>
      <w:r>
        <w:rPr>
          <w:rFonts w:ascii="仿宋" w:eastAsia="仿宋" w:hAnsi="仿宋" w:cs="宋体" w:hint="eastAsia"/>
          <w:kern w:val="0"/>
          <w:sz w:val="24"/>
          <w:szCs w:val="24"/>
        </w:rPr>
        <w:t>项进行估值时，所造成的误差不作为基金资产估值错误处理；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、由于证券、期货交易所及其登记结算公司等第三方机构发送的数据错误，</w:t>
      </w:r>
      <w:r w:rsidRPr="00C12418">
        <w:rPr>
          <w:rFonts w:ascii="仿宋" w:eastAsia="仿宋" w:hAnsi="仿宋" w:cs="宋体" w:hint="eastAsia"/>
          <w:kern w:val="0"/>
          <w:sz w:val="24"/>
          <w:szCs w:val="24"/>
        </w:rPr>
        <w:t>有关会计制度变化</w:t>
      </w:r>
      <w:r>
        <w:rPr>
          <w:rFonts w:ascii="仿宋" w:eastAsia="仿宋" w:hAnsi="仿宋" w:cs="宋体" w:hint="eastAsia"/>
          <w:kern w:val="0"/>
          <w:sz w:val="24"/>
          <w:szCs w:val="24"/>
        </w:rPr>
        <w:t>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rsidR="00E45E2B" w:rsidRPr="00E3274D"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187" w:name="_Toc459291253"/>
      <w:r w:rsidRPr="00E3274D">
        <w:rPr>
          <w:rFonts w:ascii="仿宋" w:eastAsia="仿宋" w:hAnsi="仿宋" w:cs="宋体" w:hint="eastAsia"/>
          <w:b/>
          <w:kern w:val="0"/>
          <w:sz w:val="24"/>
          <w:szCs w:val="24"/>
        </w:rPr>
        <w:t>十、实施侧袋机制期间的基金资产估值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0A2D1D">
        <w:rPr>
          <w:rFonts w:ascii="仿宋" w:eastAsia="仿宋" w:hAnsi="仿宋" w:cs="宋体" w:hint="eastAsia"/>
          <w:kern w:val="0"/>
          <w:sz w:val="24"/>
          <w:szCs w:val="24"/>
        </w:rPr>
        <w:t>本基金实施侧袋机制的，应根据本部分的约定对主袋账户资产进行估值并披露主袋账户的基金净值信息，暂停披露侧袋账户份额净值</w:t>
      </w:r>
      <w:r>
        <w:rPr>
          <w:rFonts w:ascii="仿宋" w:eastAsia="仿宋" w:hAnsi="仿宋" w:cs="宋体" w:hint="eastAsia"/>
          <w:kern w:val="0"/>
          <w:sz w:val="24"/>
          <w:szCs w:val="24"/>
        </w:rPr>
        <w:t>。</w:t>
      </w:r>
    </w:p>
    <w:p w:rsidR="00E45E2B" w:rsidRPr="004F6C89" w:rsidRDefault="00E45E2B" w:rsidP="004F6C89">
      <w:pPr>
        <w:pStyle w:val="1"/>
        <w:spacing w:line="360" w:lineRule="auto"/>
        <w:jc w:val="center"/>
        <w:rPr>
          <w:rFonts w:eastAsia="仿宋"/>
          <w:sz w:val="30"/>
          <w:szCs w:val="30"/>
          <w:lang w:val="zh-CN"/>
        </w:rPr>
      </w:pPr>
      <w:r>
        <w:rPr>
          <w:kern w:val="0"/>
        </w:rPr>
        <w:br w:type="page"/>
      </w:r>
      <w:bookmarkStart w:id="188" w:name="_Toc377998630"/>
      <w:bookmarkStart w:id="189" w:name="_Toc169163875"/>
      <w:r w:rsidRPr="004F6C89">
        <w:rPr>
          <w:rFonts w:eastAsia="仿宋" w:hint="eastAsia"/>
          <w:sz w:val="30"/>
          <w:szCs w:val="30"/>
          <w:lang w:val="zh-CN"/>
        </w:rPr>
        <w:t>第十五部分</w:t>
      </w:r>
      <w:r w:rsidRPr="004F6C89">
        <w:rPr>
          <w:rFonts w:eastAsia="仿宋" w:hint="eastAsia"/>
          <w:sz w:val="30"/>
          <w:szCs w:val="30"/>
          <w:lang w:val="zh-CN"/>
        </w:rPr>
        <w:t xml:space="preserve">    </w:t>
      </w:r>
      <w:r w:rsidRPr="004F6C89">
        <w:rPr>
          <w:rFonts w:eastAsia="仿宋" w:hint="eastAsia"/>
          <w:sz w:val="30"/>
          <w:szCs w:val="30"/>
          <w:lang w:val="zh-CN"/>
        </w:rPr>
        <w:t>基金费用与税收</w:t>
      </w:r>
      <w:bookmarkEnd w:id="187"/>
      <w:bookmarkEnd w:id="188"/>
      <w:bookmarkEnd w:id="189"/>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一、基金费用的种类</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、《基金合同》生效后与基金相关的信息披露费用</w:t>
      </w:r>
      <w:r w:rsidRPr="00215E18">
        <w:rPr>
          <w:rFonts w:ascii="仿宋" w:eastAsia="仿宋" w:hAnsi="仿宋" w:cs="宋体" w:hint="eastAsia"/>
          <w:kern w:val="0"/>
          <w:sz w:val="24"/>
          <w:szCs w:val="24"/>
        </w:rPr>
        <w:t>，但法律法规、中国证监会另有规定的除外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、《基金合同》生效后与基金相关的会计师费、律师费</w:t>
      </w:r>
      <w:r w:rsidRPr="00215E18">
        <w:rPr>
          <w:rFonts w:ascii="仿宋" w:eastAsia="仿宋" w:hAnsi="仿宋" w:cs="宋体" w:hint="eastAsia"/>
          <w:kern w:val="0"/>
          <w:sz w:val="24"/>
          <w:szCs w:val="24"/>
        </w:rPr>
        <w:t>、仲裁费</w:t>
      </w:r>
      <w:r>
        <w:rPr>
          <w:rFonts w:ascii="仿宋" w:eastAsia="仿宋" w:hAnsi="仿宋" w:cs="宋体" w:hint="eastAsia"/>
          <w:kern w:val="0"/>
          <w:sz w:val="24"/>
          <w:szCs w:val="24"/>
        </w:rPr>
        <w:t>和诉讼费；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、基金份额持有人大会费用；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、基金的证券、期货</w:t>
      </w:r>
      <w:r w:rsidRPr="00215E18">
        <w:rPr>
          <w:rFonts w:ascii="仿宋" w:eastAsia="仿宋" w:hAnsi="仿宋" w:cs="宋体" w:hint="eastAsia"/>
          <w:kern w:val="0"/>
          <w:sz w:val="24"/>
          <w:szCs w:val="24"/>
        </w:rPr>
        <w:t>、股票期权等</w:t>
      </w:r>
      <w:r>
        <w:rPr>
          <w:rFonts w:ascii="仿宋" w:eastAsia="仿宋" w:hAnsi="仿宋" w:cs="宋体" w:hint="eastAsia"/>
          <w:kern w:val="0"/>
          <w:sz w:val="24"/>
          <w:szCs w:val="24"/>
        </w:rPr>
        <w:t>交易</w:t>
      </w:r>
      <w:r w:rsidRPr="00215E18">
        <w:rPr>
          <w:rFonts w:ascii="仿宋" w:eastAsia="仿宋" w:hAnsi="仿宋" w:cs="宋体" w:hint="eastAsia"/>
          <w:kern w:val="0"/>
          <w:sz w:val="24"/>
          <w:szCs w:val="24"/>
        </w:rPr>
        <w:t>或结算</w:t>
      </w:r>
      <w:r>
        <w:rPr>
          <w:rFonts w:ascii="仿宋" w:eastAsia="仿宋" w:hAnsi="仿宋" w:cs="宋体" w:hint="eastAsia"/>
          <w:kern w:val="0"/>
          <w:sz w:val="24"/>
          <w:szCs w:val="24"/>
        </w:rPr>
        <w:t>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、基金的银行汇划费用；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8</w:t>
      </w:r>
      <w:r>
        <w:rPr>
          <w:rFonts w:ascii="仿宋" w:eastAsia="仿宋" w:hAnsi="仿宋" w:cs="宋体" w:hint="eastAsia"/>
          <w:kern w:val="0"/>
          <w:sz w:val="24"/>
          <w:szCs w:val="24"/>
        </w:rPr>
        <w:t>、基金的相关账户开户费和账户维护费；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、投资港股通标的股票的相关费用；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、按照国家有关规定和《基金合同》约定，可以在基金财产中列支的其他费用。</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本基金的管理费按前一日基金资产净值的1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本基金的托管费按前一日基金资产净值的</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H</w:t>
      </w:r>
      <w:r>
        <w:rPr>
          <w:rFonts w:ascii="仿宋" w:eastAsia="仿宋" w:hAnsi="仿宋" w:cs="宋体" w:hint="eastAsia"/>
          <w:kern w:val="0"/>
          <w:sz w:val="24"/>
          <w:szCs w:val="24"/>
        </w:rPr>
        <w:t>＝</w:t>
      </w:r>
      <w:r>
        <w:rPr>
          <w:rFonts w:ascii="仿宋" w:eastAsia="仿宋" w:hAnsi="仿宋" w:cs="宋体"/>
          <w:kern w:val="0"/>
          <w:sz w:val="24"/>
          <w:szCs w:val="24"/>
        </w:rPr>
        <w:t>E</w:t>
      </w:r>
      <w:r>
        <w:rPr>
          <w:rFonts w:ascii="仿宋" w:eastAsia="仿宋" w:hAnsi="仿宋" w:cs="宋体" w:hint="eastAsia"/>
          <w:kern w:val="0"/>
          <w:sz w:val="24"/>
          <w:szCs w:val="24"/>
        </w:rPr>
        <w:t>×</w:t>
      </w:r>
      <w:r>
        <w:rPr>
          <w:rFonts w:ascii="仿宋" w:eastAsia="仿宋" w:hAnsi="仿宋" w:cs="宋体"/>
          <w:kern w:val="0"/>
          <w:sz w:val="24"/>
          <w:szCs w:val="24"/>
        </w:rPr>
        <w:t>0.</w:t>
      </w: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H </w:t>
      </w:r>
      <w:r>
        <w:rPr>
          <w:rFonts w:ascii="仿宋" w:eastAsia="仿宋" w:hAnsi="仿宋" w:cs="宋体" w:hint="eastAsia"/>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 xml:space="preserve">E </w:t>
      </w:r>
      <w:r>
        <w:rPr>
          <w:rFonts w:ascii="仿宋" w:eastAsia="仿宋" w:hAnsi="仿宋" w:cs="宋体" w:hint="eastAsia"/>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CA7419">
        <w:rPr>
          <w:rFonts w:ascii="仿宋" w:eastAsia="仿宋" w:hAnsi="仿宋" w:cs="宋体" w:hint="eastAsia"/>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上述</w:t>
      </w:r>
      <w:r w:rsidRPr="00CA7419">
        <w:rPr>
          <w:rFonts w:ascii="仿宋" w:eastAsia="仿宋" w:hAnsi="仿宋" w:cs="宋体" w:hint="eastAsia"/>
          <w:kern w:val="0"/>
          <w:sz w:val="24"/>
          <w:szCs w:val="24"/>
        </w:rPr>
        <w:t>“一、基金费用的种类”</w:t>
      </w:r>
      <w:r>
        <w:rPr>
          <w:rFonts w:ascii="仿宋" w:eastAsia="仿宋" w:hAnsi="仿宋" w:cs="宋体" w:hint="eastAsia"/>
          <w:kern w:val="0"/>
          <w:sz w:val="24"/>
          <w:szCs w:val="24"/>
        </w:rPr>
        <w:t>中第</w:t>
      </w:r>
      <w:r>
        <w:rPr>
          <w:rFonts w:ascii="仿宋" w:eastAsia="仿宋" w:hAnsi="仿宋" w:cs="宋体"/>
          <w:kern w:val="0"/>
          <w:sz w:val="24"/>
          <w:szCs w:val="24"/>
        </w:rPr>
        <w:t>3</w:t>
      </w:r>
      <w:r>
        <w:rPr>
          <w:rFonts w:ascii="仿宋" w:eastAsia="仿宋" w:hAnsi="仿宋" w:cs="宋体" w:hint="eastAsia"/>
          <w:kern w:val="0"/>
          <w:sz w:val="24"/>
          <w:szCs w:val="24"/>
        </w:rPr>
        <w:t>－1</w:t>
      </w:r>
      <w:r>
        <w:rPr>
          <w:rFonts w:ascii="仿宋" w:eastAsia="仿宋" w:hAnsi="仿宋" w:cs="宋体"/>
          <w:kern w:val="0"/>
          <w:sz w:val="24"/>
          <w:szCs w:val="24"/>
        </w:rPr>
        <w:t>0</w:t>
      </w:r>
      <w:r>
        <w:rPr>
          <w:rFonts w:ascii="仿宋" w:eastAsia="仿宋" w:hAnsi="仿宋" w:cs="宋体" w:hint="eastAsia"/>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、《基金合同》生效前的相关费用</w:t>
      </w:r>
      <w:r w:rsidRPr="009E3AF7">
        <w:rPr>
          <w:rFonts w:ascii="仿宋" w:eastAsia="仿宋" w:hAnsi="仿宋" w:cs="宋体" w:hint="eastAsia"/>
          <w:kern w:val="0"/>
          <w:sz w:val="24"/>
          <w:szCs w:val="24"/>
        </w:rPr>
        <w:t>根据《东方红</w:t>
      </w:r>
      <w:r>
        <w:rPr>
          <w:rFonts w:ascii="仿宋" w:eastAsia="仿宋" w:hAnsi="仿宋" w:cs="宋体" w:hint="eastAsia"/>
          <w:kern w:val="0"/>
          <w:sz w:val="24"/>
          <w:szCs w:val="24"/>
        </w:rPr>
        <w:t>恒阳五</w:t>
      </w:r>
      <w:r w:rsidRPr="009E3AF7">
        <w:rPr>
          <w:rFonts w:ascii="仿宋" w:eastAsia="仿宋" w:hAnsi="仿宋" w:cs="宋体" w:hint="eastAsia"/>
          <w:kern w:val="0"/>
          <w:sz w:val="24"/>
          <w:szCs w:val="24"/>
        </w:rPr>
        <w:t>年</w:t>
      </w:r>
      <w:r>
        <w:rPr>
          <w:rFonts w:ascii="仿宋" w:eastAsia="仿宋" w:hAnsi="仿宋" w:cs="宋体" w:hint="eastAsia"/>
          <w:kern w:val="0"/>
          <w:sz w:val="24"/>
          <w:szCs w:val="24"/>
        </w:rPr>
        <w:t>定期开放</w:t>
      </w:r>
      <w:r w:rsidRPr="009E3AF7">
        <w:rPr>
          <w:rFonts w:ascii="仿宋" w:eastAsia="仿宋" w:hAnsi="仿宋" w:cs="宋体" w:hint="eastAsia"/>
          <w:kern w:val="0"/>
          <w:sz w:val="24"/>
          <w:szCs w:val="24"/>
        </w:rPr>
        <w:t>混合型证券投资基金基金合同》的约定执行</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、其他根据相关法律法规及中国证监会的有关规定不得列入基金费用的项目。</w:t>
      </w:r>
      <w:bookmarkStart w:id="190" w:name="_Hlt88827255"/>
      <w:bookmarkEnd w:id="190"/>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四、费用调整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1" w:name="OLE_LINK23"/>
      <w:r w:rsidRPr="0021012A">
        <w:rPr>
          <w:rFonts w:ascii="仿宋" w:eastAsia="仿宋" w:hAnsi="仿宋" w:cs="宋体" w:hint="eastAsia"/>
          <w:kern w:val="0"/>
          <w:sz w:val="24"/>
          <w:szCs w:val="24"/>
        </w:rPr>
        <w:t>在对基金份额持有人利益无实质性不利影响的前提下，</w:t>
      </w:r>
      <w:r>
        <w:rPr>
          <w:rFonts w:ascii="仿宋" w:eastAsia="仿宋" w:hAnsi="仿宋" w:cs="宋体" w:hint="eastAsia"/>
          <w:kern w:val="0"/>
          <w:sz w:val="24"/>
          <w:szCs w:val="24"/>
        </w:rPr>
        <w:t>基金管理人和基金托管人协商一致并履行适当程序后，可根据基金发展情况调整基金管理费率、基金托管费率。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基金管理人必须于新的费率实施日前依照《信息披露办法》的有关规定在规定媒介上公告。</w:t>
      </w:r>
      <w:bookmarkEnd w:id="191"/>
    </w:p>
    <w:p w:rsidR="00E45E2B" w:rsidRPr="00B84297"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sidRPr="00B84297">
        <w:rPr>
          <w:rFonts w:ascii="仿宋" w:eastAsia="仿宋" w:hAnsi="仿宋" w:cs="宋体" w:hint="eastAsia"/>
          <w:b/>
          <w:kern w:val="0"/>
          <w:sz w:val="24"/>
          <w:szCs w:val="24"/>
        </w:rPr>
        <w:t>五、实施侧袋机制期间的基金费用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B7A98">
        <w:rPr>
          <w:rFonts w:ascii="仿宋" w:eastAsia="仿宋" w:hAnsi="仿宋" w:cs="宋体" w:hint="eastAsia"/>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六、基金税收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本基金运作过程中涉及的各纳税主体，其纳税义务按国家税收法律、法规执行。</w:t>
      </w:r>
      <w:r w:rsidRPr="00AB7A98">
        <w:rPr>
          <w:rFonts w:ascii="仿宋" w:eastAsia="仿宋" w:hAnsi="仿宋" w:cs="宋体" w:hint="eastAsia"/>
          <w:kern w:val="0"/>
          <w:sz w:val="24"/>
          <w:szCs w:val="24"/>
        </w:rPr>
        <w:t>基金财产投资的相关税收，由基金份额持有人承担，基金管理人或者其他扣缴义务人按照国家有关税收征收的规定代扣代缴。</w:t>
      </w:r>
    </w:p>
    <w:p w:rsidR="00E45E2B" w:rsidRDefault="00E45E2B" w:rsidP="00E45E2B">
      <w:pPr>
        <w:rPr>
          <w:lang w:val="zh-CN"/>
        </w:rPr>
      </w:pPr>
      <w:bookmarkStart w:id="192" w:name="_Toc377998631"/>
    </w:p>
    <w:p w:rsidR="00E45E2B" w:rsidRDefault="00E45E2B" w:rsidP="00E45E2B">
      <w:pPr>
        <w:rPr>
          <w:lang w:val="zh-CN"/>
        </w:rPr>
      </w:pPr>
      <w:bookmarkStart w:id="193" w:name="_Toc459291254"/>
    </w:p>
    <w:p w:rsidR="00E45E2B" w:rsidRDefault="00E45E2B" w:rsidP="00E45E2B">
      <w:pPr>
        <w:rPr>
          <w:kern w:val="0"/>
        </w:rPr>
      </w:pPr>
      <w:r>
        <w:rPr>
          <w:rFonts w:hint="eastAsia"/>
          <w:kern w:val="0"/>
        </w:rPr>
        <w:br w:type="page"/>
      </w:r>
    </w:p>
    <w:p w:rsidR="00E45E2B" w:rsidRPr="00B91502" w:rsidRDefault="00E45E2B" w:rsidP="004F6C89">
      <w:pPr>
        <w:pStyle w:val="1"/>
        <w:spacing w:line="360" w:lineRule="auto"/>
        <w:jc w:val="center"/>
        <w:rPr>
          <w:rFonts w:eastAsia="仿宋"/>
          <w:sz w:val="30"/>
          <w:szCs w:val="30"/>
        </w:rPr>
      </w:pPr>
      <w:bookmarkStart w:id="194" w:name="_Toc169163876"/>
      <w:r w:rsidRPr="004F6C89">
        <w:rPr>
          <w:rFonts w:eastAsia="仿宋" w:hint="eastAsia"/>
          <w:sz w:val="30"/>
          <w:szCs w:val="30"/>
          <w:lang w:val="zh-CN"/>
        </w:rPr>
        <w:t>第十六部分</w:t>
      </w:r>
      <w:r w:rsidRPr="00B91502">
        <w:rPr>
          <w:rFonts w:eastAsia="仿宋"/>
          <w:sz w:val="30"/>
          <w:szCs w:val="30"/>
        </w:rPr>
        <w:t xml:space="preserve">    </w:t>
      </w:r>
      <w:r w:rsidRPr="004F6C89">
        <w:rPr>
          <w:rFonts w:eastAsia="仿宋" w:hint="eastAsia"/>
          <w:sz w:val="30"/>
          <w:szCs w:val="30"/>
          <w:lang w:val="zh-CN"/>
        </w:rPr>
        <w:t>基金的收益与分配</w:t>
      </w:r>
      <w:bookmarkEnd w:id="192"/>
      <w:bookmarkEnd w:id="193"/>
      <w:bookmarkEnd w:id="19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一、基金利润的构成</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基金利润指基金利息收入、投资收益、公允价值变动收益和其他收入扣除相关费用后的余额。基金已实现收益指基金利润减去公允价值变动收益后的余额。</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二、基金可供分配利润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基金可供分配利润指截至收益分配基准日基金未分配利润与未分配利润中已实现收益的孰低数。</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三、基金收益分配原则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本基金收益分配应遵循下列原则：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、在符合有关基金分红条件的前提下，本基金管理人可以根据实际情况进行收益分配，具体分配方案以公告为准，若《基金合同》生效不满</w:t>
      </w:r>
      <w:r>
        <w:rPr>
          <w:rFonts w:ascii="仿宋" w:eastAsia="仿宋" w:hAnsi="仿宋" w:cs="宋体"/>
          <w:kern w:val="0"/>
          <w:sz w:val="24"/>
          <w:szCs w:val="24"/>
        </w:rPr>
        <w:t>3</w:t>
      </w:r>
      <w:r>
        <w:rPr>
          <w:rFonts w:ascii="仿宋" w:eastAsia="仿宋" w:hAnsi="仿宋" w:cs="宋体" w:hint="eastAsia"/>
          <w:kern w:val="0"/>
          <w:sz w:val="24"/>
          <w:szCs w:val="24"/>
        </w:rPr>
        <w:t>个月则可不进行收益分配；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w:t>
      </w:r>
      <w:r w:rsidRPr="00836BAD">
        <w:rPr>
          <w:rFonts w:ascii="仿宋" w:eastAsia="仿宋" w:hAnsi="仿宋" w:cs="宋体" w:hint="eastAsia"/>
          <w:kern w:val="0"/>
          <w:sz w:val="24"/>
          <w:szCs w:val="24"/>
        </w:rPr>
        <w:t>本基金的收益分配方式分两种：现金分红与红利再投资，投资者可选择现金分红或将现金分红自动转为基金份额进行再投资；若投资者不选择，本基金默认的收益分配方式是现金分红；</w:t>
      </w:r>
      <w:r w:rsidRPr="008D30F5">
        <w:rPr>
          <w:rFonts w:ascii="仿宋" w:eastAsia="仿宋" w:hAnsi="仿宋" w:cs="宋体" w:hint="eastAsia"/>
          <w:kern w:val="0"/>
          <w:sz w:val="24"/>
          <w:szCs w:val="24"/>
        </w:rPr>
        <w:t>选择采取红利再投资形式的，红利再投资的份额免收申购费；</w:t>
      </w:r>
    </w:p>
    <w:p w:rsidR="00E45E2B" w:rsidRPr="00836BAD"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w:t>
      </w:r>
      <w:r w:rsidRPr="00836BAD">
        <w:rPr>
          <w:rFonts w:ascii="仿宋" w:eastAsia="仿宋" w:hAnsi="仿宋" w:cs="宋体" w:hint="eastAsia"/>
          <w:kern w:val="0"/>
          <w:sz w:val="24"/>
          <w:szCs w:val="24"/>
        </w:rPr>
        <w:t>基金收益分配后基金份额净值不能低于面值，即基金收益分配基准日的基金份额净值减去每单位基金份额收益分配金额后不能低于面值；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836BAD">
        <w:rPr>
          <w:rFonts w:ascii="仿宋" w:eastAsia="仿宋" w:hAnsi="仿宋" w:cs="宋体" w:hint="eastAsia"/>
          <w:kern w:val="0"/>
          <w:sz w:val="24"/>
          <w:szCs w:val="24"/>
        </w:rPr>
        <w:t>4、</w:t>
      </w:r>
      <w:r w:rsidRPr="00284CA0">
        <w:rPr>
          <w:rFonts w:ascii="仿宋" w:eastAsia="仿宋" w:hAnsi="仿宋" w:cs="宋体" w:hint="eastAsia"/>
          <w:kern w:val="0"/>
          <w:sz w:val="24"/>
          <w:szCs w:val="24"/>
        </w:rPr>
        <w:t>本基金的每份基金份额享有同等分配权</w:t>
      </w:r>
      <w:r w:rsidRPr="00836BAD">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5、法律法规或监管机关另有规定的，从其规定。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在对基金份额持有人利益无实质性不利影响的前提下</w:t>
      </w:r>
      <w:r w:rsidR="00B75218">
        <w:rPr>
          <w:rFonts w:ascii="仿宋" w:eastAsia="仿宋" w:hAnsi="仿宋" w:cs="宋体" w:hint="eastAsia"/>
          <w:kern w:val="0"/>
          <w:sz w:val="24"/>
          <w:szCs w:val="24"/>
        </w:rPr>
        <w:t>并履行适当程序后</w:t>
      </w:r>
      <w:r>
        <w:rPr>
          <w:rFonts w:ascii="仿宋" w:eastAsia="仿宋" w:hAnsi="仿宋" w:cs="宋体" w:hint="eastAsia"/>
          <w:kern w:val="0"/>
          <w:sz w:val="24"/>
          <w:szCs w:val="24"/>
        </w:rPr>
        <w:t>，基金管理人可对基金收益分配原则进行调整。</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四、收益分配方案</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基金收益分配方案中应载明截至基金收益分配基准日的可供分配利润、基金收益分配对象、分配时间、分配数额及比例、分配方式等内容。</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五、收益分配方案的确定、公告与实施</w:t>
      </w:r>
    </w:p>
    <w:p w:rsidR="00E45E2B" w:rsidRDefault="00E45E2B" w:rsidP="00E45E2B">
      <w:pPr>
        <w:spacing w:line="360" w:lineRule="auto"/>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kern w:val="0"/>
          <w:sz w:val="24"/>
          <w:szCs w:val="24"/>
        </w:rPr>
        <w:t>本基金收益分配方案由基金管理人拟定，并由基金托管人复核，在2日内在规定媒介公告。</w:t>
      </w:r>
    </w:p>
    <w:p w:rsidR="00E45E2B" w:rsidRPr="00836BAD"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sidRPr="00836BAD">
        <w:rPr>
          <w:rFonts w:ascii="仿宋" w:eastAsia="仿宋" w:hAnsi="仿宋" w:cs="宋体" w:hint="eastAsia"/>
          <w:b/>
          <w:bCs/>
          <w:kern w:val="0"/>
          <w:sz w:val="24"/>
          <w:szCs w:val="24"/>
        </w:rPr>
        <w:t>六、实施侧袋机制期间的收益分配</w:t>
      </w:r>
    </w:p>
    <w:p w:rsidR="00E45E2B" w:rsidRPr="00836BAD" w:rsidRDefault="00E45E2B" w:rsidP="00E45E2B">
      <w:pPr>
        <w:autoSpaceDE w:val="0"/>
        <w:autoSpaceDN w:val="0"/>
        <w:adjustRightInd w:val="0"/>
        <w:spacing w:line="360" w:lineRule="auto"/>
        <w:ind w:firstLineChars="200" w:firstLine="480"/>
        <w:jc w:val="left"/>
        <w:rPr>
          <w:rFonts w:ascii="仿宋" w:eastAsia="仿宋" w:hAnsi="仿宋" w:cs="宋体"/>
          <w:kern w:val="0"/>
          <w:sz w:val="18"/>
          <w:szCs w:val="18"/>
        </w:rPr>
      </w:pPr>
      <w:r w:rsidRPr="00AF382F">
        <w:rPr>
          <w:rFonts w:ascii="仿宋" w:eastAsia="仿宋" w:hAnsi="仿宋" w:cs="宋体" w:hint="eastAsia"/>
          <w:bCs/>
          <w:kern w:val="0"/>
          <w:sz w:val="24"/>
          <w:szCs w:val="24"/>
        </w:rPr>
        <w:t>本基金实施侧袋机制的，侧袋账户不进行收益分配，详见招募说明书的规定。</w:t>
      </w:r>
    </w:p>
    <w:p w:rsidR="00E45E2B" w:rsidRDefault="00E45E2B" w:rsidP="00E45E2B">
      <w:pPr>
        <w:widowControl/>
        <w:jc w:val="left"/>
        <w:rPr>
          <w:rFonts w:ascii="仿宋" w:eastAsia="仿宋" w:hAnsi="仿宋" w:cs="宋体"/>
          <w:kern w:val="0"/>
          <w:sz w:val="18"/>
          <w:szCs w:val="18"/>
        </w:rPr>
      </w:pPr>
    </w:p>
    <w:p w:rsidR="00E45E2B" w:rsidRDefault="00E45E2B" w:rsidP="004F6C89">
      <w:pPr>
        <w:pStyle w:val="1"/>
        <w:spacing w:line="360" w:lineRule="auto"/>
        <w:jc w:val="center"/>
        <w:rPr>
          <w:kern w:val="0"/>
        </w:rPr>
      </w:pPr>
      <w:bookmarkStart w:id="195" w:name="_Toc459291255"/>
      <w:r>
        <w:rPr>
          <w:kern w:val="0"/>
        </w:rPr>
        <w:br w:type="page"/>
      </w:r>
      <w:bookmarkStart w:id="196" w:name="_Toc377998632"/>
      <w:bookmarkStart w:id="197" w:name="_Toc169163877"/>
      <w:r w:rsidRPr="004F6C89">
        <w:rPr>
          <w:rFonts w:eastAsia="仿宋" w:hint="eastAsia"/>
          <w:sz w:val="30"/>
          <w:szCs w:val="30"/>
          <w:lang w:val="zh-CN"/>
        </w:rPr>
        <w:t>第十七部分</w:t>
      </w:r>
      <w:r w:rsidRPr="004F6C89">
        <w:rPr>
          <w:rFonts w:eastAsia="仿宋" w:hint="eastAsia"/>
          <w:sz w:val="30"/>
          <w:szCs w:val="30"/>
          <w:lang w:val="zh-CN"/>
        </w:rPr>
        <w:t xml:space="preserve">    </w:t>
      </w:r>
      <w:r w:rsidRPr="004F6C89">
        <w:rPr>
          <w:rFonts w:eastAsia="仿宋" w:hint="eastAsia"/>
          <w:sz w:val="30"/>
          <w:szCs w:val="30"/>
          <w:lang w:val="zh-CN"/>
        </w:rPr>
        <w:t>基金的会计与审计</w:t>
      </w:r>
      <w:bookmarkEnd w:id="195"/>
      <w:bookmarkEnd w:id="196"/>
      <w:bookmarkEnd w:id="197"/>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一、基金会计政策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、基金管理人为本基金的基金会计责任方；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、基金的会计年度为公历年度的</w:t>
      </w:r>
      <w:r>
        <w:rPr>
          <w:rFonts w:ascii="仿宋" w:eastAsia="仿宋" w:hAnsi="仿宋" w:cs="宋体"/>
          <w:kern w:val="0"/>
          <w:sz w:val="24"/>
          <w:szCs w:val="24"/>
        </w:rPr>
        <w:t>1</w:t>
      </w:r>
      <w:r>
        <w:rPr>
          <w:rFonts w:ascii="仿宋" w:eastAsia="仿宋" w:hAnsi="仿宋" w:cs="宋体" w:hint="eastAsia"/>
          <w:kern w:val="0"/>
          <w:sz w:val="24"/>
          <w:szCs w:val="24"/>
        </w:rPr>
        <w:t>月</w:t>
      </w:r>
      <w:r>
        <w:rPr>
          <w:rFonts w:ascii="仿宋" w:eastAsia="仿宋" w:hAnsi="仿宋" w:cs="宋体"/>
          <w:kern w:val="0"/>
          <w:sz w:val="24"/>
          <w:szCs w:val="24"/>
        </w:rPr>
        <w:t>1</w:t>
      </w:r>
      <w:r>
        <w:rPr>
          <w:rFonts w:ascii="仿宋" w:eastAsia="仿宋" w:hAnsi="仿宋" w:cs="宋体" w:hint="eastAsia"/>
          <w:kern w:val="0"/>
          <w:sz w:val="24"/>
          <w:szCs w:val="24"/>
        </w:rPr>
        <w:t>日至</w:t>
      </w:r>
      <w:r>
        <w:rPr>
          <w:rFonts w:ascii="仿宋" w:eastAsia="仿宋" w:hAnsi="仿宋" w:cs="宋体"/>
          <w:kern w:val="0"/>
          <w:sz w:val="24"/>
          <w:szCs w:val="24"/>
        </w:rPr>
        <w:t>12</w:t>
      </w:r>
      <w:r>
        <w:rPr>
          <w:rFonts w:ascii="仿宋" w:eastAsia="仿宋" w:hAnsi="仿宋" w:cs="宋体" w:hint="eastAsia"/>
          <w:kern w:val="0"/>
          <w:sz w:val="24"/>
          <w:szCs w:val="24"/>
        </w:rPr>
        <w:t>月</w:t>
      </w:r>
      <w:r>
        <w:rPr>
          <w:rFonts w:ascii="仿宋" w:eastAsia="仿宋" w:hAnsi="仿宋" w:cs="宋体"/>
          <w:kern w:val="0"/>
          <w:sz w:val="24"/>
          <w:szCs w:val="24"/>
        </w:rPr>
        <w:t>31</w:t>
      </w:r>
      <w:r>
        <w:rPr>
          <w:rFonts w:ascii="仿宋" w:eastAsia="仿宋" w:hAnsi="仿宋" w:cs="宋体" w:hint="eastAsia"/>
          <w:kern w:val="0"/>
          <w:sz w:val="24"/>
          <w:szCs w:val="24"/>
        </w:rPr>
        <w:t>日；</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、基金核算以人民币为记账本位币，以人民币元为记账单位；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、会计制度执行国家有关会计制度；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、本基金独立建账、独立核算；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、基金管理人及基金托管人各自保留完整的会计账目、凭证并进行日常的会计核算，按照有关规定编制基金会计报表；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7</w:t>
      </w:r>
      <w:r>
        <w:rPr>
          <w:rFonts w:ascii="仿宋" w:eastAsia="仿宋" w:hAnsi="仿宋" w:cs="宋体" w:hint="eastAsia"/>
          <w:kern w:val="0"/>
          <w:sz w:val="24"/>
          <w:szCs w:val="24"/>
        </w:rPr>
        <w:t>、基金托管人每月与基金管理人就基金的会计核算、报表编制等进行核对。</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二、基金的年度审计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8" w:name="OLE_LINK14"/>
      <w:r>
        <w:rPr>
          <w:rFonts w:ascii="仿宋" w:eastAsia="仿宋" w:hAnsi="仿宋" w:cs="宋体"/>
          <w:kern w:val="0"/>
          <w:sz w:val="24"/>
          <w:szCs w:val="24"/>
        </w:rPr>
        <w:t>1</w:t>
      </w:r>
      <w:r>
        <w:rPr>
          <w:rFonts w:ascii="仿宋" w:eastAsia="仿宋" w:hAnsi="仿宋" w:cs="宋体" w:hint="eastAsia"/>
          <w:kern w:val="0"/>
          <w:sz w:val="24"/>
          <w:szCs w:val="24"/>
        </w:rPr>
        <w:t>、基金管理人聘请与基金管理人、基金托管人相互独立的符合法律法规规定的会计师事务所及其注册会计师对本基金的年度财务报表进行审计</w:t>
      </w:r>
      <w:bookmarkEnd w:id="198"/>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、会计师事务所更换经办注册会计师，应事先征得基金管理人同意。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199" w:name="OLE_LINK15"/>
      <w:r>
        <w:rPr>
          <w:rFonts w:ascii="仿宋" w:eastAsia="仿宋" w:hAnsi="仿宋" w:cs="宋体"/>
          <w:kern w:val="0"/>
          <w:sz w:val="24"/>
          <w:szCs w:val="24"/>
        </w:rPr>
        <w:t>3</w:t>
      </w:r>
      <w:r>
        <w:rPr>
          <w:rFonts w:ascii="仿宋" w:eastAsia="仿宋" w:hAnsi="仿宋" w:cs="宋体" w:hint="eastAsia"/>
          <w:kern w:val="0"/>
          <w:sz w:val="24"/>
          <w:szCs w:val="24"/>
        </w:rPr>
        <w:t>、</w:t>
      </w:r>
      <w:bookmarkStart w:id="200" w:name="_Hlt4221115"/>
      <w:bookmarkEnd w:id="200"/>
      <w:r>
        <w:rPr>
          <w:rFonts w:ascii="仿宋" w:eastAsia="仿宋" w:hAnsi="仿宋" w:cs="宋体" w:hint="eastAsia"/>
          <w:kern w:val="0"/>
          <w:sz w:val="24"/>
          <w:szCs w:val="24"/>
        </w:rPr>
        <w:t>基金管理人认为有充足理由更换会计师事务所，须通报基金托管人。更换会计师事务所需在</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bookmarkEnd w:id="19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keepNext/>
        <w:keepLines/>
        <w:rPr>
          <w:rFonts w:ascii="仿宋" w:hAnsi="仿宋" w:cs="宋体"/>
          <w:kern w:val="0"/>
          <w:sz w:val="24"/>
          <w:szCs w:val="24"/>
        </w:rPr>
      </w:pPr>
      <w:bookmarkStart w:id="201" w:name="_Toc377998633"/>
      <w:r>
        <w:rPr>
          <w:rFonts w:ascii="仿宋" w:hAnsi="仿宋" w:cs="宋体"/>
          <w:kern w:val="0"/>
        </w:rPr>
        <w:br w:type="page"/>
      </w:r>
    </w:p>
    <w:p w:rsidR="00E45E2B" w:rsidRPr="00B91502" w:rsidRDefault="00E45E2B" w:rsidP="004F6C89">
      <w:pPr>
        <w:pStyle w:val="1"/>
        <w:spacing w:line="360" w:lineRule="auto"/>
        <w:jc w:val="center"/>
        <w:rPr>
          <w:rFonts w:eastAsia="仿宋"/>
          <w:sz w:val="30"/>
          <w:szCs w:val="30"/>
        </w:rPr>
      </w:pPr>
      <w:bookmarkStart w:id="202" w:name="_Toc459291256"/>
      <w:bookmarkStart w:id="203" w:name="_Toc169163878"/>
      <w:r w:rsidRPr="004F6C89">
        <w:rPr>
          <w:rFonts w:eastAsia="仿宋" w:hint="eastAsia"/>
          <w:sz w:val="30"/>
          <w:szCs w:val="30"/>
          <w:lang w:val="zh-CN"/>
        </w:rPr>
        <w:t>第十八部分</w:t>
      </w:r>
      <w:r w:rsidRPr="00B91502">
        <w:rPr>
          <w:rFonts w:eastAsia="仿宋"/>
          <w:sz w:val="30"/>
          <w:szCs w:val="30"/>
        </w:rPr>
        <w:t xml:space="preserve">    </w:t>
      </w:r>
      <w:r w:rsidRPr="004F6C89">
        <w:rPr>
          <w:rFonts w:eastAsia="仿宋" w:hint="eastAsia"/>
          <w:sz w:val="30"/>
          <w:szCs w:val="30"/>
          <w:lang w:val="zh-CN"/>
        </w:rPr>
        <w:t>基金的信息披露</w:t>
      </w:r>
      <w:bookmarkEnd w:id="201"/>
      <w:bookmarkEnd w:id="202"/>
      <w:bookmarkEnd w:id="203"/>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一、本基金的信息披露应符合《基金法》、《运作办法》、《信息披露办法》、</w:t>
      </w:r>
      <w:r w:rsidRPr="00B024A4">
        <w:rPr>
          <w:rFonts w:ascii="仿宋" w:eastAsia="仿宋" w:hAnsi="仿宋" w:cs="宋体" w:hint="eastAsia"/>
          <w:b/>
          <w:kern w:val="0"/>
          <w:sz w:val="24"/>
          <w:szCs w:val="24"/>
        </w:rPr>
        <w:t>《流动性风险管理规定》、</w:t>
      </w:r>
      <w:r>
        <w:rPr>
          <w:rFonts w:ascii="仿宋" w:eastAsia="仿宋" w:hAnsi="仿宋" w:cs="宋体" w:hint="eastAsia"/>
          <w:b/>
          <w:kern w:val="0"/>
          <w:sz w:val="24"/>
          <w:szCs w:val="24"/>
        </w:rPr>
        <w:t>《基金合同》及其他有关规定。</w:t>
      </w:r>
      <w:r w:rsidRPr="00AD7D05">
        <w:rPr>
          <w:rFonts w:ascii="仿宋" w:eastAsia="仿宋" w:hAnsi="仿宋" w:cs="宋体" w:hint="eastAsia"/>
          <w:b/>
          <w:kern w:val="0"/>
          <w:sz w:val="24"/>
          <w:szCs w:val="24"/>
        </w:rPr>
        <w:t>若相关法律法规修订或变更后对于基金信息披露的信息类型、披露内容、披露方式等规定与本部分的内容不同，若适用于本基金，本基金的信息披露按照修订或变更后的法律法规的要求执行。</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二、信息披露义务人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本基金信息披露义务人包括基金管理人、基金托管人、召集基金份额持有人大会的基金份额持有人等法律法规和中国证监会规定的自然人、法人和非法人组织。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本基金信息披露义务人以保护基金份额持有人利益为根本出发点，按照法律法规和中国证监会的规定披露基金信息，并保证所披露信息的真实性、准确性、完整性、及时性、简明性和易得性。</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本基金信息披露义务人应当在中国证监会规定时间内，将应予披露的基金信息通过</w:t>
      </w:r>
      <w:r w:rsidRPr="00B024A4">
        <w:rPr>
          <w:rFonts w:ascii="仿宋" w:eastAsia="仿宋" w:hAnsi="仿宋" w:cs="宋体" w:hint="eastAsia"/>
          <w:kern w:val="0"/>
          <w:sz w:val="24"/>
          <w:szCs w:val="24"/>
        </w:rPr>
        <w:t>符合</w:t>
      </w:r>
      <w:r>
        <w:rPr>
          <w:rFonts w:ascii="仿宋" w:eastAsia="仿宋" w:hAnsi="仿宋" w:cs="宋体" w:hint="eastAsia"/>
          <w:kern w:val="0"/>
          <w:sz w:val="24"/>
          <w:szCs w:val="24"/>
        </w:rPr>
        <w:t>中国证监会</w:t>
      </w:r>
      <w:r w:rsidRPr="00B024A4">
        <w:rPr>
          <w:rFonts w:ascii="仿宋" w:eastAsia="仿宋" w:hAnsi="仿宋" w:cs="宋体" w:hint="eastAsia"/>
          <w:kern w:val="0"/>
          <w:sz w:val="24"/>
          <w:szCs w:val="24"/>
        </w:rPr>
        <w:t>规定条件</w:t>
      </w:r>
      <w:r>
        <w:rPr>
          <w:rFonts w:ascii="仿宋" w:eastAsia="仿宋" w:hAnsi="仿宋" w:cs="宋体" w:hint="eastAsia"/>
          <w:kern w:val="0"/>
          <w:sz w:val="24"/>
          <w:szCs w:val="24"/>
        </w:rPr>
        <w:t>的全国性报刊（以下简称“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报刊”）及《信息披露办法》</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的互联网网站（以下简称“</w:t>
      </w:r>
      <w:r w:rsidRPr="00B024A4">
        <w:rPr>
          <w:rFonts w:ascii="仿宋" w:eastAsia="仿宋" w:hAnsi="仿宋" w:cs="宋体" w:hint="eastAsia"/>
          <w:kern w:val="0"/>
          <w:sz w:val="24"/>
          <w:szCs w:val="24"/>
        </w:rPr>
        <w:t>规定</w:t>
      </w:r>
      <w:r>
        <w:rPr>
          <w:rFonts w:ascii="仿宋" w:eastAsia="仿宋" w:hAnsi="仿宋" w:cs="宋体" w:hint="eastAsia"/>
          <w:kern w:val="0"/>
          <w:sz w:val="24"/>
          <w:szCs w:val="24"/>
        </w:rPr>
        <w:t>网站”）等媒介披露，并保证基金投资者能够按照《基金合同》约定的时间和方式查阅或者复制公开披露的信息资料。</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三、本基金信息披露义务人承诺公开披露的基金信息，不得有下列行为：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、虚假记载、误导性陈述或者重大遗漏；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、对证券投资业绩进行预测；</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、违规承诺收益或者承担损失；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、诋毁其他基金管理人、基金托管人或者基金销售机构；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、登载任何自然人、法人和非法人组织的祝贺性、恭维性或推荐性的文字；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6</w:t>
      </w:r>
      <w:r>
        <w:rPr>
          <w:rFonts w:ascii="仿宋" w:eastAsia="仿宋" w:hAnsi="仿宋" w:cs="宋体" w:hint="eastAsia"/>
          <w:kern w:val="0"/>
          <w:sz w:val="24"/>
          <w:szCs w:val="24"/>
        </w:rPr>
        <w:t>、中国证监会禁止的其他行为。</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四、本基金公开披露的信息应采用中文文本。如同时采用外文文本的，基金信息披露义务人应保证不同文本的内容一致。不同文本之间发生歧义的，以中文文本为准。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本基金公开披露的信息采用阿拉伯数字；除特别说明外，货币单位为人民币元。</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五、公开披露的基金信息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公开披露的基金信息包括：</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（一）基金招募说明书、《基金合同》、基金托管协议、基金产品资料概要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1、《基金合同》是界定《基金合同》当事人的各项权利、义务关系，明确基金份额持有人大会召开的规则及具体程序，说明基金产品的特性等涉及基金投资者重大利益的事项的法律文件。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、基金托管协议是界定基金托管人和基金管理人在基金财产保管及基金运作监督等活动中的权利、义务关系的法律文件。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（二）基金净值信息</w:t>
      </w:r>
    </w:p>
    <w:p w:rsidR="00E45E2B" w:rsidRPr="00D50992"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4" w:name="OLE_LINK24"/>
      <w:r w:rsidRPr="00D50992">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Default="00E45E2B" w:rsidP="00E45E2B">
      <w:pPr>
        <w:pStyle w:val="Default"/>
        <w:spacing w:line="360" w:lineRule="auto"/>
        <w:ind w:firstLine="420"/>
        <w:rPr>
          <w:rFonts w:ascii="仿宋" w:eastAsia="仿宋" w:hAnsi="仿宋"/>
          <w:color w:val="auto"/>
        </w:rPr>
      </w:pPr>
      <w:r w:rsidRPr="00D50992">
        <w:rPr>
          <w:rFonts w:ascii="仿宋" w:eastAsia="仿宋" w:hAnsi="仿宋" w:hint="eastAsia"/>
        </w:rPr>
        <w:t>在开始办理基金份额申购或者赎回后，基金管理人应当在不晚于每个开放日的次日，通过规定网站、基金销售机构网站或营业网点，披露开放日的基金份额净值和基金份额累计净值。</w:t>
      </w:r>
    </w:p>
    <w:p w:rsidR="00E45E2B" w:rsidRDefault="00E45E2B" w:rsidP="00E45E2B">
      <w:pPr>
        <w:pStyle w:val="Default"/>
        <w:spacing w:line="360" w:lineRule="auto"/>
        <w:ind w:firstLine="420"/>
        <w:rPr>
          <w:rFonts w:ascii="仿宋" w:eastAsia="仿宋" w:hAnsi="仿宋"/>
          <w:color w:val="auto"/>
        </w:rPr>
      </w:pPr>
      <w:r>
        <w:rPr>
          <w:rFonts w:ascii="仿宋" w:eastAsia="仿宋" w:hAnsi="仿宋" w:hint="eastAsia"/>
          <w:color w:val="auto"/>
        </w:rPr>
        <w:t>基金管理人应当在不晚于半年度和年度最后一日的次日，在规定网站披露半年度和年度最后一日的基金份额净值和基金份额累计净值。</w:t>
      </w:r>
      <w:bookmarkEnd w:id="204"/>
      <w:r>
        <w:rPr>
          <w:rFonts w:ascii="仿宋" w:eastAsia="仿宋" w:hAnsi="仿宋"/>
          <w:color w:val="auto"/>
        </w:rPr>
        <w:t xml:space="preserve"> </w:t>
      </w:r>
    </w:p>
    <w:p w:rsidR="00E45E2B" w:rsidRPr="00313836" w:rsidRDefault="00E45E2B" w:rsidP="00E45E2B">
      <w:pPr>
        <w:pStyle w:val="Default"/>
        <w:spacing w:line="360" w:lineRule="auto"/>
        <w:ind w:firstLine="420"/>
        <w:rPr>
          <w:rFonts w:ascii="仿宋" w:eastAsia="仿宋" w:hAnsi="仿宋"/>
          <w:color w:val="auto"/>
        </w:rPr>
      </w:pPr>
      <w:r w:rsidRPr="00313836">
        <w:rPr>
          <w:rFonts w:ascii="仿宋" w:eastAsia="仿宋" w:hAnsi="仿宋" w:hint="eastAsia"/>
          <w:color w:val="auto"/>
        </w:rPr>
        <w:t>如法律法规将来另有规定的，本基金按照新规定执行。如需据此相应修改基金合同的，</w:t>
      </w:r>
      <w:r w:rsidRPr="00131964">
        <w:rPr>
          <w:rFonts w:ascii="仿宋" w:eastAsia="仿宋" w:hAnsi="仿宋" w:hint="eastAsia"/>
          <w:color w:val="auto"/>
        </w:rPr>
        <w:t>基金管理人与基金托管人协商一致，并提前公告后，可直接对相应内容进行修改和调整，</w:t>
      </w:r>
      <w:r w:rsidRPr="00313836">
        <w:rPr>
          <w:rFonts w:ascii="仿宋" w:eastAsia="仿宋" w:hAnsi="仿宋" w:hint="eastAsia"/>
          <w:color w:val="auto"/>
        </w:rPr>
        <w:t>无须召开基金份额持有人大会。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（三）基金份额申购、赎回价格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5" w:name="OLE_LINK16"/>
      <w:r>
        <w:rPr>
          <w:rFonts w:ascii="仿宋" w:eastAsia="仿宋" w:hAnsi="仿宋" w:cs="宋体" w:hint="eastAsia"/>
          <w:kern w:val="0"/>
          <w:sz w:val="24"/>
          <w:szCs w:val="24"/>
        </w:rPr>
        <w:t>（四）基金定期报告，包括基金年度报告、基金中期报告和基金季度报告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基金管理人应当在每年结束之日起三个月内，编制完成基金年度报告，</w:t>
      </w:r>
      <w:bookmarkStart w:id="206" w:name="OLE_LINK9"/>
      <w:r>
        <w:rPr>
          <w:rFonts w:ascii="仿宋" w:eastAsia="仿宋" w:hAnsi="仿宋" w:cs="宋体" w:hint="eastAsia"/>
          <w:kern w:val="0"/>
          <w:sz w:val="24"/>
          <w:szCs w:val="24"/>
        </w:rPr>
        <w:t>将年度报告</w:t>
      </w:r>
      <w:r w:rsidRPr="00D50992">
        <w:rPr>
          <w:rFonts w:ascii="仿宋" w:eastAsia="仿宋" w:hAnsi="仿宋" w:cs="宋体" w:hint="eastAsia"/>
          <w:kern w:val="0"/>
          <w:sz w:val="24"/>
          <w:szCs w:val="24"/>
        </w:rPr>
        <w:t>登载于规定网站上，</w:t>
      </w:r>
      <w:r>
        <w:rPr>
          <w:rFonts w:ascii="仿宋" w:eastAsia="仿宋" w:hAnsi="仿宋" w:cs="宋体" w:hint="eastAsia"/>
          <w:kern w:val="0"/>
          <w:sz w:val="24"/>
          <w:szCs w:val="24"/>
        </w:rPr>
        <w:t>并</w:t>
      </w:r>
      <w:r w:rsidRPr="00D50992">
        <w:rPr>
          <w:rFonts w:ascii="仿宋" w:eastAsia="仿宋" w:hAnsi="仿宋" w:cs="宋体" w:hint="eastAsia"/>
          <w:kern w:val="0"/>
          <w:sz w:val="24"/>
          <w:szCs w:val="24"/>
        </w:rPr>
        <w:t>将年度报告</w:t>
      </w:r>
      <w:r>
        <w:rPr>
          <w:rFonts w:ascii="仿宋" w:eastAsia="仿宋" w:hAnsi="仿宋" w:cs="宋体" w:hint="eastAsia"/>
          <w:kern w:val="0"/>
          <w:sz w:val="24"/>
          <w:szCs w:val="24"/>
        </w:rPr>
        <w:t>提示性公告登载在</w:t>
      </w:r>
      <w:r w:rsidRPr="00052FBD">
        <w:rPr>
          <w:rFonts w:ascii="仿宋" w:eastAsia="仿宋" w:hAnsi="仿宋" w:cs="宋体" w:hint="eastAsia"/>
          <w:kern w:val="0"/>
          <w:sz w:val="24"/>
          <w:szCs w:val="24"/>
        </w:rPr>
        <w:t>规定</w:t>
      </w:r>
      <w:r>
        <w:rPr>
          <w:rFonts w:ascii="仿宋" w:eastAsia="仿宋" w:hAnsi="仿宋" w:cs="宋体" w:hint="eastAsia"/>
          <w:kern w:val="0"/>
          <w:sz w:val="24"/>
          <w:szCs w:val="24"/>
        </w:rPr>
        <w:t>报刊上</w:t>
      </w:r>
      <w:bookmarkEnd w:id="206"/>
      <w:r>
        <w:rPr>
          <w:rFonts w:ascii="仿宋" w:eastAsia="仿宋" w:hAnsi="仿宋" w:cs="宋体" w:hint="eastAsia"/>
          <w:kern w:val="0"/>
          <w:sz w:val="24"/>
          <w:szCs w:val="24"/>
        </w:rPr>
        <w:t>。基金年度报告中的财务会计报告应当经过符合法律法规规定的会计师事务所审计。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基金管理人应当在上半年结束之日起两个月内，编制完成基金中期报告，将中期报告登载在规定网站上，并将中期报告提示性公告登载在规定报刊上。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基金管理人应当在季度结束之日起</w:t>
      </w:r>
      <w:r>
        <w:rPr>
          <w:rFonts w:ascii="仿宋" w:eastAsia="仿宋" w:hAnsi="仿宋" w:cs="宋体"/>
          <w:kern w:val="0"/>
          <w:sz w:val="24"/>
          <w:szCs w:val="24"/>
        </w:rPr>
        <w:t>15</w:t>
      </w:r>
      <w:r>
        <w:rPr>
          <w:rFonts w:ascii="仿宋" w:eastAsia="仿宋" w:hAnsi="仿宋" w:cs="宋体" w:hint="eastAsia"/>
          <w:kern w:val="0"/>
          <w:sz w:val="24"/>
          <w:szCs w:val="24"/>
        </w:rPr>
        <w:t>个工作日内，编制完成基金季度报告，</w:t>
      </w:r>
      <w:bookmarkStart w:id="207" w:name="OLE_LINK11"/>
      <w:r>
        <w:rPr>
          <w:rFonts w:ascii="仿宋" w:eastAsia="仿宋" w:hAnsi="仿宋" w:cs="宋体" w:hint="eastAsia"/>
          <w:kern w:val="0"/>
          <w:sz w:val="24"/>
          <w:szCs w:val="24"/>
        </w:rPr>
        <w:t>将季度报告登载在规定网站上，并将季度报告提示性公告登载在规定报刊上</w:t>
      </w:r>
      <w:bookmarkEnd w:id="207"/>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如报告期内出现单一投资者持有基金份额比例达到或超过</w:t>
      </w:r>
      <w:r>
        <w:rPr>
          <w:rFonts w:ascii="仿宋" w:eastAsia="仿宋" w:hAnsi="仿宋" w:cs="宋体" w:hint="eastAsia"/>
          <w:bCs/>
          <w:kern w:val="0"/>
          <w:sz w:val="24"/>
          <w:szCs w:val="24"/>
        </w:rPr>
        <w:t>基金总份额</w:t>
      </w:r>
      <w:r>
        <w:rPr>
          <w:rFonts w:ascii="仿宋" w:eastAsia="仿宋" w:hAnsi="仿宋" w:cs="宋体" w:hint="eastAsia"/>
          <w:kern w:val="0"/>
          <w:sz w:val="24"/>
          <w:szCs w:val="24"/>
        </w:rPr>
        <w:t>20%的情形，为保障其他投资者的权益，基金管理人至少在季度报告、中期报告、年度报告等定期报告文件中“影响投资者决策的其他重要信息”项下披露该投资者的类别、报告期末持有份额及占比、报告期内持有份额变化情况及</w:t>
      </w:r>
      <w:r>
        <w:rPr>
          <w:rFonts w:ascii="仿宋" w:eastAsia="仿宋" w:hAnsi="仿宋" w:cs="宋体" w:hint="eastAsia"/>
          <w:bCs/>
          <w:kern w:val="0"/>
          <w:sz w:val="24"/>
          <w:szCs w:val="24"/>
        </w:rPr>
        <w:t>本基金</w:t>
      </w:r>
      <w:r>
        <w:rPr>
          <w:rFonts w:ascii="仿宋" w:eastAsia="仿宋" w:hAnsi="仿宋" w:cs="宋体" w:hint="eastAsia"/>
          <w:kern w:val="0"/>
          <w:sz w:val="24"/>
          <w:szCs w:val="24"/>
        </w:rPr>
        <w:t>的特有风险</w:t>
      </w:r>
      <w:r w:rsidRPr="00052FBD">
        <w:rPr>
          <w:rFonts w:ascii="仿宋" w:eastAsia="仿宋" w:hAnsi="仿宋" w:cs="宋体" w:hint="eastAsia"/>
          <w:kern w:val="0"/>
          <w:sz w:val="24"/>
          <w:szCs w:val="24"/>
        </w:rPr>
        <w:t>，中国证监会认定的特殊情形除外</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基金管理人应当在基金年度报告和中期报告中披露基金组合资产情况及其流动性风险分析等。</w:t>
      </w:r>
      <w:bookmarkEnd w:id="20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（五）临时报告与公告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本基金发生重大事件，有关信息披露义务人应当在</w:t>
      </w:r>
      <w:r>
        <w:rPr>
          <w:rFonts w:ascii="仿宋" w:eastAsia="仿宋" w:hAnsi="仿宋" w:cs="宋体"/>
          <w:kern w:val="0"/>
          <w:sz w:val="24"/>
          <w:szCs w:val="24"/>
        </w:rPr>
        <w:t>2</w:t>
      </w:r>
      <w:r>
        <w:rPr>
          <w:rFonts w:ascii="仿宋" w:eastAsia="仿宋" w:hAnsi="仿宋" w:cs="宋体" w:hint="eastAsia"/>
          <w:kern w:val="0"/>
          <w:sz w:val="24"/>
          <w:szCs w:val="24"/>
        </w:rPr>
        <w:t>日内编制临时报告书，并登载在规定报刊和规定网站上。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前款所称重大事件，是指可能对基金份额持有人权益或者基金份额的价格产生重大影响的下列事件：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、基金份额持有人大会的召开及决定的事项；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、终止《基金合同》、基金清算；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、转换基金运作方式、基金合并；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、更换基金管理人、基金托管人、基金份额登记机构，基金改聘会计师事务所；</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5、基金管理人委托基金服务机构代为办理基金的份额登记、核算、估值等事项，基金托管人委托基金服务机构代为办理基金的核算、估值、复核等事项；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6、基金管理人、基金托管人的法定名称、住所发生变更；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7、基金管理人变更持有百分之五以上股权的股东、变更基金管理人的实际控制人；</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w:t>
      </w:r>
      <w:bookmarkStart w:id="208" w:name="OLE_LINK7"/>
      <w:r>
        <w:rPr>
          <w:rFonts w:ascii="仿宋" w:eastAsia="仿宋" w:hAnsi="仿宋" w:cs="宋体" w:hint="eastAsia"/>
          <w:kern w:val="0"/>
          <w:sz w:val="24"/>
          <w:szCs w:val="24"/>
        </w:rPr>
        <w:t>基金管理人高级管理人员、基金经理和基金托管人专门基金托管部门负责人</w:t>
      </w:r>
      <w:bookmarkEnd w:id="208"/>
      <w:r>
        <w:rPr>
          <w:rFonts w:ascii="仿宋" w:eastAsia="仿宋" w:hAnsi="仿宋" w:cs="宋体" w:hint="eastAsia"/>
          <w:kern w:val="0"/>
          <w:sz w:val="24"/>
          <w:szCs w:val="24"/>
        </w:rPr>
        <w:t>发生变动；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9</w:t>
      </w:r>
      <w:r>
        <w:rPr>
          <w:rFonts w:ascii="仿宋" w:eastAsia="仿宋" w:hAnsi="仿宋" w:cs="宋体" w:hint="eastAsia"/>
          <w:kern w:val="0"/>
          <w:sz w:val="24"/>
          <w:szCs w:val="24"/>
        </w:rPr>
        <w:t>、基金管理人的董事在最近12个月内变更超过百分之五十；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10</w:t>
      </w:r>
      <w:r>
        <w:rPr>
          <w:rFonts w:ascii="仿宋" w:eastAsia="仿宋" w:hAnsi="仿宋" w:cs="宋体" w:hint="eastAsia"/>
          <w:kern w:val="0"/>
          <w:sz w:val="24"/>
          <w:szCs w:val="24"/>
        </w:rPr>
        <w:t>、基金管理人、基金托管人专门基金托管部门的主要业务人员在最近12个月内变动超过百分之三十；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11</w:t>
      </w:r>
      <w:r>
        <w:rPr>
          <w:rFonts w:ascii="仿宋" w:eastAsia="仿宋" w:hAnsi="仿宋" w:cs="宋体" w:hint="eastAsia"/>
          <w:kern w:val="0"/>
          <w:sz w:val="24"/>
          <w:szCs w:val="24"/>
        </w:rPr>
        <w:t>、涉及基金管理业务、基金财产、基金托管业务的诉讼或仲裁；</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12</w:t>
      </w:r>
      <w:r>
        <w:rPr>
          <w:rFonts w:ascii="仿宋" w:eastAsia="仿宋" w:hAnsi="仿宋" w:cs="宋体" w:hint="eastAsia"/>
          <w:kern w:val="0"/>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13</w:t>
      </w:r>
      <w:r>
        <w:rPr>
          <w:rFonts w:ascii="仿宋" w:eastAsia="仿宋" w:hAnsi="仿宋" w:cs="宋体" w:hint="eastAsia"/>
          <w:kern w:val="0"/>
          <w:sz w:val="24"/>
          <w:szCs w:val="24"/>
        </w:rPr>
        <w:t>、基金管理人运用基金财产买卖基金管理人、基金托管人及其控股股东、实际控制人或者与其有其他重大利害关系的公司发行的证券或者承销期内承销的证券，或者从事其他重大关联交易事项，但中国证监会另有规定的情形除外；</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14</w:t>
      </w:r>
      <w:r>
        <w:rPr>
          <w:rFonts w:ascii="仿宋" w:eastAsia="仿宋" w:hAnsi="仿宋" w:cs="宋体" w:hint="eastAsia"/>
          <w:kern w:val="0"/>
          <w:sz w:val="24"/>
          <w:szCs w:val="24"/>
        </w:rPr>
        <w:t>、基金收益分配事项；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15</w:t>
      </w:r>
      <w:r>
        <w:rPr>
          <w:rFonts w:ascii="仿宋" w:eastAsia="仿宋" w:hAnsi="仿宋" w:cs="宋体" w:hint="eastAsia"/>
          <w:kern w:val="0"/>
          <w:sz w:val="24"/>
          <w:szCs w:val="24"/>
        </w:rPr>
        <w:t>、管理费、托管费、申购费、赎回费等费用计提标准、计提方式和费率发生变更；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16</w:t>
      </w:r>
      <w:r>
        <w:rPr>
          <w:rFonts w:ascii="仿宋" w:eastAsia="仿宋" w:hAnsi="仿宋" w:cs="宋体" w:hint="eastAsia"/>
          <w:kern w:val="0"/>
          <w:sz w:val="24"/>
          <w:szCs w:val="24"/>
        </w:rPr>
        <w:t>、基金份额净值估值错误达基金份额净值</w:t>
      </w:r>
      <w:r>
        <w:rPr>
          <w:rFonts w:ascii="仿宋" w:eastAsia="仿宋" w:hAnsi="仿宋" w:cs="宋体"/>
          <w:kern w:val="0"/>
          <w:sz w:val="24"/>
          <w:szCs w:val="24"/>
        </w:rPr>
        <w:t>0.5%</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7</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开始办理申购、赎回</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8</w:t>
      </w:r>
      <w:r>
        <w:rPr>
          <w:rFonts w:ascii="仿宋" w:eastAsia="仿宋" w:hAnsi="仿宋" w:cs="宋体" w:hint="eastAsia"/>
          <w:kern w:val="0"/>
          <w:sz w:val="24"/>
          <w:szCs w:val="24"/>
        </w:rPr>
        <w:t>、</w:t>
      </w:r>
      <w:r w:rsidRPr="00F11DCC">
        <w:rPr>
          <w:rFonts w:ascii="仿宋" w:eastAsia="仿宋" w:hAnsi="仿宋" w:cs="宋体" w:hint="eastAsia"/>
          <w:bCs/>
          <w:kern w:val="0"/>
          <w:sz w:val="24"/>
          <w:szCs w:val="24"/>
        </w:rPr>
        <w:t>本基金发生巨额赎回并延期办理或延缓支付赎回款项</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19</w:t>
      </w:r>
      <w:r>
        <w:rPr>
          <w:rFonts w:ascii="仿宋" w:eastAsia="仿宋" w:hAnsi="仿宋" w:cs="宋体" w:hint="eastAsia"/>
          <w:kern w:val="0"/>
          <w:sz w:val="24"/>
          <w:szCs w:val="24"/>
        </w:rPr>
        <w:t>、本基金</w:t>
      </w:r>
      <w:r w:rsidRPr="00F11DCC">
        <w:rPr>
          <w:rFonts w:ascii="仿宋" w:eastAsia="仿宋" w:hAnsi="仿宋" w:cs="宋体" w:hint="eastAsia"/>
          <w:kern w:val="0"/>
          <w:sz w:val="24"/>
          <w:szCs w:val="24"/>
        </w:rPr>
        <w:t>连续</w:t>
      </w:r>
      <w:r>
        <w:rPr>
          <w:rFonts w:ascii="仿宋" w:eastAsia="仿宋" w:hAnsi="仿宋" w:cs="宋体" w:hint="eastAsia"/>
          <w:kern w:val="0"/>
          <w:sz w:val="24"/>
          <w:szCs w:val="24"/>
        </w:rPr>
        <w:t>发生巨额赎回并</w:t>
      </w:r>
      <w:r w:rsidRPr="00F11DCC">
        <w:rPr>
          <w:rFonts w:ascii="仿宋" w:eastAsia="仿宋" w:hAnsi="仿宋" w:cs="宋体" w:hint="eastAsia"/>
          <w:kern w:val="0"/>
          <w:sz w:val="24"/>
          <w:szCs w:val="24"/>
        </w:rPr>
        <w:t>暂停接受赎回申请或</w:t>
      </w:r>
      <w:r>
        <w:rPr>
          <w:rFonts w:ascii="仿宋" w:eastAsia="仿宋" w:hAnsi="仿宋" w:cs="宋体" w:hint="eastAsia"/>
          <w:kern w:val="0"/>
          <w:sz w:val="24"/>
          <w:szCs w:val="24"/>
        </w:rPr>
        <w:t>延缓支付赎回款项；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20</w:t>
      </w:r>
      <w:r>
        <w:rPr>
          <w:rFonts w:ascii="仿宋" w:eastAsia="仿宋" w:hAnsi="仿宋" w:cs="宋体" w:hint="eastAsia"/>
          <w:kern w:val="0"/>
          <w:sz w:val="24"/>
          <w:szCs w:val="24"/>
        </w:rPr>
        <w:t>、本基金暂停接受申购、赎回申请或</w:t>
      </w:r>
      <w:r w:rsidRPr="00F11DCC">
        <w:rPr>
          <w:rFonts w:ascii="仿宋" w:eastAsia="仿宋" w:hAnsi="仿宋" w:cs="宋体" w:hint="eastAsia"/>
          <w:kern w:val="0"/>
          <w:sz w:val="24"/>
          <w:szCs w:val="24"/>
        </w:rPr>
        <w:t>暂停后</w:t>
      </w:r>
      <w:r>
        <w:rPr>
          <w:rFonts w:ascii="仿宋" w:eastAsia="仿宋" w:hAnsi="仿宋" w:cs="宋体" w:hint="eastAsia"/>
          <w:kern w:val="0"/>
          <w:sz w:val="24"/>
          <w:szCs w:val="24"/>
        </w:rPr>
        <w:t>重新接受申购、赎回申请；</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21</w:t>
      </w:r>
      <w:r>
        <w:rPr>
          <w:rFonts w:ascii="仿宋" w:eastAsia="仿宋" w:hAnsi="仿宋" w:cs="宋体" w:hint="eastAsia"/>
          <w:kern w:val="0"/>
          <w:sz w:val="24"/>
          <w:szCs w:val="24"/>
        </w:rPr>
        <w:t>、</w:t>
      </w:r>
      <w:r w:rsidRPr="00F11DCC">
        <w:rPr>
          <w:rFonts w:ascii="仿宋" w:eastAsia="仿宋" w:hAnsi="仿宋" w:cs="宋体" w:hint="eastAsia"/>
          <w:kern w:val="0"/>
          <w:sz w:val="24"/>
          <w:szCs w:val="24"/>
        </w:rPr>
        <w:t>调整基金份额类别设置</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2</w:t>
      </w:r>
      <w:r>
        <w:rPr>
          <w:rFonts w:ascii="仿宋" w:eastAsia="仿宋" w:hAnsi="仿宋" w:cs="宋体" w:hint="eastAsia"/>
          <w:kern w:val="0"/>
          <w:sz w:val="24"/>
          <w:szCs w:val="24"/>
        </w:rPr>
        <w:t>、</w:t>
      </w:r>
      <w:r>
        <w:rPr>
          <w:rFonts w:ascii="仿宋" w:eastAsia="仿宋" w:hAnsi="仿宋" w:cs="宋体" w:hint="eastAsia"/>
          <w:bCs/>
          <w:kern w:val="0"/>
          <w:sz w:val="24"/>
          <w:szCs w:val="24"/>
        </w:rPr>
        <w:t>发生涉及基金申购、赎回事项调整或潜在影响投资者赎回等重大事项时；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bCs/>
          <w:kern w:val="0"/>
          <w:sz w:val="24"/>
          <w:szCs w:val="24"/>
        </w:rPr>
        <w:t>2</w:t>
      </w:r>
      <w:r>
        <w:rPr>
          <w:rFonts w:ascii="仿宋" w:eastAsia="仿宋" w:hAnsi="仿宋" w:cs="宋体"/>
          <w:bCs/>
          <w:kern w:val="0"/>
          <w:sz w:val="24"/>
          <w:szCs w:val="24"/>
        </w:rPr>
        <w:t>3</w:t>
      </w:r>
      <w:r>
        <w:rPr>
          <w:rFonts w:ascii="仿宋" w:eastAsia="仿宋" w:hAnsi="仿宋" w:cs="宋体" w:hint="eastAsia"/>
          <w:bCs/>
          <w:kern w:val="0"/>
          <w:sz w:val="24"/>
          <w:szCs w:val="24"/>
        </w:rPr>
        <w:t>、基金管理人采用摆动定价机制</w:t>
      </w:r>
      <w:r w:rsidRPr="00F11DCC">
        <w:rPr>
          <w:rFonts w:ascii="仿宋" w:eastAsia="仿宋" w:hAnsi="仿宋" w:cs="宋体" w:hint="eastAsia"/>
          <w:bCs/>
          <w:kern w:val="0"/>
          <w:sz w:val="24"/>
          <w:szCs w:val="24"/>
        </w:rPr>
        <w:t>进行估值</w:t>
      </w:r>
      <w:r>
        <w:rPr>
          <w:rFonts w:ascii="仿宋" w:eastAsia="仿宋" w:hAnsi="仿宋" w:cs="宋体" w:hint="eastAsia"/>
          <w:bCs/>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4</w:t>
      </w:r>
      <w:r>
        <w:rPr>
          <w:rFonts w:ascii="仿宋" w:eastAsia="仿宋" w:hAnsi="仿宋" w:cs="宋体" w:hint="eastAsia"/>
          <w:kern w:val="0"/>
          <w:sz w:val="24"/>
          <w:szCs w:val="24"/>
        </w:rPr>
        <w:t>、基金信息披露义务人认为可能对基金份额持有人权益或者基金份额的价格产生重大影响的其他事项或中国证监会规定和基金合同约定的其他事项。</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（六）澄清公告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E45E2B" w:rsidRPr="00F11DCC"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w:t>
      </w:r>
      <w:r>
        <w:rPr>
          <w:rFonts w:ascii="仿宋" w:eastAsia="仿宋" w:hAnsi="仿宋" w:cs="宋体" w:hint="eastAsia"/>
          <w:kern w:val="0"/>
          <w:sz w:val="24"/>
          <w:szCs w:val="24"/>
        </w:rPr>
        <w:t>七</w:t>
      </w:r>
      <w:r w:rsidRPr="00F11DCC">
        <w:rPr>
          <w:rFonts w:ascii="仿宋" w:eastAsia="仿宋" w:hAnsi="仿宋" w:cs="宋体" w:hint="eastAsia"/>
          <w:kern w:val="0"/>
          <w:sz w:val="24"/>
          <w:szCs w:val="24"/>
        </w:rPr>
        <w:t>）清算报告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F11DCC">
        <w:rPr>
          <w:rFonts w:ascii="仿宋" w:eastAsia="仿宋" w:hAnsi="仿宋" w:cs="宋体" w:hint="eastAsia"/>
          <w:kern w:val="0"/>
          <w:sz w:val="24"/>
          <w:szCs w:val="24"/>
        </w:rPr>
        <w:t>基金合同终止情形发生后，基金管理人应当依法组织基金财产清算小组对基金财产进行清算并作出清算报告。基金财产清算小组应当将清算报告登载在规定网站上，并将清算报告提示性公告登载在规定报刊上。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（八）基金份额持有人大会决议</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基金份额持有人大会决定的事项，应当依法报中国证监会备案，并予以公告。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九）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基金管理人应当在季度报告、中期报告、年度报告等定期报告和招募说明书（更新）等文件中披露国债期货交易情况，包括交易政策、持仓情况、损益情况、风险指标等，并充分揭示国债期货交易对本基金总体风险的影响以及是否符合既定的交易政策和交易目标。</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（十一）</w:t>
      </w:r>
      <w:r w:rsidRPr="00F11DCC">
        <w:rPr>
          <w:rFonts w:ascii="仿宋" w:eastAsia="仿宋" w:hAnsi="仿宋" w:cs="宋体" w:hint="eastAsia"/>
          <w:kern w:val="0"/>
          <w:sz w:val="24"/>
          <w:szCs w:val="24"/>
        </w:rPr>
        <w:t>基金管理人应当在</w:t>
      </w:r>
      <w:r>
        <w:rPr>
          <w:rFonts w:ascii="仿宋" w:eastAsia="仿宋" w:hAnsi="仿宋" w:cs="宋体" w:hint="eastAsia"/>
          <w:kern w:val="0"/>
          <w:sz w:val="24"/>
          <w:szCs w:val="24"/>
        </w:rPr>
        <w:t>基金</w:t>
      </w:r>
      <w:r w:rsidRPr="00F11DCC">
        <w:rPr>
          <w:rFonts w:ascii="仿宋" w:eastAsia="仿宋" w:hAnsi="仿宋" w:cs="宋体" w:hint="eastAsia"/>
          <w:kern w:val="0"/>
          <w:sz w:val="24"/>
          <w:szCs w:val="24"/>
        </w:rPr>
        <w:t>定期信息披露文件中披露股票期权交易情况，包括</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政策、持仓情况、损益情况、风险指标、估值方法等，并充分揭示股票期权交易对本基金总体风险的影响以及是否符合既定的</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政策和</w:t>
      </w:r>
      <w:r>
        <w:rPr>
          <w:rFonts w:ascii="仿宋" w:eastAsia="仿宋" w:hAnsi="仿宋" w:cs="宋体" w:hint="eastAsia"/>
          <w:kern w:val="0"/>
          <w:sz w:val="24"/>
          <w:szCs w:val="24"/>
        </w:rPr>
        <w:t>交易</w:t>
      </w:r>
      <w:r w:rsidRPr="00F11DCC">
        <w:rPr>
          <w:rFonts w:ascii="仿宋" w:eastAsia="仿宋" w:hAnsi="仿宋" w:cs="宋体" w:hint="eastAsia"/>
          <w:kern w:val="0"/>
          <w:sz w:val="24"/>
          <w:szCs w:val="24"/>
        </w:rPr>
        <w:t>目标。</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kern w:val="0"/>
          <w:sz w:val="24"/>
          <w:szCs w:val="24"/>
        </w:rPr>
        <w:t>（十二）</w:t>
      </w:r>
      <w:r>
        <w:rPr>
          <w:rFonts w:ascii="仿宋" w:eastAsia="仿宋" w:hAnsi="仿宋" w:cs="宋体" w:hint="eastAsia"/>
          <w:bCs/>
          <w:kern w:val="0"/>
          <w:sz w:val="24"/>
          <w:szCs w:val="24"/>
        </w:rPr>
        <w:t>基金管理人应在基金</w:t>
      </w:r>
      <w:r>
        <w:rPr>
          <w:rFonts w:ascii="仿宋" w:eastAsia="仿宋" w:hAnsi="仿宋" w:cs="宋体" w:hint="eastAsia"/>
          <w:kern w:val="0"/>
          <w:sz w:val="24"/>
          <w:szCs w:val="24"/>
        </w:rPr>
        <w:t>中期报告、年度报告</w:t>
      </w:r>
      <w:r>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（十三）基金应当在季度报告、中期报告、年度报告等定期报告和招募说明书（更新）等文件中披露本基金参与港股通交易的相关情况。</w:t>
      </w:r>
    </w:p>
    <w:p w:rsidR="00E45E2B" w:rsidRDefault="00E45E2B" w:rsidP="00E45E2B">
      <w:pPr>
        <w:autoSpaceDE w:val="0"/>
        <w:autoSpaceDN w:val="0"/>
        <w:adjustRightInd w:val="0"/>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（十四）</w:t>
      </w:r>
      <w:r>
        <w:rPr>
          <w:rFonts w:ascii="仿宋" w:eastAsia="仿宋" w:hAnsi="仿宋" w:cs="宋体"/>
          <w:bCs/>
          <w:kern w:val="0"/>
          <w:sz w:val="24"/>
          <w:szCs w:val="24"/>
        </w:rPr>
        <w:t>基金管理</w:t>
      </w:r>
      <w:r>
        <w:rPr>
          <w:rFonts w:ascii="仿宋" w:eastAsia="仿宋" w:hAnsi="仿宋" w:cs="宋体" w:hint="eastAsia"/>
          <w:bCs/>
          <w:kern w:val="0"/>
          <w:sz w:val="24"/>
          <w:szCs w:val="24"/>
        </w:rPr>
        <w:t>人</w:t>
      </w:r>
      <w:r>
        <w:rPr>
          <w:rFonts w:ascii="仿宋" w:eastAsia="仿宋" w:hAnsi="仿宋" w:cs="宋体"/>
          <w:bCs/>
          <w:kern w:val="0"/>
          <w:sz w:val="24"/>
          <w:szCs w:val="24"/>
        </w:rPr>
        <w:t>应在基金投资非公开发行股票后两个交易日内, 在中国证监会规定媒介披露所投资非公开发行股票的名称、数量、总成本、账面价值, 以及总成本和账面价值占基金资产净值的比例、锁定期等信息。</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（十五）基金管理人应当在季度报告、中期报告、年度报告等定期报告和招募说明书（更新）等文件中披露</w:t>
      </w:r>
      <w:r w:rsidRPr="0014161D">
        <w:rPr>
          <w:rFonts w:ascii="仿宋" w:eastAsia="仿宋" w:hAnsi="仿宋" w:cs="宋体" w:hint="eastAsia"/>
          <w:bCs/>
          <w:kern w:val="0"/>
          <w:sz w:val="24"/>
          <w:szCs w:val="24"/>
        </w:rPr>
        <w:t>本基金参与融资业务情况，包括投资策略、业务开展情况、损益情况、风险及其管理情况等。</w:t>
      </w:r>
    </w:p>
    <w:p w:rsidR="00E45E2B" w:rsidRPr="00AD7D05"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（十</w:t>
      </w:r>
      <w:r>
        <w:rPr>
          <w:rFonts w:ascii="仿宋" w:eastAsia="仿宋" w:hAnsi="仿宋" w:cs="宋体" w:hint="eastAsia"/>
          <w:bCs/>
          <w:kern w:val="0"/>
          <w:sz w:val="24"/>
          <w:szCs w:val="24"/>
        </w:rPr>
        <w:t>六</w:t>
      </w:r>
      <w:r w:rsidRPr="00AD7D05">
        <w:rPr>
          <w:rFonts w:ascii="仿宋" w:eastAsia="仿宋" w:hAnsi="仿宋" w:cs="宋体" w:hint="eastAsia"/>
          <w:bCs/>
          <w:kern w:val="0"/>
          <w:sz w:val="24"/>
          <w:szCs w:val="24"/>
        </w:rPr>
        <w:t>）信用衍生品的投资情况</w:t>
      </w:r>
    </w:p>
    <w:p w:rsidR="00E45E2B"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AD7D05">
        <w:rPr>
          <w:rFonts w:ascii="仿宋" w:eastAsia="仿宋" w:hAnsi="仿宋" w:cs="宋体" w:hint="eastAsia"/>
          <w:bCs/>
          <w:kern w:val="0"/>
          <w:sz w:val="24"/>
          <w:szCs w:val="24"/>
        </w:rPr>
        <w:t>基金管理人应当在定期报告和招募说明书（更新）等文件中详细披露信用衍生品的投资情况，包括投资策略、持仓情况等，并充分揭示投资信用衍生品对基金总体风险的影响，以及是否符合既定的投资目标及策略。</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Pr>
          <w:rFonts w:ascii="仿宋" w:eastAsia="仿宋" w:hAnsi="仿宋" w:cs="宋体" w:hint="eastAsia"/>
          <w:bCs/>
          <w:kern w:val="0"/>
          <w:sz w:val="24"/>
          <w:szCs w:val="24"/>
        </w:rPr>
        <w:t>（十</w:t>
      </w:r>
      <w:r>
        <w:rPr>
          <w:rFonts w:ascii="仿宋" w:eastAsia="仿宋" w:hAnsi="仿宋" w:cs="宋体" w:hint="eastAsia"/>
          <w:kern w:val="0"/>
          <w:sz w:val="24"/>
          <w:szCs w:val="24"/>
        </w:rPr>
        <w:t>七</w:t>
      </w:r>
      <w:r>
        <w:rPr>
          <w:rFonts w:ascii="仿宋" w:eastAsia="仿宋" w:hAnsi="仿宋" w:cs="宋体" w:hint="eastAsia"/>
          <w:bCs/>
          <w:kern w:val="0"/>
          <w:sz w:val="24"/>
          <w:szCs w:val="24"/>
        </w:rPr>
        <w:t>）</w:t>
      </w:r>
      <w:r w:rsidRPr="0014161D">
        <w:rPr>
          <w:rFonts w:ascii="仿宋" w:eastAsia="仿宋" w:hAnsi="仿宋" w:cs="宋体" w:hint="eastAsia"/>
          <w:bCs/>
          <w:kern w:val="0"/>
          <w:sz w:val="24"/>
          <w:szCs w:val="24"/>
        </w:rPr>
        <w:t>实施侧袋机制期间的信息披露</w:t>
      </w:r>
    </w:p>
    <w:p w:rsidR="00E45E2B" w:rsidRPr="0014161D" w:rsidRDefault="00E45E2B" w:rsidP="00E45E2B">
      <w:pPr>
        <w:widowControl/>
        <w:shd w:val="clear" w:color="auto" w:fill="FFFFFF"/>
        <w:spacing w:line="360" w:lineRule="auto"/>
        <w:ind w:firstLine="420"/>
        <w:jc w:val="left"/>
        <w:rPr>
          <w:rFonts w:ascii="仿宋" w:eastAsia="仿宋" w:hAnsi="仿宋" w:cs="宋体"/>
          <w:bCs/>
          <w:kern w:val="0"/>
          <w:sz w:val="24"/>
          <w:szCs w:val="24"/>
        </w:rPr>
      </w:pPr>
      <w:r w:rsidRPr="0014161D">
        <w:rPr>
          <w:rFonts w:ascii="仿宋" w:eastAsia="仿宋" w:hAnsi="仿宋" w:cs="宋体" w:hint="eastAsia"/>
          <w:bCs/>
          <w:kern w:val="0"/>
          <w:sz w:val="24"/>
          <w:szCs w:val="24"/>
        </w:rPr>
        <w:t>本基金实施侧袋机制的，相关信息披露义务人应当根据法律法规、基金合同和招募说明书的规定进行信息披露，详见招募说明书的规定。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（十八）中国证监会规定的其他信息。</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六、信息披露事务管理</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基金管理人、基金托管人应当建立健全信息披露管理制度，指定专门部门及高级管理人员负责管理信息披露事务。</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基金信息披露义务人公开披露基金信息，应当符合中国证监会相关基金信息披露内容与格式准则等法规的规定。</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09" w:name="OLE_LINK8"/>
      <w:r>
        <w:rPr>
          <w:rFonts w:ascii="仿宋" w:eastAsia="仿宋" w:hAnsi="仿宋" w:cs="宋体" w:hint="eastAsia"/>
          <w:kern w:val="0"/>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bookmarkEnd w:id="209"/>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14161D">
        <w:rPr>
          <w:rFonts w:ascii="仿宋" w:eastAsia="仿宋" w:hAnsi="仿宋" w:cs="宋体" w:hint="eastAsia"/>
          <w:kern w:val="0"/>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为基金信息披露义务人公开披露的基金信息出具审计报告、法律意见书的专业机构，应当制作工作底稿，并将相关档案至少保存到《基金合同》终止后10年。</w:t>
      </w:r>
    </w:p>
    <w:p w:rsidR="00E45E2B"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r>
        <w:rPr>
          <w:rFonts w:ascii="仿宋" w:eastAsia="仿宋" w:hAnsi="仿宋" w:cs="宋体" w:hint="eastAsia"/>
          <w:b/>
          <w:kern w:val="0"/>
          <w:sz w:val="24"/>
          <w:szCs w:val="24"/>
        </w:rPr>
        <w:t>七、信息披露文件的存放与查阅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bookmarkStart w:id="210" w:name="OLE_LINK12"/>
      <w:bookmarkStart w:id="211" w:name="OLE_LINK10"/>
      <w:r>
        <w:rPr>
          <w:rFonts w:ascii="仿宋" w:eastAsia="仿宋" w:hAnsi="仿宋" w:cs="宋体" w:hint="eastAsia"/>
          <w:kern w:val="0"/>
          <w:sz w:val="24"/>
          <w:szCs w:val="24"/>
        </w:rPr>
        <w:t>依法必须披露的信息发布后，基金管理人、基金托管人应当按照相关法律法规规定将信息置备于各自住所，供社会公众查阅、复制</w:t>
      </w:r>
      <w:bookmarkEnd w:id="210"/>
      <w:r>
        <w:rPr>
          <w:rFonts w:ascii="仿宋" w:eastAsia="仿宋" w:hAnsi="仿宋" w:cs="宋体" w:hint="eastAsia"/>
          <w:kern w:val="0"/>
          <w:sz w:val="24"/>
          <w:szCs w:val="24"/>
        </w:rPr>
        <w:t>。</w:t>
      </w:r>
      <w:bookmarkEnd w:id="211"/>
    </w:p>
    <w:p w:rsidR="00E45E2B" w:rsidRPr="002F6703" w:rsidRDefault="00E45E2B" w:rsidP="00E45E2B">
      <w:pPr>
        <w:autoSpaceDE w:val="0"/>
        <w:autoSpaceDN w:val="0"/>
        <w:adjustRightInd w:val="0"/>
        <w:spacing w:line="360" w:lineRule="auto"/>
        <w:ind w:firstLine="420"/>
        <w:jc w:val="left"/>
        <w:rPr>
          <w:rFonts w:ascii="仿宋" w:eastAsia="仿宋" w:hAnsi="仿宋" w:cs="宋体"/>
          <w:b/>
          <w:kern w:val="0"/>
          <w:sz w:val="24"/>
          <w:szCs w:val="24"/>
        </w:rPr>
      </w:pPr>
      <w:bookmarkStart w:id="212" w:name="_Toc459291257"/>
      <w:r w:rsidRPr="002F6703">
        <w:rPr>
          <w:rFonts w:ascii="仿宋" w:eastAsia="仿宋" w:hAnsi="仿宋" w:cs="宋体" w:hint="eastAsia"/>
          <w:b/>
          <w:kern w:val="0"/>
          <w:sz w:val="24"/>
          <w:szCs w:val="24"/>
        </w:rPr>
        <w:t>八、当出现下述情况时，可暂停或延迟披露基金相关信息：</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1、不可抗力；</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2、发生暂停估值的情形；</w:t>
      </w:r>
    </w:p>
    <w:p w:rsidR="00E45E2B" w:rsidRPr="002F6703"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2F6703">
        <w:rPr>
          <w:rFonts w:ascii="仿宋" w:eastAsia="仿宋" w:hAnsi="仿宋" w:cs="宋体" w:hint="eastAsia"/>
          <w:kern w:val="0"/>
          <w:sz w:val="24"/>
          <w:szCs w:val="24"/>
        </w:rPr>
        <w:t>3、法律法规、基金合同或中国证监会规定的</w:t>
      </w:r>
      <w:r>
        <w:rPr>
          <w:rFonts w:ascii="仿宋" w:eastAsia="仿宋" w:hAnsi="仿宋" w:cs="宋体" w:hint="eastAsia"/>
          <w:kern w:val="0"/>
          <w:sz w:val="24"/>
          <w:szCs w:val="24"/>
        </w:rPr>
        <w:t>其他</w:t>
      </w:r>
      <w:r w:rsidRPr="002F6703">
        <w:rPr>
          <w:rFonts w:ascii="仿宋" w:eastAsia="仿宋" w:hAnsi="仿宋" w:cs="宋体" w:hint="eastAsia"/>
          <w:kern w:val="0"/>
          <w:sz w:val="24"/>
          <w:szCs w:val="24"/>
        </w:rPr>
        <w:t>情况。</w:t>
      </w:r>
    </w:p>
    <w:p w:rsidR="00E45E2B" w:rsidRDefault="00E45E2B" w:rsidP="004F6C89">
      <w:pPr>
        <w:pStyle w:val="1"/>
        <w:spacing w:line="360" w:lineRule="auto"/>
        <w:jc w:val="center"/>
        <w:rPr>
          <w:kern w:val="0"/>
        </w:rPr>
      </w:pPr>
      <w:r w:rsidRPr="00AF382F">
        <w:rPr>
          <w:b w:val="0"/>
          <w:kern w:val="0"/>
        </w:rPr>
        <w:br w:type="page"/>
      </w:r>
      <w:bookmarkStart w:id="213" w:name="_Toc377998634"/>
      <w:bookmarkStart w:id="214" w:name="_Toc169163879"/>
      <w:r w:rsidRPr="004F6C89">
        <w:rPr>
          <w:rFonts w:eastAsia="仿宋" w:hint="eastAsia"/>
          <w:sz w:val="30"/>
          <w:szCs w:val="30"/>
          <w:lang w:val="zh-CN"/>
        </w:rPr>
        <w:t>第十九部分</w:t>
      </w:r>
      <w:r w:rsidRPr="004F6C89">
        <w:rPr>
          <w:rFonts w:eastAsia="仿宋" w:hint="eastAsia"/>
          <w:sz w:val="30"/>
          <w:szCs w:val="30"/>
          <w:lang w:val="zh-CN"/>
        </w:rPr>
        <w:t xml:space="preserve">    </w:t>
      </w:r>
      <w:r w:rsidRPr="004F6C89">
        <w:rPr>
          <w:rFonts w:eastAsia="仿宋" w:hint="eastAsia"/>
          <w:sz w:val="30"/>
          <w:szCs w:val="30"/>
          <w:lang w:val="zh-CN"/>
        </w:rPr>
        <w:t>基金合同的变更、终止与基金财产的清算</w:t>
      </w:r>
      <w:bookmarkEnd w:id="212"/>
      <w:bookmarkEnd w:id="213"/>
      <w:bookmarkEnd w:id="214"/>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5" w:name="_Toc79392639"/>
      <w:r>
        <w:rPr>
          <w:rFonts w:ascii="仿宋" w:eastAsia="仿宋" w:hAnsi="仿宋" w:cs="宋体" w:hint="eastAsia"/>
          <w:b/>
          <w:bCs/>
          <w:kern w:val="0"/>
          <w:sz w:val="24"/>
          <w:szCs w:val="24"/>
        </w:rPr>
        <w:t>一、《基金合同》的变更</w:t>
      </w:r>
      <w:bookmarkEnd w:id="21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kern w:val="0"/>
          <w:sz w:val="24"/>
          <w:szCs w:val="24"/>
        </w:rPr>
        <w:t>1、变更基金合同</w:t>
      </w:r>
      <w:r>
        <w:rPr>
          <w:rFonts w:ascii="仿宋" w:eastAsia="仿宋" w:hAnsi="仿宋" w:cs="宋体" w:hint="eastAsia"/>
          <w:kern w:val="0"/>
          <w:sz w:val="24"/>
          <w:szCs w:val="24"/>
        </w:rPr>
        <w:t>涉及</w:t>
      </w:r>
      <w:r>
        <w:rPr>
          <w:rFonts w:ascii="仿宋" w:eastAsia="仿宋" w:hAnsi="仿宋" w:cs="宋体"/>
          <w:kern w:val="0"/>
          <w:sz w:val="24"/>
          <w:szCs w:val="24"/>
        </w:rPr>
        <w:t>法律法规规定或本</w:t>
      </w:r>
      <w:r>
        <w:rPr>
          <w:rFonts w:ascii="仿宋" w:eastAsia="仿宋" w:hAnsi="仿宋" w:cs="宋体" w:hint="eastAsia"/>
          <w:kern w:val="0"/>
          <w:sz w:val="24"/>
          <w:szCs w:val="24"/>
        </w:rPr>
        <w:t>基金</w:t>
      </w:r>
      <w:r>
        <w:rPr>
          <w:rFonts w:ascii="仿宋" w:eastAsia="仿宋" w:hAnsi="仿宋" w:cs="宋体"/>
          <w:kern w:val="0"/>
          <w:sz w:val="24"/>
          <w:szCs w:val="24"/>
        </w:rPr>
        <w:t>合同约定应经基金份额持有人大会决议通过的事项的，应召开基金份额持有人大会决议通过。对于</w:t>
      </w:r>
      <w:r w:rsidRPr="001B517C">
        <w:rPr>
          <w:rFonts w:ascii="仿宋" w:eastAsia="仿宋" w:hAnsi="仿宋" w:cs="宋体" w:hint="eastAsia"/>
          <w:kern w:val="0"/>
          <w:sz w:val="24"/>
          <w:szCs w:val="24"/>
        </w:rPr>
        <w:t>法律法规规定和基金合同约定</w:t>
      </w:r>
      <w:r>
        <w:rPr>
          <w:rFonts w:ascii="仿宋" w:eastAsia="仿宋" w:hAnsi="仿宋" w:cs="宋体"/>
          <w:kern w:val="0"/>
          <w:sz w:val="24"/>
          <w:szCs w:val="24"/>
        </w:rPr>
        <w:t>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、关于《基金合同》变更的基金份额持有人大会决议自生效后方可执行，自决议生效后</w:t>
      </w:r>
      <w:r>
        <w:rPr>
          <w:rFonts w:ascii="仿宋" w:eastAsia="仿宋" w:hAnsi="仿宋" w:cs="宋体"/>
          <w:kern w:val="0"/>
          <w:sz w:val="24"/>
          <w:szCs w:val="24"/>
        </w:rPr>
        <w:t>2</w:t>
      </w:r>
      <w:r>
        <w:rPr>
          <w:rFonts w:ascii="仿宋" w:eastAsia="仿宋" w:hAnsi="仿宋" w:cs="宋体" w:hint="eastAsia"/>
          <w:kern w:val="0"/>
          <w:sz w:val="24"/>
          <w:szCs w:val="24"/>
        </w:rPr>
        <w:t>日内在规定媒介公告。</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二、《基金合同》的终止事由</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有下列情形之一的</w:t>
      </w:r>
      <w:r w:rsidRPr="001B517C">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1、基金份额持有人大会决定终止的；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3、《基金合同》约定的其他情形；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4、相关法律法规和中国证监会规定的其他情况。</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三、基金财产的清算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、基金财产清算程序：</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）《基金合同》终止情形出现时，由基金财产清算小组统一接管基金；</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）对基金财产和债权债务进行清理和确认；</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）对基金财产进行估值和变现；</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）制作清算报告；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）聘请会计师事务所对清算报告进行外部审计，聘请律师事务所对清算报告出具法律意见书；</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）将清算报告报中国证监会备案并公告；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）对基金剩余财产进行分配。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四、清算费用</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五、基金财产清算剩余资产的分配</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r>
        <w:rPr>
          <w:rFonts w:ascii="仿宋" w:eastAsia="仿宋" w:hAnsi="仿宋" w:cs="宋体" w:hint="eastAsia"/>
          <w:b/>
          <w:bCs/>
          <w:kern w:val="0"/>
          <w:sz w:val="24"/>
          <w:szCs w:val="24"/>
        </w:rPr>
        <w:t>六、基金财产清算的公告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w:t>
      </w:r>
      <w:bookmarkStart w:id="216" w:name="OLE_LINK13"/>
      <w:r>
        <w:rPr>
          <w:rFonts w:ascii="仿宋" w:eastAsia="仿宋" w:hAnsi="仿宋" w:cs="宋体" w:hint="eastAsia"/>
          <w:kern w:val="0"/>
          <w:sz w:val="24"/>
          <w:szCs w:val="24"/>
        </w:rPr>
        <w:t>，基金财产清算小组应当将清算报告登载在规定网站上，并将清算报告提示性公告登载在规定报刊上</w:t>
      </w:r>
      <w:bookmarkEnd w:id="216"/>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b/>
          <w:bCs/>
          <w:kern w:val="0"/>
          <w:sz w:val="24"/>
          <w:szCs w:val="24"/>
        </w:rPr>
      </w:pPr>
      <w:bookmarkStart w:id="217" w:name="OLE_LINK27"/>
      <w:r>
        <w:rPr>
          <w:rFonts w:ascii="仿宋" w:eastAsia="仿宋" w:hAnsi="仿宋" w:cs="宋体" w:hint="eastAsia"/>
          <w:b/>
          <w:bCs/>
          <w:kern w:val="0"/>
          <w:sz w:val="24"/>
          <w:szCs w:val="24"/>
        </w:rPr>
        <w:t>七、基金财产清算账册及文件的保存</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基金财产清算账册及有关文件由基金托管人保存</w:t>
      </w:r>
      <w:bookmarkEnd w:id="217"/>
      <w:r>
        <w:rPr>
          <w:rFonts w:ascii="仿宋" w:eastAsia="仿宋" w:hAnsi="仿宋" w:cs="宋体" w:hint="eastAsia"/>
          <w:kern w:val="0"/>
          <w:sz w:val="24"/>
          <w:szCs w:val="24"/>
        </w:rPr>
        <w:t>，保存期限不少于法定最低期限。</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bookmarkStart w:id="218" w:name="_Toc48649720"/>
      <w:bookmarkStart w:id="219" w:name="_Toc123102467"/>
      <w:bookmarkStart w:id="220" w:name="_Toc98560365"/>
      <w:bookmarkStart w:id="221" w:name="_Toc123112248"/>
      <w:bookmarkStart w:id="222" w:name="_Toc79392641"/>
      <w:bookmarkStart w:id="223" w:name="_Toc123051466"/>
      <w:r>
        <w:rPr>
          <w:kern w:val="0"/>
        </w:rPr>
        <w:br w:type="page"/>
      </w:r>
      <w:bookmarkStart w:id="224" w:name="_Toc9708"/>
      <w:bookmarkStart w:id="225" w:name="_Toc7367"/>
      <w:bookmarkStart w:id="226" w:name="_Toc23166"/>
      <w:bookmarkStart w:id="227" w:name="_Toc13398"/>
      <w:bookmarkStart w:id="228" w:name="_Toc12191"/>
      <w:bookmarkStart w:id="229" w:name="_Toc139991750"/>
      <w:bookmarkStart w:id="230" w:name="_Toc8710"/>
      <w:bookmarkStart w:id="231" w:name="_Toc21240"/>
      <w:bookmarkStart w:id="232" w:name="_Toc377998635"/>
      <w:bookmarkStart w:id="233" w:name="_Toc23022"/>
      <w:bookmarkStart w:id="234" w:name="_Toc30645"/>
      <w:bookmarkStart w:id="235" w:name="_Toc141703901"/>
      <w:bookmarkStart w:id="236" w:name="_Toc28549"/>
      <w:bookmarkStart w:id="237" w:name="_Toc27058"/>
      <w:bookmarkStart w:id="238" w:name="_Toc459291258"/>
      <w:bookmarkStart w:id="239" w:name="_Toc169163880"/>
      <w:r w:rsidRPr="004F6C89">
        <w:rPr>
          <w:rFonts w:eastAsia="仿宋" w:hint="eastAsia"/>
          <w:sz w:val="30"/>
          <w:szCs w:val="30"/>
          <w:lang w:val="zh-CN"/>
        </w:rPr>
        <w:t>第二十部分</w:t>
      </w:r>
      <w:r w:rsidRPr="004F6C89">
        <w:rPr>
          <w:rFonts w:eastAsia="仿宋" w:hint="eastAsia"/>
          <w:sz w:val="30"/>
          <w:szCs w:val="30"/>
          <w:lang w:val="zh-CN"/>
        </w:rPr>
        <w:t xml:space="preserve">    </w:t>
      </w:r>
      <w:r w:rsidRPr="004F6C89">
        <w:rPr>
          <w:rFonts w:eastAsia="仿宋" w:hint="eastAsia"/>
          <w:sz w:val="30"/>
          <w:szCs w:val="30"/>
          <w:lang w:val="zh-CN"/>
        </w:rPr>
        <w:t>违约责任</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hint="eastAsia"/>
          <w:color w:val="auto"/>
        </w:rPr>
        <w:t>一、基金管理人、基金托管人在履行各自职责的过程中，违反《基金法》</w:t>
      </w:r>
      <w:r>
        <w:rPr>
          <w:rFonts w:ascii="仿宋" w:eastAsia="仿宋" w:hAnsi="仿宋" w:hint="eastAsia"/>
          <w:color w:val="auto"/>
        </w:rPr>
        <w:t>等法律法规的</w:t>
      </w:r>
      <w:r w:rsidRPr="00AF382F">
        <w:rPr>
          <w:rFonts w:ascii="仿宋" w:eastAsia="仿宋" w:hAnsi="仿宋" w:hint="eastAsia"/>
          <w:color w:val="auto"/>
        </w:rPr>
        <w:t>规定或者</w:t>
      </w:r>
      <w:r>
        <w:rPr>
          <w:rFonts w:ascii="仿宋" w:eastAsia="仿宋" w:hAnsi="仿宋" w:hint="eastAsia"/>
          <w:color w:val="auto"/>
        </w:rPr>
        <w:t>《基金合同》</w:t>
      </w:r>
      <w:r w:rsidRPr="00AF382F">
        <w:rPr>
          <w:rFonts w:ascii="仿宋" w:eastAsia="仿宋" w:hAnsi="仿宋" w:hint="eastAsia"/>
          <w:color w:val="auto"/>
        </w:rPr>
        <w:t>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1.不可抗力；</w:t>
      </w:r>
    </w:p>
    <w:p w:rsidR="00E45E2B" w:rsidRPr="00AF382F" w:rsidRDefault="00E45E2B" w:rsidP="00E45E2B">
      <w:pPr>
        <w:pStyle w:val="Default"/>
        <w:spacing w:line="360" w:lineRule="auto"/>
        <w:ind w:firstLine="420"/>
        <w:rPr>
          <w:rFonts w:ascii="仿宋" w:eastAsia="仿宋" w:hAnsi="仿宋"/>
          <w:color w:val="auto"/>
        </w:rPr>
      </w:pPr>
      <w:r w:rsidRPr="00AF382F">
        <w:rPr>
          <w:rFonts w:ascii="仿宋" w:eastAsia="仿宋" w:hAnsi="仿宋"/>
          <w:color w:val="auto"/>
        </w:rPr>
        <w:t>2.基金管理人和/或基金托管人按照当时有效的法律法规或中国证监会</w:t>
      </w:r>
      <w:r>
        <w:rPr>
          <w:rFonts w:ascii="仿宋" w:eastAsia="仿宋" w:hAnsi="仿宋" w:hint="eastAsia"/>
          <w:color w:val="auto"/>
        </w:rPr>
        <w:t>等监管机构</w:t>
      </w:r>
      <w:r w:rsidRPr="00AF382F">
        <w:rPr>
          <w:rFonts w:ascii="仿宋" w:eastAsia="仿宋" w:hAnsi="仿宋" w:hint="eastAsia"/>
          <w:color w:val="auto"/>
        </w:rPr>
        <w:t>的规定作为或不作为而造成的损失等；</w:t>
      </w:r>
    </w:p>
    <w:p w:rsidR="00E45E2B" w:rsidRPr="00D94913" w:rsidRDefault="00E45E2B" w:rsidP="00E45E2B">
      <w:pPr>
        <w:pStyle w:val="Default"/>
        <w:spacing w:line="360" w:lineRule="auto"/>
        <w:ind w:firstLine="420"/>
        <w:jc w:val="both"/>
        <w:rPr>
          <w:rFonts w:ascii="仿宋" w:eastAsia="仿宋" w:hAnsi="仿宋"/>
          <w:color w:val="auto"/>
        </w:rPr>
      </w:pPr>
      <w:r w:rsidRPr="00AF382F">
        <w:rPr>
          <w:rFonts w:ascii="仿宋" w:eastAsia="仿宋" w:hAnsi="仿宋"/>
          <w:color w:val="auto"/>
        </w:rPr>
        <w:t>3.基金管理人由于按照基金合同规定的投资原则行使或不行使投资权造成的损失等。</w:t>
      </w:r>
    </w:p>
    <w:p w:rsidR="00E45E2B" w:rsidRPr="00AF382F" w:rsidRDefault="00E45E2B" w:rsidP="00E45E2B">
      <w:pPr>
        <w:pStyle w:val="Default"/>
        <w:spacing w:before="140" w:after="140" w:line="360" w:lineRule="auto"/>
        <w:ind w:firstLine="420"/>
        <w:rPr>
          <w:rFonts w:ascii="仿宋" w:eastAsia="仿宋" w:hAnsi="仿宋"/>
          <w:color w:val="auto"/>
        </w:rPr>
      </w:pPr>
      <w:r w:rsidRPr="00AF382F">
        <w:rPr>
          <w:rFonts w:ascii="仿宋" w:eastAsia="仿宋" w:hAnsi="仿宋" w:hint="eastAsia"/>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45E2B" w:rsidRPr="00AF382F"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AF382F">
        <w:rPr>
          <w:rFonts w:ascii="仿宋" w:eastAsia="仿宋" w:hAnsi="仿宋" w:cs="宋体" w:hint="eastAsia"/>
          <w:kern w:val="0"/>
          <w:sz w:val="24"/>
          <w:szCs w:val="24"/>
        </w:rPr>
        <w:t>三、由于基金管理人、基金托管人不可控制的因素导致业务出现差错，基金管理人和基金托管人虽然已经采取必要、适当、合理的措施进行检查，但是未能发现错误</w:t>
      </w:r>
      <w:r w:rsidRPr="00151C4B">
        <w:rPr>
          <w:rFonts w:ascii="仿宋" w:eastAsia="仿宋" w:hAnsi="仿宋" w:cs="宋体" w:hint="eastAsia"/>
          <w:kern w:val="0"/>
          <w:sz w:val="24"/>
          <w:szCs w:val="24"/>
        </w:rPr>
        <w:t>或因前述原因未能避免或更正错误</w:t>
      </w:r>
      <w:r w:rsidRPr="00AF382F">
        <w:rPr>
          <w:rFonts w:ascii="仿宋" w:eastAsia="仿宋" w:hAnsi="仿宋" w:cs="宋体" w:hint="eastAsia"/>
          <w:kern w:val="0"/>
          <w:sz w:val="24"/>
          <w:szCs w:val="24"/>
        </w:rPr>
        <w:t>的，由此造成基金财产或投资人损失，基金管理人和基金托管人免除赔偿责任。但是基金管理人和基金托管人应积极采取必要的措施消除或减轻由此造成的影响。</w:t>
      </w: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40" w:name="_Toc377998636"/>
      <w:bookmarkStart w:id="241" w:name="_Toc459291259"/>
      <w:bookmarkStart w:id="242" w:name="_Toc169163881"/>
      <w:r w:rsidRPr="004F6C89">
        <w:rPr>
          <w:rFonts w:eastAsia="仿宋" w:hint="eastAsia"/>
          <w:sz w:val="30"/>
          <w:szCs w:val="30"/>
          <w:lang w:val="zh-CN"/>
        </w:rPr>
        <w:t>第二十一部分</w:t>
      </w:r>
      <w:r w:rsidRPr="004F6C89">
        <w:rPr>
          <w:rFonts w:eastAsia="仿宋" w:hint="eastAsia"/>
          <w:sz w:val="30"/>
          <w:szCs w:val="30"/>
          <w:lang w:val="zh-CN"/>
        </w:rPr>
        <w:t xml:space="preserve">    </w:t>
      </w:r>
      <w:r w:rsidRPr="004F6C89">
        <w:rPr>
          <w:rFonts w:eastAsia="仿宋" w:hint="eastAsia"/>
          <w:sz w:val="30"/>
          <w:szCs w:val="30"/>
          <w:lang w:val="zh-CN"/>
        </w:rPr>
        <w:t>争议的处理和适用的法律</w:t>
      </w:r>
      <w:bookmarkEnd w:id="240"/>
      <w:bookmarkEnd w:id="241"/>
      <w:bookmarkEnd w:id="242"/>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各方当事人同意，因《基金合同》而产生的或与《基金合同》有关的一切争议，如经友好协商、调解未能解决的，应提交</w:t>
      </w:r>
      <w:r w:rsidRPr="000F1DBA">
        <w:rPr>
          <w:rFonts w:ascii="仿宋" w:eastAsia="仿宋" w:hAnsi="仿宋" w:cs="宋体" w:hint="eastAsia"/>
          <w:kern w:val="0"/>
          <w:sz w:val="24"/>
          <w:szCs w:val="24"/>
        </w:rPr>
        <w:t>上海国际经济贸易仲裁委员会</w:t>
      </w:r>
      <w:r>
        <w:rPr>
          <w:rFonts w:ascii="仿宋" w:eastAsia="仿宋" w:hAnsi="仿宋" w:cs="宋体" w:hint="eastAsia"/>
          <w:kern w:val="0"/>
          <w:sz w:val="24"/>
          <w:szCs w:val="24"/>
        </w:rPr>
        <w:t>根据该会当时有效的仲裁规则进行仲裁，仲裁地点为上海市，仲裁裁决是终局性的并对各方当事人具有约束力，除非仲裁裁决另有决定，仲裁费由败诉方承担。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4B54FB">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p w:rsidR="00E45E2B" w:rsidRPr="004B54F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E45E2B">
      <w:pPr>
        <w:widowControl/>
        <w:jc w:val="left"/>
        <w:rPr>
          <w:rFonts w:ascii="仿宋" w:eastAsia="仿宋" w:hAnsi="仿宋" w:cs="宋体"/>
          <w:b/>
          <w:bCs/>
          <w:kern w:val="0"/>
          <w:sz w:val="30"/>
          <w:szCs w:val="30"/>
        </w:rPr>
      </w:pPr>
    </w:p>
    <w:p w:rsidR="00E45E2B" w:rsidRDefault="00E45E2B" w:rsidP="004F6C89">
      <w:pPr>
        <w:pStyle w:val="1"/>
        <w:spacing w:line="360" w:lineRule="auto"/>
        <w:jc w:val="center"/>
        <w:rPr>
          <w:kern w:val="0"/>
        </w:rPr>
      </w:pPr>
      <w:r>
        <w:rPr>
          <w:kern w:val="0"/>
        </w:rPr>
        <w:br w:type="page"/>
      </w:r>
      <w:bookmarkStart w:id="243" w:name="_Toc377998637"/>
      <w:bookmarkStart w:id="244" w:name="_Toc459291260"/>
      <w:bookmarkStart w:id="245" w:name="_Toc169163882"/>
      <w:r w:rsidRPr="004F6C89">
        <w:rPr>
          <w:rFonts w:eastAsia="仿宋" w:hint="eastAsia"/>
          <w:sz w:val="30"/>
          <w:szCs w:val="30"/>
          <w:lang w:val="zh-CN"/>
        </w:rPr>
        <w:t>第二十二部分</w:t>
      </w:r>
      <w:r w:rsidRPr="00B91502">
        <w:rPr>
          <w:rFonts w:eastAsia="仿宋" w:hint="eastAsia"/>
          <w:sz w:val="30"/>
          <w:szCs w:val="30"/>
        </w:rPr>
        <w:t xml:space="preserve">    </w:t>
      </w:r>
      <w:r w:rsidRPr="004F6C89">
        <w:rPr>
          <w:rFonts w:eastAsia="仿宋" w:hint="eastAsia"/>
          <w:sz w:val="30"/>
          <w:szCs w:val="30"/>
          <w:lang w:val="zh-CN"/>
        </w:rPr>
        <w:t>基金合同的效力</w:t>
      </w:r>
      <w:bookmarkEnd w:id="243"/>
      <w:bookmarkEnd w:id="244"/>
      <w:bookmarkEnd w:id="245"/>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《基金合同》是约定基金合同当事人之间权利义务关系的法律文件。</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、《基金合同》经基金管理人、基金托管人双方</w:t>
      </w:r>
      <w:r w:rsidRPr="006F66A3">
        <w:rPr>
          <w:rFonts w:ascii="仿宋" w:eastAsia="仿宋" w:hAnsi="仿宋" w:cs="宋体" w:hint="eastAsia"/>
          <w:kern w:val="0"/>
          <w:sz w:val="24"/>
          <w:szCs w:val="24"/>
        </w:rPr>
        <w:t>加盖公章</w:t>
      </w:r>
      <w:r>
        <w:rPr>
          <w:rFonts w:ascii="仿宋" w:eastAsia="仿宋" w:hAnsi="仿宋" w:cs="宋体" w:hint="eastAsia"/>
          <w:kern w:val="0"/>
          <w:sz w:val="24"/>
          <w:szCs w:val="24"/>
        </w:rPr>
        <w:t>、</w:t>
      </w:r>
      <w:r w:rsidRPr="006F66A3">
        <w:rPr>
          <w:rFonts w:ascii="仿宋" w:eastAsia="仿宋" w:hAnsi="仿宋" w:cs="宋体" w:hint="eastAsia"/>
          <w:kern w:val="0"/>
          <w:sz w:val="24"/>
          <w:szCs w:val="24"/>
        </w:rPr>
        <w:t>合同专用章</w:t>
      </w:r>
      <w:r>
        <w:rPr>
          <w:rFonts w:ascii="仿宋" w:eastAsia="仿宋" w:hAnsi="仿宋" w:cs="宋体" w:hint="eastAsia"/>
          <w:kern w:val="0"/>
          <w:sz w:val="24"/>
          <w:szCs w:val="24"/>
        </w:rPr>
        <w:t>或</w:t>
      </w:r>
      <w:r w:rsidRPr="00313836">
        <w:rPr>
          <w:rFonts w:ascii="仿宋" w:eastAsia="仿宋" w:hAnsi="仿宋" w:cs="宋体" w:hint="eastAsia"/>
          <w:kern w:val="0"/>
          <w:sz w:val="24"/>
          <w:szCs w:val="24"/>
        </w:rPr>
        <w:t>经授权的</w:t>
      </w:r>
      <w:r>
        <w:rPr>
          <w:rFonts w:ascii="仿宋" w:eastAsia="仿宋" w:hAnsi="仿宋" w:cs="宋体" w:hint="eastAsia"/>
          <w:kern w:val="0"/>
          <w:sz w:val="24"/>
          <w:szCs w:val="24"/>
        </w:rPr>
        <w:t>业务专用章以及双方法定代表人或授权代表签字或盖章，</w:t>
      </w:r>
      <w:r w:rsidRPr="000F4F48">
        <w:rPr>
          <w:rFonts w:ascii="仿宋" w:eastAsia="仿宋" w:hAnsi="仿宋" w:cs="宋体" w:hint="eastAsia"/>
          <w:kern w:val="0"/>
          <w:sz w:val="24"/>
          <w:szCs w:val="24"/>
        </w:rPr>
        <w:t>经 202</w:t>
      </w:r>
      <w:r>
        <w:rPr>
          <w:rFonts w:ascii="仿宋" w:eastAsia="仿宋" w:hAnsi="仿宋" w:cs="宋体" w:hint="eastAsia"/>
          <w:kern w:val="0"/>
          <w:sz w:val="24"/>
          <w:szCs w:val="24"/>
        </w:rPr>
        <w:t>x</w:t>
      </w:r>
      <w:r w:rsidRPr="000F4F48">
        <w:rPr>
          <w:rFonts w:ascii="仿宋" w:eastAsia="仿宋" w:hAnsi="仿宋" w:cs="宋体" w:hint="eastAsia"/>
          <w:kern w:val="0"/>
          <w:sz w:val="24"/>
          <w:szCs w:val="24"/>
        </w:rPr>
        <w:t xml:space="preserve"> 年 xx 月 xx 日</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定期开放混合型证券投资基金基金份额持有人大会决议通过，并报中国证监会备案。自 202</w:t>
      </w:r>
      <w:r>
        <w:rPr>
          <w:rFonts w:ascii="仿宋" w:eastAsia="仿宋" w:hAnsi="仿宋" w:cs="宋体"/>
          <w:kern w:val="0"/>
          <w:sz w:val="24"/>
          <w:szCs w:val="24"/>
        </w:rPr>
        <w:t>X</w:t>
      </w:r>
      <w:r w:rsidRPr="000F4F48">
        <w:rPr>
          <w:rFonts w:ascii="仿宋" w:eastAsia="仿宋" w:hAnsi="仿宋" w:cs="宋体" w:hint="eastAsia"/>
          <w:kern w:val="0"/>
          <w:sz w:val="24"/>
          <w:szCs w:val="24"/>
        </w:rPr>
        <w:t xml:space="preserve"> 年 xx 月 xx 日起，《基金合同》生效，原《</w:t>
      </w:r>
      <w:r>
        <w:rPr>
          <w:rFonts w:ascii="仿宋" w:eastAsia="仿宋" w:hAnsi="仿宋" w:cs="宋体" w:hint="eastAsia"/>
          <w:kern w:val="0"/>
          <w:sz w:val="24"/>
          <w:szCs w:val="24"/>
        </w:rPr>
        <w:t>东方红恒阳五年</w:t>
      </w:r>
      <w:r w:rsidRPr="000F4F48">
        <w:rPr>
          <w:rFonts w:ascii="仿宋" w:eastAsia="仿宋" w:hAnsi="仿宋" w:cs="宋体" w:hint="eastAsia"/>
          <w:kern w:val="0"/>
          <w:sz w:val="24"/>
          <w:szCs w:val="24"/>
        </w:rPr>
        <w:t>定期开放混合型证券投资基金基金合同》自同日起失效</w:t>
      </w:r>
      <w:r>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、《基金合同》的有效期自其生效之日起至基金财产清算结果报中国证监会备案并公告之日止。</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、《基金合同》自生效之日起对包括基金管理人、基金托管人和基金份额持有人在内的《基金合同》各方当事人具有同等的法律约束力。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、《基金合同》正本</w:t>
      </w:r>
      <w:r w:rsidRPr="00812F97">
        <w:rPr>
          <w:rFonts w:ascii="仿宋" w:eastAsia="仿宋" w:hAnsi="仿宋" w:cs="宋体" w:hint="eastAsia"/>
          <w:kern w:val="0"/>
          <w:sz w:val="24"/>
          <w:szCs w:val="24"/>
        </w:rPr>
        <w:t>一式贰份</w:t>
      </w:r>
      <w:r>
        <w:rPr>
          <w:rFonts w:ascii="仿宋" w:eastAsia="仿宋" w:hAnsi="仿宋" w:cs="宋体" w:hint="eastAsia"/>
          <w:kern w:val="0"/>
          <w:sz w:val="24"/>
          <w:szCs w:val="24"/>
        </w:rPr>
        <w:t>，基金管理人、基金托管人各持有一份，每份具有同等的法律效力。</w:t>
      </w:r>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kern w:val="0"/>
          <w:sz w:val="24"/>
          <w:szCs w:val="24"/>
        </w:rPr>
        <w:t>5</w:t>
      </w:r>
      <w:r>
        <w:rPr>
          <w:rFonts w:ascii="仿宋" w:eastAsia="仿宋" w:hAnsi="仿宋" w:cs="宋体" w:hint="eastAsia"/>
          <w:kern w:val="0"/>
          <w:sz w:val="24"/>
          <w:szCs w:val="24"/>
        </w:rPr>
        <w:t>、《基金合同》可印制成册，供投资者在基金管理人、基金托管人、销售机构的办公场所和营业场所查阅。</w:t>
      </w:r>
    </w:p>
    <w:p w:rsidR="00E45E2B" w:rsidRDefault="00E45E2B" w:rsidP="00E45E2B">
      <w:pPr>
        <w:autoSpaceDE w:val="0"/>
        <w:autoSpaceDN w:val="0"/>
        <w:adjustRightInd w:val="0"/>
        <w:spacing w:line="360" w:lineRule="auto"/>
        <w:jc w:val="left"/>
        <w:rPr>
          <w:rFonts w:ascii="仿宋" w:eastAsia="仿宋" w:hAnsi="仿宋" w:cs="宋体"/>
          <w:kern w:val="0"/>
          <w:sz w:val="18"/>
          <w:szCs w:val="18"/>
        </w:rPr>
      </w:pPr>
    </w:p>
    <w:p w:rsidR="00E45E2B" w:rsidRDefault="00E45E2B" w:rsidP="00E45E2B">
      <w:pPr>
        <w:widowControl/>
        <w:jc w:val="left"/>
        <w:rPr>
          <w:rFonts w:ascii="仿宋" w:eastAsia="仿宋" w:hAnsi="仿宋" w:cs="宋体"/>
          <w:kern w:val="0"/>
          <w:sz w:val="18"/>
          <w:szCs w:val="18"/>
        </w:rPr>
      </w:pPr>
      <w:r>
        <w:rPr>
          <w:rFonts w:ascii="仿宋" w:eastAsia="仿宋" w:hAnsi="仿宋" w:cs="宋体"/>
          <w:kern w:val="0"/>
          <w:sz w:val="18"/>
          <w:szCs w:val="18"/>
        </w:rPr>
        <w:br w:type="page"/>
      </w:r>
    </w:p>
    <w:p w:rsidR="00E45E2B" w:rsidRPr="004F6C89" w:rsidRDefault="00E45E2B" w:rsidP="004F6C89">
      <w:pPr>
        <w:pStyle w:val="1"/>
        <w:spacing w:line="360" w:lineRule="auto"/>
        <w:jc w:val="center"/>
        <w:rPr>
          <w:rFonts w:eastAsia="仿宋"/>
          <w:sz w:val="30"/>
          <w:szCs w:val="30"/>
          <w:lang w:val="zh-CN"/>
        </w:rPr>
      </w:pPr>
      <w:bookmarkStart w:id="246" w:name="_Toc377998638"/>
      <w:bookmarkStart w:id="247" w:name="_Toc459291261"/>
      <w:bookmarkStart w:id="248" w:name="_Toc169163883"/>
      <w:r w:rsidRPr="004F6C89">
        <w:rPr>
          <w:rFonts w:eastAsia="仿宋" w:hint="eastAsia"/>
          <w:sz w:val="30"/>
          <w:szCs w:val="30"/>
          <w:lang w:val="zh-CN"/>
        </w:rPr>
        <w:t>第二十三部分</w:t>
      </w:r>
      <w:r w:rsidRPr="004F6C89">
        <w:rPr>
          <w:rFonts w:eastAsia="仿宋" w:hint="eastAsia"/>
          <w:sz w:val="30"/>
          <w:szCs w:val="30"/>
          <w:lang w:val="zh-CN"/>
        </w:rPr>
        <w:t xml:space="preserve">    </w:t>
      </w:r>
      <w:r w:rsidRPr="004F6C89">
        <w:rPr>
          <w:rFonts w:eastAsia="仿宋" w:hint="eastAsia"/>
          <w:sz w:val="30"/>
          <w:szCs w:val="30"/>
          <w:lang w:val="zh-CN"/>
        </w:rPr>
        <w:t>其他事项</w:t>
      </w:r>
      <w:bookmarkEnd w:id="246"/>
      <w:bookmarkEnd w:id="247"/>
      <w:bookmarkEnd w:id="248"/>
    </w:p>
    <w:p w:rsidR="00E45E2B" w:rsidRDefault="00E45E2B" w:rsidP="00E45E2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《基金合同》如有未尽事宜，由《基金合同》当事人各方按有关法律法规协商解决。</w:t>
      </w:r>
    </w:p>
    <w:p w:rsidR="00E45E2B" w:rsidRDefault="00E45E2B" w:rsidP="00E45E2B">
      <w:pPr>
        <w:autoSpaceDE w:val="0"/>
        <w:autoSpaceDN w:val="0"/>
        <w:adjustRightInd w:val="0"/>
        <w:spacing w:line="360" w:lineRule="auto"/>
        <w:jc w:val="left"/>
        <w:rPr>
          <w:rFonts w:ascii="仿宋" w:eastAsia="仿宋" w:hAnsi="仿宋" w:cs="宋体"/>
          <w:b/>
          <w:bCs/>
          <w:kern w:val="0"/>
          <w:sz w:val="30"/>
          <w:szCs w:val="30"/>
        </w:rPr>
      </w:pPr>
    </w:p>
    <w:p w:rsidR="00E45E2B" w:rsidRDefault="00E45E2B" w:rsidP="00972372">
      <w:pPr>
        <w:pStyle w:val="1"/>
        <w:spacing w:line="360" w:lineRule="auto"/>
        <w:jc w:val="center"/>
        <w:rPr>
          <w:kern w:val="0"/>
        </w:rPr>
      </w:pPr>
      <w:r>
        <w:rPr>
          <w:rFonts w:ascii="仿宋" w:hAnsi="仿宋" w:cs="宋体"/>
          <w:b w:val="0"/>
          <w:bCs w:val="0"/>
          <w:kern w:val="0"/>
        </w:rPr>
        <w:br w:type="page"/>
      </w:r>
      <w:bookmarkStart w:id="249" w:name="_Toc459291262"/>
      <w:bookmarkStart w:id="250" w:name="_Toc169163884"/>
      <w:bookmarkStart w:id="251" w:name="_Toc408903631"/>
      <w:bookmarkStart w:id="252" w:name="_Toc405988097"/>
      <w:r w:rsidRPr="00972372">
        <w:rPr>
          <w:rFonts w:eastAsia="仿宋" w:hint="eastAsia"/>
          <w:sz w:val="30"/>
          <w:szCs w:val="30"/>
          <w:lang w:val="zh-CN"/>
        </w:rPr>
        <w:t>第二十四部分</w:t>
      </w:r>
      <w:r w:rsidRPr="00972372">
        <w:rPr>
          <w:rFonts w:eastAsia="仿宋" w:hint="eastAsia"/>
          <w:sz w:val="30"/>
          <w:szCs w:val="30"/>
          <w:lang w:val="zh-CN"/>
        </w:rPr>
        <w:t xml:space="preserve">    </w:t>
      </w:r>
      <w:r w:rsidRPr="00972372">
        <w:rPr>
          <w:rFonts w:eastAsia="仿宋" w:hint="eastAsia"/>
          <w:sz w:val="30"/>
          <w:szCs w:val="30"/>
          <w:lang w:val="zh-CN"/>
        </w:rPr>
        <w:t>基金合同内容摘要</w:t>
      </w:r>
      <w:bookmarkEnd w:id="249"/>
      <w:bookmarkEnd w:id="250"/>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3" w:name="_Toc459291263"/>
      <w:bookmarkStart w:id="254" w:name="_Toc149132963"/>
      <w:bookmarkStart w:id="255" w:name="_Toc169163885"/>
      <w:r>
        <w:rPr>
          <w:rFonts w:ascii="仿宋" w:eastAsia="仿宋" w:hAnsi="仿宋" w:cs="SimSun,Bold" w:hint="eastAsia"/>
          <w:b/>
          <w:bCs/>
          <w:color w:val="000000"/>
          <w:kern w:val="0"/>
          <w:sz w:val="24"/>
          <w:szCs w:val="24"/>
        </w:rPr>
        <w:t>（一）基金份额持有人、基金管理人和基金托管人的权利、义务</w:t>
      </w:r>
      <w:bookmarkEnd w:id="251"/>
      <w:bookmarkEnd w:id="252"/>
      <w:bookmarkEnd w:id="253"/>
      <w:bookmarkEnd w:id="254"/>
      <w:bookmarkEnd w:id="25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、基金管理人的权利与义务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D778F0">
        <w:rPr>
          <w:rFonts w:ascii="仿宋" w:eastAsia="仿宋" w:hAnsi="仿宋" w:cs="SimSun,Bold" w:hint="eastAsia"/>
          <w:bCs/>
          <w:color w:val="000000"/>
          <w:kern w:val="0"/>
          <w:sz w:val="24"/>
          <w:szCs w:val="24"/>
        </w:rPr>
        <w:t>根据《基金法》、《运作办法》及其他有关规定，基金管理人的权利包括但不限于：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2）自《基金合同》生效之日起，根据法律法规和《基金合同》独立运用并管理基金财产；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3）依照《基金合同》收取基金管理费以及法律法规规定或中国证监会批准的其他费用；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4）销售基金份额；</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5）按照规定召集基金份额持有人大会；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7）在基金托管人更换时，提名新的基金托管人；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8）选择、委托、更换基金销售机构，对基金销售机构的相关行为进行监督和处理；</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9）担任或委托其他符合条件的机构担任基金登记机构办理基金登记业务并获得《基金合同》规定的费用；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10）依据《基金合同》及有关法律规定决定基金收益的分配方案；</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11）在《基金合同》约定的范围内，拒绝或暂停受理申购与赎回申请；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12）依照法律法规为基金的利益对被投资公司行使股东权利，为基金的利益行使因基金财产投资于证券所产生的权利；</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13）在法律法规允许的前提下，为基金的利益依法为基金进行融资；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14）以基金管理人的名义，代表基金份额持有人的利益行使诉讼权利或者实施其他法律行为；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15）选择、更换律师事务所、会计师事务所、证券、期货经纪商或其他为基金提供服务的外部机构；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16）在符合有关法律、法规的前提下，制订和调整有关基金申购、赎回、转换等的业务规则；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17）法律法规及中国证监会</w:t>
      </w:r>
      <w:r>
        <w:rPr>
          <w:rFonts w:ascii="仿宋" w:eastAsia="仿宋" w:hAnsi="仿宋" w:cs="SimSun,Bold" w:hint="eastAsia"/>
          <w:bCs/>
          <w:color w:val="000000"/>
          <w:kern w:val="0"/>
          <w:sz w:val="24"/>
          <w:szCs w:val="24"/>
        </w:rPr>
        <w:t>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）根据《基金法》、《运作办法》及其他有关规定，基金管理人的义务包括但不限于：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1）依法募集资金，办理或者委托经中国证监会认定的其他机构代为办理基金份额的申购、赎回和登记事宜；</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2）办理基金备案手续；</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3）自《基金合同》生效之日起,以诚实信用、谨慎勤勉的原则管理和运用基金财产；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4）配备足够的具有专业资格的人员进行基金投资分析、决策，以专业化的经营方式管理和运作基金财产；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5）建立健全内部风险控制、监察与稽核、财务管理及人事管理等制度，保证所管理的基金财产和基金管理人的财产相互独立，对所管理的不同基金分别管理，分别记账，进行证券投资；</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6）除依据《基金法》、《基金合同》及其他有关规定外,不得利用基金财产为自己及任何第三人谋取利益，不得委托第三人运作基金财产；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7）依法接受基金托管人的监督；</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8）采取适当合理的措施使计算基金份额申购、赎回和注销价格的方法符合《基金合同》等法律文件的规定，按有关规定计算并公告基金净值信息，确定基金份额申购、赎回的价格；</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9）进行基金会计核算并编制基金财务会计报告；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10）编制季度报告、中期报告和年度报告；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11）严格按照《基金法》、《基金合同》及其他有关规定，履行信息披露及报告义务；</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12）保守基金商业秘密，不泄露基金投资计划、投资意向等。除《基金法》、《基金合同》及其他有关规定另有规定外，在基金信息公开披露前应予保密，不向他人泄露，向监管机构、司法机关等有权机关及审计、法律等外部专业顾问提供的情况除外；</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13）按《基金合同》的约定确定基金收益分配方案，及时向基金份额持有人分配基金收益；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14）按规定受理申购与赎回申请，及时、足额支付赎回款项；</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15）依据《基金法》、《基金合同》及其他有关规定召集基金份额持有人大会或配合基金托管人、基金份额持有人依法召集基金份额持有人大会；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16）按规定保存基金财产管理业务活动的会计账册、报表、记录和其他相关资料不少于法定最低期限；</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18）组织并参加基金财产清算小组，参与基金财产的保管、清理、估价、变现和分配；</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19）面临解散、依法被撤销或者被依法宣告破产时，及时报告中国证监会并通知基金托管人；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20）因违反《基金合同》导致基金财产的损失或损害基金份额持有人合法权益时，应当承担赔偿责任，其赔偿责任不因其退任而免除；</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21）监督基金托管人按法律法规和《基金合同》规定履行自己的义务，基金托管人违反《基金合同》造成基金财产损失时，基金管理人应为基金份额持有人利益向基金托管人追偿；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23）以基金管理人名义，代表基金份额持有人利益行使诉讼权利或实施其他法律行为；</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24）执行生效的基金份额持有人大会的决议；</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25）建立并保存基金份额持有人名册；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26</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、基金托管人的权利与义务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）根据《基金法》、《运作办法》及其他有关规定，基金托管人的权利包括但不限于：</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1）自《基金合同》生效之日起，依法律法规和《基金合同》的规定安全保管基金财产；</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2）依《基金合同》约定获得基金托管费以及法律法规规定或监管部门批准的其他费用；</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4）根据相关市场规则，为基金开设资金账户</w:t>
      </w:r>
      <w:r>
        <w:rPr>
          <w:rFonts w:ascii="仿宋" w:eastAsia="仿宋" w:hAnsi="仿宋" w:cs="SimSun,Bold" w:hint="eastAsia"/>
          <w:bCs/>
          <w:color w:val="000000"/>
          <w:kern w:val="0"/>
          <w:sz w:val="24"/>
          <w:szCs w:val="24"/>
        </w:rPr>
        <w:t>、</w:t>
      </w:r>
      <w:r w:rsidRPr="00D778F0">
        <w:rPr>
          <w:rFonts w:ascii="仿宋" w:eastAsia="仿宋" w:hAnsi="仿宋" w:cs="SimSun,Bold" w:hint="eastAsia"/>
          <w:bCs/>
          <w:color w:val="000000"/>
          <w:kern w:val="0"/>
          <w:sz w:val="24"/>
          <w:szCs w:val="24"/>
        </w:rPr>
        <w:t>证券账户</w:t>
      </w:r>
      <w:r w:rsidRPr="00EE2336">
        <w:rPr>
          <w:rFonts w:ascii="仿宋" w:eastAsia="仿宋" w:hAnsi="仿宋" w:cs="SimSun,Bold" w:hint="eastAsia"/>
          <w:bCs/>
          <w:color w:val="000000"/>
          <w:kern w:val="0"/>
          <w:sz w:val="24"/>
          <w:szCs w:val="24"/>
        </w:rPr>
        <w:t>、期货结算账户</w:t>
      </w:r>
      <w:r w:rsidRPr="00D778F0">
        <w:rPr>
          <w:rFonts w:ascii="仿宋" w:eastAsia="仿宋" w:hAnsi="仿宋" w:cs="SimSun,Bold" w:hint="eastAsia"/>
          <w:bCs/>
          <w:color w:val="000000"/>
          <w:kern w:val="0"/>
          <w:sz w:val="24"/>
          <w:szCs w:val="24"/>
        </w:rPr>
        <w:t>等投资所需账户，为基金办理证券、期货交易资金清算；</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5）以基金的名义在中央国债登记结算有限责任公司和银行间市场清算所股份有限公司开设银行间债券托管账户；</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6）提议召开或召集基金份额持有人大会；</w:t>
      </w:r>
    </w:p>
    <w:p w:rsidR="00E45E2B" w:rsidRPr="00D778F0"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7）在基金管理人更换时，提名新的基金管理人；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778F0">
        <w:rPr>
          <w:rFonts w:ascii="仿宋" w:eastAsia="仿宋" w:hAnsi="仿宋" w:cs="SimSun,Bold" w:hint="eastAsia"/>
          <w:bCs/>
          <w:color w:val="000000"/>
          <w:kern w:val="0"/>
          <w:sz w:val="24"/>
          <w:szCs w:val="24"/>
        </w:rPr>
        <w:t>8）法律法规及中国证监会规定的和《基金合同》约定的其他权利。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）根据《基金法》、《运作办法》及其他有关规定，基金托管人的义务包括但不限于：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）以诚实信用、勤勉尽责的原则持有并安全保管基金财产；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）设立专门的基金托管部门，具有符合要求的营业场所，配备足够的、合格的熟悉基金托管业务的专职人员，负责基金财产托管事宜；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）除依据《基金法》、《基金合同》及其他有关规定外，不得利用基金财产为自己及任何第三人谋取利益，不得委托第三人托管基金财产；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）保管由基金管理人代表基金签订的与基金有关的重大合同及有关凭证；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）按规定开设基金财产的资金账户、证券账户</w:t>
      </w:r>
      <w:r w:rsidRPr="00EE2336">
        <w:rPr>
          <w:rFonts w:ascii="仿宋" w:eastAsia="仿宋" w:hAnsi="仿宋" w:cs="SimSun,Bold" w:hint="eastAsia"/>
          <w:bCs/>
          <w:color w:val="000000"/>
          <w:kern w:val="0"/>
          <w:sz w:val="24"/>
          <w:szCs w:val="24"/>
        </w:rPr>
        <w:t>、期货结算账户</w:t>
      </w:r>
      <w:r>
        <w:rPr>
          <w:rFonts w:ascii="仿宋" w:eastAsia="仿宋" w:hAnsi="仿宋" w:cs="SimSun,Bold" w:hint="eastAsia"/>
          <w:bCs/>
          <w:color w:val="000000"/>
          <w:kern w:val="0"/>
          <w:sz w:val="24"/>
          <w:szCs w:val="24"/>
        </w:rPr>
        <w:t>等投资所需账户</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按照《基金合同》的约定，根据基金管理人的投资指令，及时办理清算、交割事宜；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）保守基金商业秘密，除《基金法》、《基金合同》及其他有关规定另有规定外，在基金信息公开披露前予以保密，不得向他人泄露</w:t>
      </w:r>
      <w:r w:rsidRPr="00D778F0">
        <w:rPr>
          <w:rFonts w:ascii="仿宋" w:eastAsia="仿宋" w:hAnsi="仿宋" w:cs="SimSun,Bold" w:hint="eastAsia"/>
          <w:bCs/>
          <w:color w:val="000000"/>
          <w:kern w:val="0"/>
          <w:sz w:val="24"/>
          <w:szCs w:val="24"/>
        </w:rPr>
        <w:t>，向监管机构、司法机关等有权机关及审计、法律等外部专业顾问提供的情况除外</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）复核、审查基金管理人计算的基金资产净值、基金份额净值、基金份额申购、赎回价格；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）办理与基金托管业务活动有关的信息披露事项；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11</w:t>
      </w:r>
      <w:r>
        <w:rPr>
          <w:rFonts w:ascii="仿宋" w:eastAsia="仿宋" w:hAnsi="仿宋" w:cs="SimSun,Bold" w:hint="eastAsia"/>
          <w:bCs/>
          <w:color w:val="000000"/>
          <w:kern w:val="0"/>
          <w:sz w:val="24"/>
          <w:szCs w:val="24"/>
        </w:rPr>
        <w:t>）保存基金托管业务活动的记录、账册、报表和其他相关资料</w:t>
      </w:r>
      <w:r w:rsidRPr="00754452">
        <w:rPr>
          <w:rFonts w:ascii="仿宋" w:eastAsia="仿宋" w:hAnsi="仿宋" w:cs="SimSun,Bold" w:hint="eastAsia"/>
          <w:bCs/>
          <w:color w:val="000000"/>
          <w:kern w:val="0"/>
          <w:sz w:val="24"/>
          <w:szCs w:val="24"/>
        </w:rPr>
        <w:t>不少于法定最低期限</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12</w:t>
      </w:r>
      <w:r>
        <w:rPr>
          <w:rFonts w:ascii="仿宋" w:eastAsia="仿宋" w:hAnsi="仿宋" w:cs="SimSun,Bold" w:hint="eastAsia"/>
          <w:bCs/>
          <w:color w:val="000000"/>
          <w:kern w:val="0"/>
          <w:sz w:val="24"/>
          <w:szCs w:val="24"/>
        </w:rPr>
        <w:t>）</w:t>
      </w:r>
      <w:r w:rsidRPr="00830B82">
        <w:rPr>
          <w:rFonts w:ascii="仿宋" w:eastAsia="仿宋" w:hAnsi="仿宋" w:cs="SimSun,Bold" w:hint="eastAsia"/>
          <w:bCs/>
          <w:color w:val="000000"/>
          <w:kern w:val="0"/>
          <w:sz w:val="24"/>
          <w:szCs w:val="24"/>
        </w:rPr>
        <w:t>从基金管理人或其委托的登记机构处接收并</w:t>
      </w:r>
      <w:r>
        <w:rPr>
          <w:rFonts w:ascii="仿宋" w:eastAsia="仿宋" w:hAnsi="仿宋" w:cs="SimSun,Bold" w:hint="eastAsia"/>
          <w:bCs/>
          <w:color w:val="000000"/>
          <w:kern w:val="0"/>
          <w:sz w:val="24"/>
          <w:szCs w:val="24"/>
        </w:rPr>
        <w:t>保存基金份额持有人名册；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13</w:t>
      </w:r>
      <w:r>
        <w:rPr>
          <w:rFonts w:ascii="仿宋" w:eastAsia="仿宋" w:hAnsi="仿宋" w:cs="SimSun,Bold" w:hint="eastAsia"/>
          <w:bCs/>
          <w:color w:val="000000"/>
          <w:kern w:val="0"/>
          <w:sz w:val="24"/>
          <w:szCs w:val="24"/>
        </w:rPr>
        <w:t>）按规定制作相关账册并与基金管理人核对；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14</w:t>
      </w:r>
      <w:r>
        <w:rPr>
          <w:rFonts w:ascii="仿宋" w:eastAsia="仿宋" w:hAnsi="仿宋" w:cs="SimSun,Bold" w:hint="eastAsia"/>
          <w:bCs/>
          <w:color w:val="000000"/>
          <w:kern w:val="0"/>
          <w:sz w:val="24"/>
          <w:szCs w:val="24"/>
        </w:rPr>
        <w:t>）依据基金管理人的指令或有关规定向基金份额持有人支付基金收益和赎回款项；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15</w:t>
      </w:r>
      <w:r>
        <w:rPr>
          <w:rFonts w:ascii="仿宋" w:eastAsia="仿宋" w:hAnsi="仿宋" w:cs="SimSun,Bold" w:hint="eastAsia"/>
          <w:bCs/>
          <w:color w:val="000000"/>
          <w:kern w:val="0"/>
          <w:sz w:val="24"/>
          <w:szCs w:val="24"/>
        </w:rPr>
        <w:t>）依据《基金法》、《基金合同》及其他有关规定召集基金份额持有人大会或配合基金管理人、基金份额持有人依法召集基金份额持有人大会；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16</w:t>
      </w:r>
      <w:r>
        <w:rPr>
          <w:rFonts w:ascii="仿宋" w:eastAsia="仿宋" w:hAnsi="仿宋" w:cs="SimSun,Bold" w:hint="eastAsia"/>
          <w:bCs/>
          <w:color w:val="000000"/>
          <w:kern w:val="0"/>
          <w:sz w:val="24"/>
          <w:szCs w:val="24"/>
        </w:rPr>
        <w:t>）按照法律法规和《基金合同》的规定监督基金管理人的投资运作；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17</w:t>
      </w:r>
      <w:r>
        <w:rPr>
          <w:rFonts w:ascii="仿宋" w:eastAsia="仿宋" w:hAnsi="仿宋" w:cs="SimSun,Bold" w:hint="eastAsia"/>
          <w:bCs/>
          <w:color w:val="000000"/>
          <w:kern w:val="0"/>
          <w:sz w:val="24"/>
          <w:szCs w:val="24"/>
        </w:rPr>
        <w:t>）参加基金财产清算小组，参与基金财产的保管、清理、估价、变现和分配；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18</w:t>
      </w:r>
      <w:r>
        <w:rPr>
          <w:rFonts w:ascii="仿宋" w:eastAsia="仿宋" w:hAnsi="仿宋" w:cs="SimSun,Bold" w:hint="eastAsia"/>
          <w:bCs/>
          <w:color w:val="000000"/>
          <w:kern w:val="0"/>
          <w:sz w:val="24"/>
          <w:szCs w:val="24"/>
        </w:rPr>
        <w:t>）面临解散、依法被撤销或者被依法宣告破产时，及时报告中国证监会和银行业监督管理机构，并通知基金管理人；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19</w:t>
      </w:r>
      <w:r>
        <w:rPr>
          <w:rFonts w:ascii="仿宋" w:eastAsia="仿宋" w:hAnsi="仿宋" w:cs="SimSun,Bold" w:hint="eastAsia"/>
          <w:bCs/>
          <w:color w:val="000000"/>
          <w:kern w:val="0"/>
          <w:sz w:val="24"/>
          <w:szCs w:val="24"/>
        </w:rPr>
        <w:t>）因违反《基金合同》导致基金财产损失时，应承担赔偿责任，其赔偿责任不因其退任而免除；</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Pr>
          <w:rFonts w:ascii="仿宋" w:eastAsia="仿宋" w:hAnsi="仿宋" w:cs="SimSun,Bold" w:hint="eastAsia"/>
          <w:bCs/>
          <w:color w:val="000000"/>
          <w:kern w:val="0"/>
          <w:sz w:val="24"/>
          <w:szCs w:val="24"/>
        </w:rPr>
        <w:t>）按规定监督基金管理人按法律法规和《基金合同》规定履行自己的义务，基金管理人因违反《基金合同》造成基金财产损失时，应为基金份额持有人利益向基金管理人追偿；</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Pr>
          <w:rFonts w:ascii="仿宋" w:eastAsia="仿宋" w:hAnsi="仿宋" w:cs="SimSun,Bold" w:hint="eastAsia"/>
          <w:bCs/>
          <w:color w:val="000000"/>
          <w:kern w:val="0"/>
          <w:sz w:val="24"/>
          <w:szCs w:val="24"/>
        </w:rPr>
        <w:t>）执行生效的基金份额持有人大会的决议；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22</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基金份额持有人</w:t>
      </w:r>
      <w:r w:rsidRPr="001F3C37">
        <w:rPr>
          <w:rFonts w:ascii="仿宋" w:eastAsia="仿宋" w:hAnsi="仿宋" w:cs="SimSun,Bold" w:hint="eastAsia"/>
          <w:bCs/>
          <w:color w:val="000000"/>
          <w:kern w:val="0"/>
          <w:sz w:val="24"/>
          <w:szCs w:val="24"/>
        </w:rPr>
        <w:t>的权利和义务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每份基金份额具有同等的合法权益。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）根据《基金法》、《运作办法》及其他有关规定，基金份额持有人的权利包括但不限于：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）分享基金财产收益；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）参与分配清算后的剩余基金财产；</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）依法转让或申请赎回其持有的基金份额；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）按照规定要求召开基金份额持有人大会或者召集基金份额持有人大会；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）出席或者委派代表出席基金份额持有人大会，对基金份额持有人大会审议事项行使表决权；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）查阅或者复制公开披露的基金信息资料；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）监督基金管理人的投资运作；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）对基金管理人、基金托管人、基金服务机构损害其合法权益的行为依法提起诉讼</w:t>
      </w:r>
      <w:r>
        <w:rPr>
          <w:rFonts w:ascii="仿宋" w:eastAsia="仿宋" w:hAnsi="仿宋" w:cs="SimSun,Bold"/>
          <w:bCs/>
          <w:color w:val="000000"/>
          <w:kern w:val="0"/>
          <w:sz w:val="24"/>
          <w:szCs w:val="24"/>
        </w:rPr>
        <w:t>或仲裁</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）法律法规及中国证监会规定的和《基金合同》约定的其他权利。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）根据《基金法》、《运作办法》及其他有关规定，基金份额持有人的义务包括但不限于：</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）认真阅读并遵守《基金合同》、招募说明书等信息披露文件；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）了解所投资基金产品，了解自身风险承受能力，自主判断基金的投资价值，自主做出投资决策，自行承担投资风险；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）关注基金信息披露，及时行使权利和履行义务；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）交纳基金申购款项及法律法规和《基金合同》所规定的费用；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）在其持有的基金份额范围内，承担基金亏损或者《基金合同》终止的有限责任；</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）不从事任何有损基金及其他《基金合同》当事人合法权益的活动；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7）执行生效的基金份额持有人大会的决议；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）返还在基金交易过程中因任何原因获得的不当得利；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）法律法规及中国证监会规定的和《基金合同》约定的其他义务。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56" w:name="_Toc459291264"/>
      <w:bookmarkStart w:id="257" w:name="_Toc149132964"/>
      <w:bookmarkStart w:id="258" w:name="_Toc169163886"/>
      <w:r>
        <w:rPr>
          <w:rFonts w:ascii="仿宋" w:eastAsia="仿宋" w:hAnsi="仿宋" w:cs="SimSun,Bold" w:hint="eastAsia"/>
          <w:b/>
          <w:bCs/>
          <w:color w:val="000000"/>
          <w:kern w:val="0"/>
          <w:sz w:val="24"/>
          <w:szCs w:val="24"/>
        </w:rPr>
        <w:t>（二）基金份额持有人大会召集、议事及表决的程序和规则</w:t>
      </w:r>
      <w:bookmarkEnd w:id="256"/>
      <w:bookmarkEnd w:id="257"/>
      <w:bookmarkEnd w:id="25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9" w:name="_Toc459291265"/>
      <w:r>
        <w:rPr>
          <w:rFonts w:ascii="仿宋" w:eastAsia="仿宋" w:hAnsi="仿宋" w:cs="SimSun,Bold" w:hint="eastAsia"/>
          <w:bCs/>
          <w:color w:val="000000"/>
          <w:kern w:val="0"/>
          <w:sz w:val="24"/>
          <w:szCs w:val="24"/>
        </w:rPr>
        <w:t>基金份额持有人大会由基金份额持有人组成，基金份额持有人的合法授权代表有权代表基金份额持有人出席会议并表决。基金份额持有人持有的每一基金份额拥有平等的投票权。</w:t>
      </w:r>
      <w:bookmarkEnd w:id="259"/>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0" w:name="_Toc459291266"/>
      <w:r>
        <w:rPr>
          <w:rFonts w:ascii="仿宋" w:eastAsia="仿宋" w:hAnsi="仿宋" w:cs="SimSun,Bold" w:hint="eastAsia"/>
          <w:bCs/>
          <w:color w:val="000000"/>
          <w:kern w:val="0"/>
          <w:sz w:val="24"/>
          <w:szCs w:val="24"/>
        </w:rPr>
        <w:t>本基金份额持有人大会不设日常机构。</w:t>
      </w:r>
      <w:bookmarkEnd w:id="260"/>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召开事由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除法律法规、中国证监会另有规定</w:t>
      </w:r>
      <w:r w:rsidRPr="00EE2336">
        <w:rPr>
          <w:rFonts w:ascii="仿宋" w:eastAsia="仿宋" w:hAnsi="仿宋" w:cs="SimSun,Bold" w:hint="eastAsia"/>
          <w:bCs/>
          <w:color w:val="000000"/>
          <w:kern w:val="0"/>
          <w:sz w:val="24"/>
          <w:szCs w:val="24"/>
        </w:rPr>
        <w:t>或基金合同另有约定</w:t>
      </w:r>
      <w:r w:rsidRPr="00262642">
        <w:rPr>
          <w:rFonts w:ascii="仿宋" w:eastAsia="仿宋" w:hAnsi="仿宋" w:cs="SimSun,Bold" w:hint="eastAsia"/>
          <w:bCs/>
          <w:color w:val="000000"/>
          <w:kern w:val="0"/>
          <w:sz w:val="24"/>
          <w:szCs w:val="24"/>
        </w:rPr>
        <w:t>外，</w:t>
      </w:r>
      <w:r>
        <w:rPr>
          <w:rFonts w:ascii="仿宋" w:eastAsia="仿宋" w:hAnsi="仿宋" w:cs="SimSun,Bold" w:hint="eastAsia"/>
          <w:bCs/>
          <w:color w:val="000000"/>
          <w:kern w:val="0"/>
          <w:sz w:val="24"/>
          <w:szCs w:val="24"/>
        </w:rPr>
        <w:t>当出现或需要决定下列事由之一的，应当召开基金份额持有人大会：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1）终止《基金合同》；</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2）更换基金管理人；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3）更换基金托管人；</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4）转换基金运作方式；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5）调整基金管理人、基金托管人的报酬标准；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6）变更基金类别；</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7）本基金与其他基金的合并；</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8）变更基金投资目标、范围或策略；</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9）变更基金份额持有人大会程序；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10）基金管理人或基金托管人要求召开基金份额持有人大会；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11）单独或合计持有本基金总份额10％以上（含10％）基金份额的基金份额持有人（以基金管理人收到提议当日的基金份额计算，下同）就同一事项书面要求召开基金份额持有人大会；</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12）对基金合同当事人权利和义务产生重大影响的其他事项；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13）法律法规、《基</w:t>
      </w:r>
      <w:r>
        <w:rPr>
          <w:rFonts w:ascii="仿宋" w:eastAsia="仿宋" w:hAnsi="仿宋" w:cs="SimSun,Bold" w:hint="eastAsia"/>
          <w:bCs/>
          <w:color w:val="000000"/>
          <w:kern w:val="0"/>
          <w:sz w:val="24"/>
          <w:szCs w:val="24"/>
        </w:rPr>
        <w:t>金合同》或中国证监会规定的其他应当召开基金份额持有人大会的事项。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262642">
        <w:rPr>
          <w:rFonts w:ascii="仿宋" w:eastAsia="仿宋" w:hAnsi="仿宋" w:cs="SimSun,Bold" w:hint="eastAsia"/>
          <w:bCs/>
          <w:color w:val="000000"/>
          <w:kern w:val="0"/>
          <w:sz w:val="24"/>
          <w:szCs w:val="24"/>
        </w:rPr>
        <w:t>在法律法规规定和《基金合同》约定的范围内且对基金份额持有人利益无实质性不利影响的前提下，以下情况可由基金管理人和基金托管人协商一致</w:t>
      </w:r>
      <w:r w:rsidRPr="00397C20">
        <w:rPr>
          <w:rFonts w:ascii="仿宋" w:eastAsia="仿宋" w:hAnsi="仿宋" w:cs="SimSun,Bold" w:hint="eastAsia"/>
          <w:bCs/>
          <w:color w:val="000000"/>
          <w:kern w:val="0"/>
          <w:sz w:val="24"/>
          <w:szCs w:val="24"/>
        </w:rPr>
        <w:t>并履行适当程序</w:t>
      </w:r>
      <w:r w:rsidRPr="00262642">
        <w:rPr>
          <w:rFonts w:ascii="仿宋" w:eastAsia="仿宋" w:hAnsi="仿宋" w:cs="SimSun,Bold" w:hint="eastAsia"/>
          <w:bCs/>
          <w:color w:val="000000"/>
          <w:kern w:val="0"/>
          <w:sz w:val="24"/>
          <w:szCs w:val="24"/>
        </w:rPr>
        <w:t>后修改，不需召开基金份额持有人大会</w:t>
      </w:r>
      <w:r>
        <w:rPr>
          <w:rFonts w:ascii="仿宋" w:eastAsia="仿宋" w:hAnsi="仿宋" w:cs="SimSun,Bold" w:hint="eastAsia"/>
          <w:bCs/>
          <w:color w:val="000000"/>
          <w:kern w:val="0"/>
          <w:sz w:val="24"/>
          <w:szCs w:val="24"/>
        </w:rPr>
        <w:t>：</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1）法律法规要求增加的基金费用的收取和其他应由基金承担的费用；</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2）调整本基金的申购费率或变更收费方式；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3）因相应的法律法规发生变动而应当对《基金合同》进行修改；</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4）对《基金合同》的修改对基金份额持有人利益无实质性不利影响或修改不涉及《基金合同》当事人权利义务关系发生重大变化；</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5）增加新的基金份额类别或调整基金份额分类规则；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62642">
        <w:rPr>
          <w:rFonts w:ascii="仿宋" w:eastAsia="仿宋" w:hAnsi="仿宋" w:cs="SimSun,Bold" w:hint="eastAsia"/>
          <w:bCs/>
          <w:color w:val="000000"/>
          <w:kern w:val="0"/>
          <w:sz w:val="24"/>
          <w:szCs w:val="24"/>
        </w:rPr>
        <w:t>6）按照法律法规和《基金合同》规定不需召开基金份额持有人大会的其他情形。</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2、会议召集人及召集方式</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262642">
        <w:rPr>
          <w:rFonts w:ascii="仿宋" w:eastAsia="仿宋" w:hAnsi="仿宋" w:cs="SimSun,Bold" w:hint="eastAsia"/>
          <w:bCs/>
          <w:color w:val="000000"/>
          <w:kern w:val="0"/>
          <w:sz w:val="24"/>
          <w:szCs w:val="24"/>
        </w:rPr>
        <w:t>除法律法规规定或《基金合同》另有约定外，基金份额持有人大会由基金管理人召集。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262642">
        <w:rPr>
          <w:rFonts w:ascii="仿宋" w:eastAsia="仿宋" w:hAnsi="仿宋" w:cs="SimSun,Bold" w:hint="eastAsia"/>
          <w:bCs/>
          <w:color w:val="000000"/>
          <w:kern w:val="0"/>
          <w:sz w:val="24"/>
          <w:szCs w:val="24"/>
        </w:rPr>
        <w:t>基金管理人未按规定召集或不能召集时，由基金托管人召集。</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262642">
        <w:rPr>
          <w:rFonts w:ascii="仿宋" w:eastAsia="仿宋" w:hAnsi="仿宋" w:cs="SimSun,Bold" w:hint="eastAsia"/>
          <w:bCs/>
          <w:color w:val="000000"/>
          <w:kern w:val="0"/>
          <w:sz w:val="24"/>
          <w:szCs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 日内召开；基金管理人决定不召集，基金托管人仍认为有必要召开的，应当由基金托管人自行召集，并自出具书面决定之日起六十日内召开并告知基金管理人，基金管理人应当配合。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62642">
        <w:rPr>
          <w:rFonts w:ascii="仿宋" w:eastAsia="仿宋" w:hAnsi="仿宋" w:cs="SimSun,Bold" w:hint="eastAsia"/>
          <w:bCs/>
          <w:color w:val="000000"/>
          <w:kern w:val="0"/>
          <w:sz w:val="24"/>
          <w:szCs w:val="24"/>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45E2B" w:rsidRPr="00262642"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262642">
        <w:rPr>
          <w:rFonts w:ascii="仿宋" w:eastAsia="仿宋" w:hAnsi="仿宋" w:cs="SimSun,Bold" w:hint="eastAsia"/>
          <w:bCs/>
          <w:color w:val="000000"/>
          <w:kern w:val="0"/>
          <w:sz w:val="24"/>
          <w:szCs w:val="24"/>
        </w:rPr>
        <w:t>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262642">
        <w:rPr>
          <w:rFonts w:ascii="仿宋" w:eastAsia="仿宋" w:hAnsi="仿宋" w:cs="SimSun,Bold" w:hint="eastAsia"/>
          <w:bCs/>
          <w:color w:val="000000"/>
          <w:kern w:val="0"/>
          <w:sz w:val="24"/>
          <w:szCs w:val="24"/>
        </w:rPr>
        <w:t>基金份额持有人会议的召集人负责选择确定开会时间、地点、方式和权益登记日。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3、召开基金份额持有人大会的通知时间、通知内容、通知方式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）召开基金份额持有人大会，召集人应于会议召开前3</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日，在规定媒介公告。基金份额持有人大会通知应至少载明以下内容：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）会议召开的时间、地点、方式和会议形式；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）会议拟审议的事项、议事程序和表决方式；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）有权出席基金份额持有人大会的基金份额持有人的权益登记日；</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）授权委托证明的内容要求（包括但不限于代理人身份，代理权限和代理有效期限等）、送达时间和地点；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）会务常设联系人姓名及联系电话；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）出席会议者必须准备的文件和必须履行的手续；</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）召集人需要通知的其他事项。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采取通讯开会方式并进行表决的情况下，由会议召集人决定并在会议通知中说明本次基金份额持有人大会所采取的具体通讯方式及投票方式、委托的公证机关及其联系方式和联系人、表决意见提交的截止时间和收取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4、基金份额持有人出席会议的方式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基金份额持有人大会可通过现场开会方式、通讯开会方式或法律法规、监管机构允许的其他方式召开，会议的召开方式由会议召集人确定</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）现场开会。由基金份额持有人本人出席或以代理投票授权委托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）亲自出席会议者持有基金份额的凭证、受托出席会议者出具的委托人持有基金份额的凭证及委托人的代理投票授权委托</w:t>
      </w:r>
      <w:r w:rsidRPr="00A47361">
        <w:rPr>
          <w:rFonts w:ascii="仿宋" w:eastAsia="仿宋" w:hAnsi="仿宋" w:cs="SimSun,Bold" w:hint="eastAsia"/>
          <w:bCs/>
          <w:color w:val="000000"/>
          <w:kern w:val="0"/>
          <w:sz w:val="24"/>
          <w:szCs w:val="24"/>
        </w:rPr>
        <w:t>证明</w:t>
      </w:r>
      <w:r>
        <w:rPr>
          <w:rFonts w:ascii="仿宋" w:eastAsia="仿宋" w:hAnsi="仿宋" w:cs="SimSun,Bold" w:hint="eastAsia"/>
          <w:bCs/>
          <w:color w:val="000000"/>
          <w:kern w:val="0"/>
          <w:sz w:val="24"/>
          <w:szCs w:val="24"/>
        </w:rPr>
        <w:t>符合法律法规、《基金合同》和会议通知的规定，并且持有基金份额的凭证与基金管理人持有的登记资料相符；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A47361">
        <w:rPr>
          <w:rFonts w:ascii="仿宋" w:eastAsia="仿宋" w:hAnsi="仿宋" w:cs="SimSun,Bold" w:hint="eastAsia"/>
          <w:bCs/>
          <w:color w:val="000000"/>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w:t>
      </w:r>
      <w:r>
        <w:rPr>
          <w:rFonts w:ascii="仿宋" w:eastAsia="仿宋" w:hAnsi="仿宋" w:cs="SimSun,Bold" w:hint="eastAsia"/>
          <w:bCs/>
          <w:color w:val="000000"/>
          <w:kern w:val="0"/>
          <w:sz w:val="24"/>
          <w:szCs w:val="24"/>
        </w:rPr>
        <w:t>额应不少于本基金在权益登记日基金总份额的三分之一（含三分之一）。</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r w:rsidRPr="00A47361">
        <w:rPr>
          <w:rFonts w:ascii="仿宋" w:eastAsia="仿宋" w:hAnsi="仿宋" w:cs="SimSun,Bold" w:hint="eastAsia"/>
          <w:bCs/>
          <w:color w:val="000000"/>
          <w:kern w:val="0"/>
          <w:sz w:val="24"/>
          <w:szCs w:val="24"/>
        </w:rPr>
        <w:t>通讯开会系指基金份额持有人将其对表决事项的投票以书面形式或</w:t>
      </w:r>
      <w:r w:rsidRPr="00C02099">
        <w:rPr>
          <w:rFonts w:ascii="仿宋" w:eastAsia="仿宋" w:hAnsi="仿宋" w:cs="SimSun,Bold" w:hint="eastAsia"/>
          <w:bCs/>
          <w:color w:val="000000"/>
          <w:kern w:val="0"/>
          <w:sz w:val="24"/>
          <w:szCs w:val="24"/>
        </w:rPr>
        <w:t>大会公告载明</w:t>
      </w:r>
      <w:r>
        <w:rPr>
          <w:rFonts w:ascii="仿宋" w:eastAsia="仿宋" w:hAnsi="仿宋" w:cs="SimSun,Bold" w:hint="eastAsia"/>
          <w:bCs/>
          <w:color w:val="000000"/>
          <w:kern w:val="0"/>
          <w:sz w:val="24"/>
          <w:szCs w:val="24"/>
        </w:rPr>
        <w:t>的</w:t>
      </w:r>
      <w:r w:rsidRPr="00A47361">
        <w:rPr>
          <w:rFonts w:ascii="仿宋" w:eastAsia="仿宋" w:hAnsi="仿宋" w:cs="SimSun,Bold" w:hint="eastAsia"/>
          <w:bCs/>
          <w:color w:val="000000"/>
          <w:kern w:val="0"/>
          <w:sz w:val="24"/>
          <w:szCs w:val="24"/>
        </w:rPr>
        <w:t>其他方式在表决截止日以前</w:t>
      </w:r>
      <w:r w:rsidRPr="00C02099">
        <w:rPr>
          <w:rFonts w:ascii="仿宋" w:eastAsia="仿宋" w:hAnsi="仿宋" w:cs="SimSun,Bold" w:hint="eastAsia"/>
          <w:bCs/>
          <w:color w:val="000000"/>
          <w:kern w:val="0"/>
          <w:sz w:val="24"/>
          <w:szCs w:val="24"/>
        </w:rPr>
        <w:t>送达</w:t>
      </w:r>
      <w:r w:rsidRPr="00A47361">
        <w:rPr>
          <w:rFonts w:ascii="仿宋" w:eastAsia="仿宋" w:hAnsi="仿宋" w:cs="SimSun,Bold" w:hint="eastAsia"/>
          <w:bCs/>
          <w:color w:val="000000"/>
          <w:kern w:val="0"/>
          <w:sz w:val="24"/>
          <w:szCs w:val="24"/>
        </w:rPr>
        <w:t>至召集人指定的地址或系统。通讯开会应以书面方式或</w:t>
      </w:r>
      <w:r w:rsidRPr="00C02099">
        <w:rPr>
          <w:rFonts w:ascii="仿宋" w:eastAsia="仿宋" w:hAnsi="仿宋" w:cs="SimSun,Bold" w:hint="eastAsia"/>
          <w:bCs/>
          <w:color w:val="000000"/>
          <w:kern w:val="0"/>
          <w:sz w:val="24"/>
          <w:szCs w:val="24"/>
        </w:rPr>
        <w:t>大会公告载明</w:t>
      </w:r>
      <w:r w:rsidRPr="00A47361">
        <w:rPr>
          <w:rFonts w:ascii="仿宋" w:eastAsia="仿宋" w:hAnsi="仿宋" w:cs="SimSun,Bold" w:hint="eastAsia"/>
          <w:bCs/>
          <w:color w:val="000000"/>
          <w:kern w:val="0"/>
          <w:sz w:val="24"/>
          <w:szCs w:val="24"/>
        </w:rPr>
        <w:t>的其他方式进行表决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在同时符合以下条件时，通讯开会的方式视为有效：</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1）会议召集人按《基金合同》约定公布会议通知后，在2个工作日内连续公布相关提示性公告；</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5、议事内容与程序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）议事内容及提案权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基金份额持有人大会的召集人发出召集会议的通知后，对原有提案的修改应当在基金份额持有人大会召开前及时公告。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基金份额持有人大会不得对未事先公告的议事内容进行表决。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）议事程序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以上（含</w:t>
      </w:r>
      <w:r>
        <w:rPr>
          <w:rFonts w:ascii="仿宋" w:eastAsia="仿宋" w:hAnsi="仿宋" w:cs="SimSun,Bold"/>
          <w:bCs/>
          <w:color w:val="000000"/>
          <w:kern w:val="0"/>
          <w:sz w:val="24"/>
          <w:szCs w:val="24"/>
        </w:rPr>
        <w:t>二分之一</w:t>
      </w:r>
      <w:r>
        <w:rPr>
          <w:rFonts w:ascii="仿宋" w:eastAsia="仿宋" w:hAnsi="仿宋" w:cs="SimSun,Bold" w:hint="eastAsia"/>
          <w:bCs/>
          <w:color w:val="000000"/>
          <w:kern w:val="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会议召集人应当制作出席会议人员的签名册。签名册载明参加会议人员姓名（或单位名称）、身份证明文件号码、持有或代</w:t>
      </w:r>
      <w:r>
        <w:rPr>
          <w:rFonts w:ascii="仿宋" w:eastAsia="仿宋" w:hAnsi="仿宋" w:cs="SimSun,Bold" w:hint="eastAsia"/>
          <w:bCs/>
          <w:color w:val="000000"/>
          <w:kern w:val="0"/>
          <w:sz w:val="24"/>
          <w:szCs w:val="24"/>
        </w:rPr>
        <w:t>表有表决权的基金份额、委托人姓名（或单位名称）和联系方式等事项。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在通讯开会的情况下，首先由召集人提前</w:t>
      </w:r>
      <w:r>
        <w:rPr>
          <w:rFonts w:ascii="仿宋" w:eastAsia="仿宋" w:hAnsi="仿宋" w:cs="SimSun,Bold"/>
          <w:bCs/>
          <w:color w:val="000000"/>
          <w:kern w:val="0"/>
          <w:sz w:val="24"/>
          <w:szCs w:val="24"/>
        </w:rPr>
        <w:t>30</w:t>
      </w:r>
      <w:r>
        <w:rPr>
          <w:rFonts w:ascii="仿宋" w:eastAsia="仿宋" w:hAnsi="仿宋" w:cs="SimSun,Bold" w:hint="eastAsia"/>
          <w:bCs/>
          <w:color w:val="000000"/>
          <w:kern w:val="0"/>
          <w:sz w:val="24"/>
          <w:szCs w:val="24"/>
        </w:rPr>
        <w:t>日公布提案，在所通知的表决截止日期后</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个工作日内在公证机关监督下由召集人统计全部有效表决，在公证机关监督下形成决议。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基金份额持有人所持每份基金份额有一票表决权。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基金份额持有人大会决议分为一般决议和特别决议：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）一般决议，一般决议须经参加大会的基金份额持有人或其代理人所持表决权的</w:t>
      </w:r>
      <w:r w:rsidRPr="00A47361">
        <w:rPr>
          <w:rFonts w:ascii="仿宋" w:eastAsia="仿宋" w:hAnsi="仿宋" w:cs="SimSun,Bold" w:hint="eastAsia"/>
          <w:bCs/>
          <w:color w:val="000000"/>
          <w:kern w:val="0"/>
          <w:sz w:val="24"/>
          <w:szCs w:val="24"/>
        </w:rPr>
        <w:t>二分之一以上（含二分之一）</w:t>
      </w:r>
      <w:r>
        <w:rPr>
          <w:rFonts w:ascii="仿宋" w:eastAsia="仿宋" w:hAnsi="仿宋" w:cs="SimSun,Bold" w:hint="eastAsia"/>
          <w:bCs/>
          <w:color w:val="000000"/>
          <w:kern w:val="0"/>
          <w:sz w:val="24"/>
          <w:szCs w:val="24"/>
        </w:rPr>
        <w:t>通过方为有效；除下列第（</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）项所规定的须以特别决议通过事项以外的其他事项均以一般决议的方式通过。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）特别决议，特别决议应当经参加大会的基金份额持有人或其代理人所持表决权的三分之二以上（含三分之二）通过方可做出。</w:t>
      </w:r>
      <w:r w:rsidRPr="00397C20">
        <w:rPr>
          <w:rFonts w:ascii="仿宋" w:eastAsia="仿宋" w:hAnsi="仿宋" w:cs="SimSun,Bold" w:hint="eastAsia"/>
          <w:bCs/>
          <w:color w:val="000000"/>
          <w:kern w:val="0"/>
          <w:sz w:val="24"/>
          <w:szCs w:val="24"/>
        </w:rPr>
        <w:t>除法律法规另有规定或基金合同另有约定外，</w:t>
      </w:r>
      <w:r>
        <w:rPr>
          <w:rFonts w:ascii="仿宋" w:eastAsia="仿宋" w:hAnsi="仿宋" w:cs="SimSun,Bold" w:hint="eastAsia"/>
          <w:bCs/>
          <w:color w:val="000000"/>
          <w:kern w:val="0"/>
          <w:sz w:val="24"/>
          <w:szCs w:val="24"/>
        </w:rPr>
        <w:t>转换基金运作方式、更换基金管理人或者基金托管人、终止《基金合同》、</w:t>
      </w:r>
      <w:r w:rsidRPr="00A47361">
        <w:rPr>
          <w:rFonts w:ascii="仿宋" w:eastAsia="仿宋" w:hAnsi="仿宋" w:cs="SimSun,Bold" w:hint="eastAsia"/>
          <w:bCs/>
          <w:color w:val="000000"/>
          <w:kern w:val="0"/>
          <w:sz w:val="24"/>
          <w:szCs w:val="24"/>
        </w:rPr>
        <w:t>本基金</w:t>
      </w:r>
      <w:r>
        <w:rPr>
          <w:rFonts w:ascii="仿宋" w:eastAsia="仿宋" w:hAnsi="仿宋" w:cs="SimSun,Bold" w:hint="eastAsia"/>
          <w:bCs/>
          <w:color w:val="000000"/>
          <w:kern w:val="0"/>
          <w:sz w:val="24"/>
          <w:szCs w:val="24"/>
        </w:rPr>
        <w:t>与其他基金合并以特别决议通过方为有效。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基金份额持有人大会采取记名方式进行投票表决。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采取通讯方式进行表决时，除非在计票时有充分的相反证据证明，否则提交符合会议通知中规定的确认投资者身份文件的表决视</w:t>
      </w:r>
      <w:r>
        <w:rPr>
          <w:rFonts w:ascii="仿宋" w:eastAsia="仿宋" w:hAnsi="仿宋" w:cs="SimSun,Bold" w:hint="eastAsia"/>
          <w:bCs/>
          <w:color w:val="000000"/>
          <w:kern w:val="0"/>
          <w:sz w:val="24"/>
          <w:szCs w:val="24"/>
        </w:rPr>
        <w:t>为有效出席的投资者，表面符合会议通知规定的表决意见视为有效表决，表决意见模糊不清或相互矛盾的视为弃权表决，但应当计入出具表决意见的基金份额持有人所代表的基金份额总数。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基金份额持有人大会的各项提案或同一项提案内并列的各项议题应当分开审议、逐项表决。</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7、计票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）现场开会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）监票人应当在基金份额持有人表决后立即进行清点并由大会主持人当场公布计票结果。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）计票过程应由公证机关予以公证</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基金管理人或基金托管人拒不出席大会的，不影响计票的效力。</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）通讯开会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8、生效与公告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基金份额持有人大会的决议，召集人应当自通过之日起</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日内报中国证监会备案。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基金份额持有人大会的决议事项自表决通过之日起生效。</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基金份额持有人大会决议自生效之日起</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日内在规定媒介上公告。如果采用通讯方式进行表决，在公告基金份额持有人大会决议时，必须将公证书全文、公证机构、公证员姓名等一同公告。</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9</w:t>
      </w:r>
      <w:r w:rsidRPr="00A47361">
        <w:rPr>
          <w:rFonts w:ascii="仿宋" w:eastAsia="仿宋" w:hAnsi="仿宋" w:cs="SimSun,Bold" w:hint="eastAsia"/>
          <w:bCs/>
          <w:color w:val="000000"/>
          <w:kern w:val="0"/>
          <w:sz w:val="24"/>
          <w:szCs w:val="24"/>
        </w:rPr>
        <w:t>、实施侧袋机制期间基金份额持有人大会的特殊约定</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1、基金份额持有人行使提议权、召集权、提名权所需单独或合计代表相关基金份额10%以上（含10%）；</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2、现场开会的到会者在权益登记日代表的基金份额不少于本基金在权益登记日相关基金份额的二分之一（含二分之一）；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3、通讯开会的直接出具表决意见或授权他人代表出具表决意见的基金份额持有人所持有的基金份额不小于在权益登记日相关基金份额的二分之一（含二分之一）；</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5、现场开会由出席大会的基金份额持有人和代理人所持表决权的50%以上（含50%）选举产生一名基金份额持有人作为该次基金份额持有人大会的主持人；</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6、一般决议须经参加大会的基金份额持有人或其代理人所持表决权的二分之一以上（含二分之一）通过；</w:t>
      </w:r>
    </w:p>
    <w:p w:rsidR="00E45E2B" w:rsidRPr="00A4736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7、特别决议应当经参加大会的基金份额持有人或其代理人所持表决权的三分之二以上（含三分之二）通过。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A47361">
        <w:rPr>
          <w:rFonts w:ascii="仿宋" w:eastAsia="仿宋" w:hAnsi="仿宋" w:cs="SimSun,Bold" w:hint="eastAsia"/>
          <w:bCs/>
          <w:color w:val="000000"/>
          <w:kern w:val="0"/>
          <w:sz w:val="24"/>
          <w:szCs w:val="24"/>
        </w:rPr>
        <w:t>同一主侧袋账户内的每份基金份额具有平等的表决权。</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w:t>
      </w:r>
      <w:r w:rsidRPr="00A47361">
        <w:rPr>
          <w:rFonts w:ascii="仿宋" w:eastAsia="仿宋" w:hAnsi="仿宋" w:cs="SimSun,Bold" w:hint="eastAsia"/>
          <w:bCs/>
          <w:color w:val="000000"/>
          <w:kern w:val="0"/>
          <w:sz w:val="24"/>
          <w:szCs w:val="24"/>
        </w:rPr>
        <w:t>与基金托管人协商一致并</w:t>
      </w:r>
      <w:r>
        <w:rPr>
          <w:rFonts w:ascii="仿宋" w:eastAsia="仿宋" w:hAnsi="仿宋" w:cs="SimSun,Bold" w:hint="eastAsia"/>
          <w:bCs/>
          <w:color w:val="000000"/>
          <w:kern w:val="0"/>
          <w:sz w:val="24"/>
          <w:szCs w:val="24"/>
        </w:rPr>
        <w:t>提前公告后，可直接对本部分内容进行修改和调整，无需召开基金份额持有人大会审议。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61" w:name="_Toc459291267"/>
      <w:bookmarkStart w:id="262" w:name="_Toc149132965"/>
      <w:bookmarkStart w:id="263" w:name="_Toc169163887"/>
      <w:r>
        <w:rPr>
          <w:rFonts w:ascii="仿宋" w:eastAsia="仿宋" w:hAnsi="仿宋" w:cs="SimSun,Bold" w:hint="eastAsia"/>
          <w:b/>
          <w:bCs/>
          <w:color w:val="000000"/>
          <w:kern w:val="0"/>
          <w:sz w:val="24"/>
          <w:szCs w:val="24"/>
        </w:rPr>
        <w:t>（三）基金收益分配原则、执行方式</w:t>
      </w:r>
      <w:bookmarkEnd w:id="261"/>
      <w:bookmarkEnd w:id="262"/>
      <w:bookmarkEnd w:id="26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4" w:name="_Toc459291268"/>
      <w:r>
        <w:rPr>
          <w:rFonts w:ascii="仿宋" w:eastAsia="仿宋" w:hAnsi="仿宋" w:cs="SimSun,Bold" w:hint="eastAsia"/>
          <w:bCs/>
          <w:color w:val="000000"/>
          <w:kern w:val="0"/>
          <w:sz w:val="24"/>
          <w:szCs w:val="24"/>
        </w:rPr>
        <w:t>1、基金利润的构成</w:t>
      </w:r>
      <w:bookmarkEnd w:id="26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5" w:name="_Toc459291269"/>
      <w:r>
        <w:rPr>
          <w:rFonts w:ascii="仿宋" w:eastAsia="仿宋" w:hAnsi="仿宋" w:cs="SimSun,Bold" w:hint="eastAsia"/>
          <w:bCs/>
          <w:color w:val="000000"/>
          <w:kern w:val="0"/>
          <w:sz w:val="24"/>
          <w:szCs w:val="24"/>
        </w:rPr>
        <w:t>基金利润指基金利息收入、投资收益、公允价值变动收益和其他收入扣除相关费用后的余额。基金已实现收益指基金利润减去公允价值变动收益后的余额。</w:t>
      </w:r>
      <w:bookmarkEnd w:id="26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6" w:name="_Toc459291270"/>
      <w:r>
        <w:rPr>
          <w:rFonts w:ascii="仿宋" w:eastAsia="仿宋" w:hAnsi="仿宋" w:cs="SimSun,Bold" w:hint="eastAsia"/>
          <w:bCs/>
          <w:color w:val="000000"/>
          <w:kern w:val="0"/>
          <w:sz w:val="24"/>
          <w:szCs w:val="24"/>
        </w:rPr>
        <w:t>2、基金可供分配利润</w:t>
      </w:r>
      <w:bookmarkEnd w:id="26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7" w:name="_Toc459291271"/>
      <w:r>
        <w:rPr>
          <w:rFonts w:ascii="仿宋" w:eastAsia="仿宋" w:hAnsi="仿宋" w:cs="SimSun,Bold" w:hint="eastAsia"/>
          <w:bCs/>
          <w:color w:val="000000"/>
          <w:kern w:val="0"/>
          <w:sz w:val="24"/>
          <w:szCs w:val="24"/>
        </w:rPr>
        <w:t>基金可供分配利润指截至收益分配基准日</w:t>
      </w:r>
      <w:r w:rsidRPr="00CC66C3">
        <w:rPr>
          <w:rFonts w:ascii="仿宋" w:eastAsia="仿宋" w:hAnsi="仿宋" w:cs="SimSun,Bold" w:hint="eastAsia"/>
          <w:bCs/>
          <w:color w:val="000000"/>
          <w:kern w:val="0"/>
          <w:sz w:val="24"/>
          <w:szCs w:val="24"/>
        </w:rPr>
        <w:t>基金</w:t>
      </w:r>
      <w:r>
        <w:rPr>
          <w:rFonts w:ascii="仿宋" w:eastAsia="仿宋" w:hAnsi="仿宋" w:cs="SimSun,Bold" w:hint="eastAsia"/>
          <w:bCs/>
          <w:color w:val="000000"/>
          <w:kern w:val="0"/>
          <w:sz w:val="24"/>
          <w:szCs w:val="24"/>
        </w:rPr>
        <w:t>未分配利润与未分配利润中已实现收益的孰低数。</w:t>
      </w:r>
      <w:bookmarkEnd w:id="26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8" w:name="_Toc459291272"/>
      <w:r>
        <w:rPr>
          <w:rFonts w:ascii="仿宋" w:eastAsia="仿宋" w:hAnsi="仿宋" w:cs="SimSun,Bold" w:hint="eastAsia"/>
          <w:bCs/>
          <w:color w:val="000000"/>
          <w:kern w:val="0"/>
          <w:sz w:val="24"/>
          <w:szCs w:val="24"/>
        </w:rPr>
        <w:t>3、基金收益分配原则</w:t>
      </w:r>
      <w:bookmarkEnd w:id="26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9" w:name="_Toc459291273"/>
      <w:r>
        <w:rPr>
          <w:rFonts w:ascii="仿宋" w:eastAsia="仿宋" w:hAnsi="仿宋" w:cs="SimSun,Bold" w:hint="eastAsia"/>
          <w:bCs/>
          <w:color w:val="000000"/>
          <w:kern w:val="0"/>
          <w:sz w:val="24"/>
          <w:szCs w:val="24"/>
        </w:rPr>
        <w:t>本基金收益分配应遵循下列原则：</w:t>
      </w:r>
      <w:bookmarkEnd w:id="269"/>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0" w:name="_Toc459291274"/>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在符合有关基金分红条件的前提下，本基金管理人可以根据实际情况进行收益分配，具体分配方案以公告为准，若《基金合同》生效不满3个月则可不进行收益分配</w:t>
      </w:r>
      <w:r>
        <w:rPr>
          <w:rFonts w:ascii="仿宋" w:eastAsia="仿宋" w:hAnsi="仿宋" w:cs="SimSun,Bold" w:hint="eastAsia"/>
          <w:bCs/>
          <w:color w:val="000000"/>
          <w:kern w:val="0"/>
          <w:sz w:val="24"/>
          <w:szCs w:val="24"/>
        </w:rPr>
        <w:t>；</w:t>
      </w:r>
      <w:bookmarkEnd w:id="270"/>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1" w:name="_Toc459291276"/>
      <w:bookmarkStart w:id="272" w:name="_Toc459291275"/>
      <w:r>
        <w:rPr>
          <w:rFonts w:ascii="仿宋" w:eastAsia="仿宋" w:hAnsi="仿宋" w:cs="SimSun,Bold" w:hint="eastAsia"/>
          <w:bCs/>
          <w:color w:val="000000"/>
          <w:kern w:val="0"/>
          <w:sz w:val="24"/>
          <w:szCs w:val="24"/>
        </w:rPr>
        <w:t>（2）</w:t>
      </w:r>
      <w:r w:rsidRPr="00D27B8C">
        <w:rPr>
          <w:rFonts w:ascii="仿宋" w:eastAsia="仿宋" w:hAnsi="仿宋" w:cs="SimSun,Bold" w:hint="eastAsia"/>
          <w:bCs/>
          <w:color w:val="000000"/>
          <w:kern w:val="0"/>
          <w:sz w:val="24"/>
          <w:szCs w:val="24"/>
        </w:rPr>
        <w:t>本基金的收益分配方式分两种：现金分红与红利再投资，投资者可选择现金分红或将现金分红自动转为基金份额进行再投资；若投资者不选择，本基金默认的收益分配方式是现金分红；选择采取红利再投资形式的，红利再投资的份额免收申购费；</w:t>
      </w:r>
      <w:bookmarkEnd w:id="271"/>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3" w:name="_Toc459291277"/>
      <w:r>
        <w:rPr>
          <w:rFonts w:ascii="仿宋" w:eastAsia="仿宋" w:hAnsi="仿宋" w:cs="SimSun,Bold" w:hint="eastAsia"/>
          <w:bCs/>
          <w:color w:val="000000"/>
          <w:kern w:val="0"/>
          <w:sz w:val="24"/>
          <w:szCs w:val="24"/>
        </w:rPr>
        <w:t>（3）</w:t>
      </w:r>
      <w:r w:rsidRPr="00D27B8C">
        <w:rPr>
          <w:rFonts w:ascii="仿宋" w:eastAsia="仿宋" w:hAnsi="仿宋" w:cs="SimSun,Bold" w:hint="eastAsia"/>
          <w:bCs/>
          <w:color w:val="000000"/>
          <w:kern w:val="0"/>
          <w:sz w:val="24"/>
          <w:szCs w:val="24"/>
        </w:rPr>
        <w:t>基金收益分配后基金份额净值不能低于面值，即基金收益分配基准日的基金份额净值减去每单位基金份额收益分配金额后不能低于面值；</w:t>
      </w:r>
      <w:bookmarkEnd w:id="27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284CA0">
        <w:rPr>
          <w:rFonts w:ascii="仿宋" w:eastAsia="仿宋" w:hAnsi="仿宋" w:cs="SimSun,Bold" w:hint="eastAsia"/>
          <w:bCs/>
          <w:color w:val="000000"/>
          <w:kern w:val="0"/>
          <w:sz w:val="24"/>
          <w:szCs w:val="24"/>
        </w:rPr>
        <w:t>本基金的每份基金份额享有同等分配权</w:t>
      </w:r>
      <w:r w:rsidRPr="00D27B8C">
        <w:rPr>
          <w:rFonts w:ascii="仿宋" w:eastAsia="仿宋" w:hAnsi="仿宋" w:cs="SimSun,Bold" w:hint="eastAsia"/>
          <w:bCs/>
          <w:color w:val="000000"/>
          <w:kern w:val="0"/>
          <w:sz w:val="24"/>
          <w:szCs w:val="24"/>
        </w:rPr>
        <w:t>；</w:t>
      </w:r>
      <w:bookmarkEnd w:id="272"/>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4" w:name="_Toc459291278"/>
      <w:r>
        <w:rPr>
          <w:rFonts w:ascii="仿宋" w:eastAsia="仿宋" w:hAnsi="仿宋" w:cs="SimSun,Bold" w:hint="eastAsia"/>
          <w:bCs/>
          <w:color w:val="000000"/>
          <w:kern w:val="0"/>
          <w:sz w:val="24"/>
          <w:szCs w:val="24"/>
        </w:rPr>
        <w:t>（5）法律法规或监管机关另有规定的，从其规定</w:t>
      </w:r>
      <w:bookmarkEnd w:id="274"/>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5" w:name="_Toc459291279"/>
      <w:r>
        <w:rPr>
          <w:rFonts w:ascii="仿宋" w:eastAsia="仿宋" w:hAnsi="仿宋" w:cs="SimSun,Bold" w:hint="eastAsia"/>
          <w:bCs/>
          <w:color w:val="000000"/>
          <w:kern w:val="0"/>
          <w:sz w:val="24"/>
          <w:szCs w:val="24"/>
        </w:rPr>
        <w:t>在对基金份额持有人利益无实质性不利影响的前提下</w:t>
      </w:r>
      <w:r w:rsidR="00583100">
        <w:rPr>
          <w:rFonts w:ascii="仿宋" w:eastAsia="仿宋" w:hAnsi="仿宋" w:cs="宋体" w:hint="eastAsia"/>
          <w:kern w:val="0"/>
          <w:sz w:val="24"/>
          <w:szCs w:val="24"/>
        </w:rPr>
        <w:t>并履行适当程序后</w:t>
      </w:r>
      <w:r>
        <w:rPr>
          <w:rFonts w:ascii="仿宋" w:eastAsia="仿宋" w:hAnsi="仿宋" w:cs="SimSun,Bold" w:hint="eastAsia"/>
          <w:bCs/>
          <w:color w:val="000000"/>
          <w:kern w:val="0"/>
          <w:sz w:val="24"/>
          <w:szCs w:val="24"/>
        </w:rPr>
        <w:t>，基金管理人可对基金收益分配原则进行调整。</w:t>
      </w:r>
      <w:bookmarkEnd w:id="27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6" w:name="_Toc459291280"/>
      <w:r>
        <w:rPr>
          <w:rFonts w:ascii="仿宋" w:eastAsia="仿宋" w:hAnsi="仿宋" w:cs="SimSun,Bold" w:hint="eastAsia"/>
          <w:bCs/>
          <w:color w:val="000000"/>
          <w:kern w:val="0"/>
          <w:sz w:val="24"/>
          <w:szCs w:val="24"/>
        </w:rPr>
        <w:t>4、收益分配方案</w:t>
      </w:r>
      <w:bookmarkEnd w:id="27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7" w:name="_Toc459291281"/>
      <w:r>
        <w:rPr>
          <w:rFonts w:ascii="仿宋" w:eastAsia="仿宋" w:hAnsi="仿宋" w:cs="SimSun,Bold" w:hint="eastAsia"/>
          <w:bCs/>
          <w:color w:val="000000"/>
          <w:kern w:val="0"/>
          <w:sz w:val="24"/>
          <w:szCs w:val="24"/>
        </w:rPr>
        <w:t>基金收益分配方案中应载明截至基金收益分配基准日的可供分配利润、基金收益分配对象、分配时间、分配数额及比例、分配方式等内容。</w:t>
      </w:r>
      <w:bookmarkEnd w:id="277"/>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8" w:name="_Toc459291282"/>
      <w:r>
        <w:rPr>
          <w:rFonts w:ascii="仿宋" w:eastAsia="仿宋" w:hAnsi="仿宋" w:cs="SimSun,Bold" w:hint="eastAsia"/>
          <w:bCs/>
          <w:color w:val="000000"/>
          <w:kern w:val="0"/>
          <w:sz w:val="24"/>
          <w:szCs w:val="24"/>
        </w:rPr>
        <w:t>5、收益分配方案的确定、公告与实施</w:t>
      </w:r>
      <w:bookmarkEnd w:id="27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9" w:name="_Toc459291283"/>
      <w:r>
        <w:rPr>
          <w:rFonts w:ascii="仿宋" w:eastAsia="仿宋" w:hAnsi="仿宋" w:cs="SimSun,Bold"/>
          <w:bCs/>
          <w:color w:val="000000"/>
          <w:kern w:val="0"/>
          <w:sz w:val="24"/>
          <w:szCs w:val="24"/>
        </w:rPr>
        <w:t>本基金收益分配方案由基金管理人拟定，并由基金托管人复核，在2日内在规定媒介公告。</w:t>
      </w:r>
      <w:bookmarkEnd w:id="279"/>
    </w:p>
    <w:p w:rsidR="00E45E2B" w:rsidRPr="00D27B8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0" w:name="_Toc459291285"/>
      <w:r>
        <w:rPr>
          <w:rFonts w:ascii="仿宋" w:eastAsia="仿宋" w:hAnsi="仿宋" w:cs="SimSun,Bold" w:hint="eastAsia"/>
          <w:bCs/>
          <w:color w:val="000000"/>
          <w:kern w:val="0"/>
          <w:sz w:val="24"/>
          <w:szCs w:val="24"/>
        </w:rPr>
        <w:t>6</w:t>
      </w:r>
      <w:r w:rsidRPr="00D27B8C">
        <w:rPr>
          <w:rFonts w:ascii="仿宋" w:eastAsia="仿宋" w:hAnsi="仿宋" w:cs="SimSun,Bold" w:hint="eastAsia"/>
          <w:bCs/>
          <w:color w:val="000000"/>
          <w:kern w:val="0"/>
          <w:sz w:val="24"/>
          <w:szCs w:val="24"/>
        </w:rPr>
        <w:t>、实施侧袋机制期间的收益分配</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27B8C">
        <w:rPr>
          <w:rFonts w:ascii="仿宋" w:eastAsia="仿宋" w:hAnsi="仿宋" w:cs="SimSun,Bold" w:hint="eastAsia"/>
          <w:bCs/>
          <w:color w:val="000000"/>
          <w:kern w:val="0"/>
          <w:sz w:val="24"/>
          <w:szCs w:val="24"/>
        </w:rPr>
        <w:t>本基金实施侧袋机制的，侧袋账户不进行收益分配，详见招募说明书的规定。</w:t>
      </w:r>
      <w:bookmarkEnd w:id="280"/>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81" w:name="_Toc459291286"/>
      <w:bookmarkStart w:id="282" w:name="_Toc149132966"/>
      <w:bookmarkStart w:id="283" w:name="_Toc169163888"/>
      <w:r>
        <w:rPr>
          <w:rFonts w:ascii="仿宋" w:eastAsia="仿宋" w:hAnsi="仿宋" w:cs="SimSun,Bold" w:hint="eastAsia"/>
          <w:b/>
          <w:bCs/>
          <w:color w:val="000000"/>
          <w:kern w:val="0"/>
          <w:sz w:val="24"/>
          <w:szCs w:val="24"/>
        </w:rPr>
        <w:t>（四）与基金财产管理、运作有关费用的提取、支付方式与比例</w:t>
      </w:r>
      <w:bookmarkEnd w:id="281"/>
      <w:bookmarkEnd w:id="282"/>
      <w:bookmarkEnd w:id="28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4" w:name="_Toc459291287"/>
      <w:r>
        <w:rPr>
          <w:rFonts w:ascii="仿宋" w:eastAsia="仿宋" w:hAnsi="仿宋" w:cs="SimSun,Bold" w:hint="eastAsia"/>
          <w:bCs/>
          <w:color w:val="000000"/>
          <w:kern w:val="0"/>
          <w:sz w:val="24"/>
          <w:szCs w:val="24"/>
        </w:rPr>
        <w:t>1、基金费用的种类</w:t>
      </w:r>
      <w:bookmarkEnd w:id="284"/>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5" w:name="_Toc459291288"/>
      <w:r>
        <w:rPr>
          <w:rFonts w:ascii="仿宋" w:eastAsia="仿宋" w:hAnsi="仿宋" w:cs="SimSun,Bold" w:hint="eastAsia"/>
          <w:bCs/>
          <w:color w:val="000000"/>
          <w:kern w:val="0"/>
          <w:sz w:val="24"/>
          <w:szCs w:val="24"/>
        </w:rPr>
        <w:t>（1）</w:t>
      </w:r>
      <w:r w:rsidRPr="00CC66C3">
        <w:rPr>
          <w:rFonts w:ascii="仿宋" w:eastAsia="仿宋" w:hAnsi="仿宋" w:cs="SimSun,Bold" w:hint="eastAsia"/>
          <w:bCs/>
          <w:color w:val="000000"/>
          <w:kern w:val="0"/>
          <w:sz w:val="24"/>
          <w:szCs w:val="24"/>
        </w:rPr>
        <w:t>基金管理人的管理费；</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6" w:name="_Toc459291289"/>
      <w:r>
        <w:rPr>
          <w:rFonts w:ascii="仿宋" w:eastAsia="仿宋" w:hAnsi="仿宋" w:cs="SimSun,Bold" w:hint="eastAsia"/>
          <w:bCs/>
          <w:color w:val="000000"/>
          <w:kern w:val="0"/>
          <w:sz w:val="24"/>
          <w:szCs w:val="24"/>
        </w:rPr>
        <w:t>（2）</w:t>
      </w:r>
      <w:r w:rsidRPr="00CC66C3">
        <w:rPr>
          <w:rFonts w:ascii="仿宋" w:eastAsia="仿宋" w:hAnsi="仿宋" w:cs="SimSun,Bold" w:hint="eastAsia"/>
          <w:bCs/>
          <w:color w:val="000000"/>
          <w:kern w:val="0"/>
          <w:sz w:val="24"/>
          <w:szCs w:val="24"/>
        </w:rPr>
        <w:t>基金托管人的托管费；</w:t>
      </w:r>
      <w:bookmarkEnd w:id="286"/>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7" w:name="_Toc459291290"/>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《基金合同》生效后与基金相关的信息披露费用，但法律法规、中国证监会另有规定的除外；</w:t>
      </w:r>
      <w:bookmarkEnd w:id="287"/>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8" w:name="_Toc459291291"/>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《基金合同》生效后与基金相关的会计师费、律师费、仲裁费和诉讼费；</w:t>
      </w:r>
      <w:bookmarkEnd w:id="288"/>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9" w:name="_Toc459291292"/>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5</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基金份额持有人大会费用；</w:t>
      </w:r>
      <w:bookmarkEnd w:id="289"/>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0" w:name="_Toc459291293"/>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6</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基金的证券、期货、股票期权等交易或结算费用；</w:t>
      </w:r>
      <w:bookmarkEnd w:id="290"/>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1" w:name="_Toc459291294"/>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基金的银行汇划费用；</w:t>
      </w:r>
      <w:bookmarkEnd w:id="291"/>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2" w:name="_Toc459291295"/>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基金的相关账户开户费和账户维护费；</w:t>
      </w:r>
      <w:bookmarkEnd w:id="292"/>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3" w:name="_Toc459291296"/>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9</w:t>
      </w:r>
      <w:r>
        <w:rPr>
          <w:rFonts w:ascii="仿宋" w:eastAsia="仿宋" w:hAnsi="仿宋" w:cs="SimSun,Bold" w:hint="eastAsia"/>
          <w:bCs/>
          <w:color w:val="000000"/>
          <w:kern w:val="0"/>
          <w:sz w:val="24"/>
          <w:szCs w:val="24"/>
        </w:rPr>
        <w:t>）</w:t>
      </w:r>
      <w:bookmarkStart w:id="294" w:name="_Toc459291297"/>
      <w:bookmarkEnd w:id="293"/>
      <w:r w:rsidRPr="00CC66C3">
        <w:rPr>
          <w:rFonts w:ascii="仿宋" w:eastAsia="仿宋" w:hAnsi="仿宋" w:cs="SimSun,Bold" w:hint="eastAsia"/>
          <w:bCs/>
          <w:color w:val="000000"/>
          <w:kern w:val="0"/>
          <w:sz w:val="24"/>
          <w:szCs w:val="24"/>
        </w:rPr>
        <w:t>投资港股通标的股票的相关费用；</w:t>
      </w:r>
      <w:bookmarkEnd w:id="29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95" w:name="_Toc459291298"/>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CC66C3">
        <w:rPr>
          <w:rFonts w:ascii="仿宋" w:eastAsia="仿宋" w:hAnsi="仿宋" w:cs="SimSun,Bold" w:hint="eastAsia"/>
          <w:bCs/>
          <w:color w:val="000000"/>
          <w:kern w:val="0"/>
          <w:sz w:val="24"/>
          <w:szCs w:val="24"/>
        </w:rPr>
        <w:t>按照国家有关规定和《基金合同》约定，可以在基金财产中列支的其他费用。</w:t>
      </w:r>
      <w:bookmarkEnd w:id="285"/>
      <w:bookmarkEnd w:id="29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2、基金费用计提方法、计提标准和支付方式</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）基金管理人的管理费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本基金的管理费按前一日基金资产净值的1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的年费率计提。管理费的计算方法如下：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为每日应计提的基金管理费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管理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）基金托管人的托管费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本基金的托管费按前一日基金资产净值的</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的年费率计提。托管费的计算方法如下：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H</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E</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w:t>
      </w:r>
      <w:r>
        <w:rPr>
          <w:rFonts w:ascii="仿宋" w:eastAsia="仿宋" w:hAnsi="仿宋" w:cs="SimSun,Bold" w:hint="eastAsia"/>
          <w:bCs/>
          <w:color w:val="000000"/>
          <w:kern w:val="0"/>
          <w:sz w:val="24"/>
          <w:szCs w:val="24"/>
        </w:rPr>
        <w:t>÷当年天数</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H </w:t>
      </w:r>
      <w:r>
        <w:rPr>
          <w:rFonts w:ascii="仿宋" w:eastAsia="仿宋" w:hAnsi="仿宋" w:cs="SimSun,Bold" w:hint="eastAsia"/>
          <w:bCs/>
          <w:color w:val="000000"/>
          <w:kern w:val="0"/>
          <w:sz w:val="24"/>
          <w:szCs w:val="24"/>
        </w:rPr>
        <w:t>为每日应计提的基金托管费</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 xml:space="preserve">E </w:t>
      </w:r>
      <w:r>
        <w:rPr>
          <w:rFonts w:ascii="仿宋" w:eastAsia="仿宋" w:hAnsi="仿宋" w:cs="SimSun,Bold" w:hint="eastAsia"/>
          <w:bCs/>
          <w:color w:val="000000"/>
          <w:kern w:val="0"/>
          <w:sz w:val="24"/>
          <w:szCs w:val="24"/>
        </w:rPr>
        <w:t>为前一日的基金资产净值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DB1B2E">
        <w:rPr>
          <w:rFonts w:ascii="仿宋" w:eastAsia="仿宋" w:hAnsi="仿宋" w:cs="SimSun,Bold" w:hint="eastAsia"/>
          <w:bCs/>
          <w:color w:val="000000"/>
          <w:kern w:val="0"/>
          <w:sz w:val="24"/>
          <w:szCs w:val="24"/>
        </w:rPr>
        <w:t>基金托管费每日计提，逐日累计至每月月末，按月支付。由基金托管人根据与基金管理人核对一致的财务数据，自动在次月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人协商解决</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上述</w:t>
      </w:r>
      <w:r w:rsidRPr="00DB1B2E">
        <w:rPr>
          <w:rFonts w:ascii="仿宋" w:eastAsia="仿宋" w:hAnsi="仿宋" w:cs="SimSun,Bold" w:hint="eastAsia"/>
          <w:bCs/>
          <w:color w:val="000000"/>
          <w:kern w:val="0"/>
          <w:sz w:val="24"/>
          <w:szCs w:val="24"/>
        </w:rPr>
        <w:t>“</w:t>
      </w:r>
      <w:r>
        <w:rPr>
          <w:rFonts w:ascii="仿宋" w:eastAsia="仿宋" w:hAnsi="仿宋" w:cs="SimSun,Bold" w:hint="eastAsia"/>
          <w:bCs/>
          <w:color w:val="000000"/>
          <w:kern w:val="0"/>
          <w:sz w:val="24"/>
          <w:szCs w:val="24"/>
        </w:rPr>
        <w:t>1</w:t>
      </w:r>
      <w:r w:rsidRPr="00DB1B2E">
        <w:rPr>
          <w:rFonts w:ascii="仿宋" w:eastAsia="仿宋" w:hAnsi="仿宋" w:cs="SimSun,Bold" w:hint="eastAsia"/>
          <w:bCs/>
          <w:color w:val="000000"/>
          <w:kern w:val="0"/>
          <w:sz w:val="24"/>
          <w:szCs w:val="24"/>
        </w:rPr>
        <w:t>、基金费用的种类”</w:t>
      </w:r>
      <w:r>
        <w:rPr>
          <w:rFonts w:ascii="仿宋" w:eastAsia="仿宋" w:hAnsi="仿宋" w:cs="SimSun,Bold" w:hint="eastAsia"/>
          <w:bCs/>
          <w:color w:val="000000"/>
          <w:kern w:val="0"/>
          <w:sz w:val="24"/>
          <w:szCs w:val="24"/>
        </w:rPr>
        <w:t>中第（</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10</w:t>
      </w:r>
      <w:r>
        <w:rPr>
          <w:rFonts w:ascii="仿宋" w:eastAsia="仿宋" w:hAnsi="仿宋" w:cs="SimSun,Bold" w:hint="eastAsia"/>
          <w:bCs/>
          <w:color w:val="000000"/>
          <w:kern w:val="0"/>
          <w:sz w:val="24"/>
          <w:szCs w:val="24"/>
        </w:rPr>
        <w:t>）项费用，根据有关法规及相应协议规定，按费用实际支出金额列入当期费用，由基金托管人从基金财产中支付。</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3、不列入基金费用的项目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）基金管理人和基金托管人因未履行或未完全履行义务导致的费用支出或基金财产的损失；</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基金管理人和基金托管人处理与基金运作无关的事项发生的费用；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《基金合同》生效前的相关费用</w:t>
      </w:r>
      <w:r w:rsidRPr="00CC66C3">
        <w:rPr>
          <w:rFonts w:ascii="仿宋" w:eastAsia="仿宋" w:hAnsi="仿宋" w:cs="SimSun,Bold" w:hint="eastAsia"/>
          <w:bCs/>
          <w:color w:val="000000"/>
          <w:kern w:val="0"/>
          <w:sz w:val="24"/>
          <w:szCs w:val="24"/>
        </w:rPr>
        <w:t>根据《东方红</w:t>
      </w:r>
      <w:r>
        <w:rPr>
          <w:rFonts w:ascii="仿宋" w:eastAsia="仿宋" w:hAnsi="仿宋" w:cs="SimSun,Bold" w:hint="eastAsia"/>
          <w:bCs/>
          <w:color w:val="000000"/>
          <w:kern w:val="0"/>
          <w:sz w:val="24"/>
          <w:szCs w:val="24"/>
        </w:rPr>
        <w:t>恒阳五</w:t>
      </w:r>
      <w:r w:rsidRPr="00CC66C3">
        <w:rPr>
          <w:rFonts w:ascii="仿宋" w:eastAsia="仿宋" w:hAnsi="仿宋" w:cs="SimSun,Bold" w:hint="eastAsia"/>
          <w:bCs/>
          <w:color w:val="000000"/>
          <w:kern w:val="0"/>
          <w:sz w:val="24"/>
          <w:szCs w:val="24"/>
        </w:rPr>
        <w:t>年定期开放</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混合型证券投资基金基金合同》的约定执行</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其他根据相关法律法规及中国证监会的有关规定不得列入基金费用的项目。</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4、费用调整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1012A">
        <w:rPr>
          <w:rFonts w:ascii="仿宋" w:eastAsia="仿宋" w:hAnsi="仿宋" w:cs="SimSun,Bold" w:hint="eastAsia"/>
          <w:bCs/>
          <w:color w:val="000000"/>
          <w:kern w:val="0"/>
          <w:sz w:val="24"/>
          <w:szCs w:val="24"/>
        </w:rPr>
        <w:t>在对基金份额持有人利益无实质性不利影响的前提下，</w:t>
      </w:r>
      <w:r>
        <w:rPr>
          <w:rFonts w:ascii="仿宋" w:eastAsia="仿宋" w:hAnsi="仿宋" w:cs="SimSun,Bold" w:hint="eastAsia"/>
          <w:bCs/>
          <w:color w:val="000000"/>
          <w:kern w:val="0"/>
          <w:sz w:val="24"/>
          <w:szCs w:val="24"/>
        </w:rPr>
        <w:t>基金管理人和基金托管人协商一致</w:t>
      </w:r>
      <w:r w:rsidRPr="00CC66C3">
        <w:rPr>
          <w:rFonts w:ascii="仿宋" w:eastAsia="仿宋" w:hAnsi="仿宋" w:cs="SimSun,Bold" w:hint="eastAsia"/>
          <w:bCs/>
          <w:color w:val="000000"/>
          <w:kern w:val="0"/>
          <w:sz w:val="24"/>
          <w:szCs w:val="24"/>
        </w:rPr>
        <w:t>并履行适当程序</w:t>
      </w:r>
      <w:r>
        <w:rPr>
          <w:rFonts w:ascii="仿宋" w:eastAsia="仿宋" w:hAnsi="仿宋" w:cs="SimSun,Bold" w:hint="eastAsia"/>
          <w:bCs/>
          <w:color w:val="000000"/>
          <w:kern w:val="0"/>
          <w:sz w:val="24"/>
          <w:szCs w:val="24"/>
        </w:rPr>
        <w:t>后，可根据基金发展情况调整基金管理费率、基金托管费率。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基金管理人必须于新的费率实施日前依照《信息披露办法》的有关规定在规定媒介上公告。</w:t>
      </w:r>
    </w:p>
    <w:p w:rsidR="00E45E2B" w:rsidRPr="00CC66C3"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CC66C3">
        <w:rPr>
          <w:rFonts w:ascii="仿宋" w:eastAsia="仿宋" w:hAnsi="仿宋" w:cs="SimSun,Bold" w:hint="eastAsia"/>
          <w:bCs/>
          <w:color w:val="000000"/>
          <w:kern w:val="0"/>
          <w:sz w:val="24"/>
          <w:szCs w:val="24"/>
        </w:rPr>
        <w:t>实施侧袋机制期间的基金费用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6、基金税收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C66C3">
        <w:rPr>
          <w:rFonts w:ascii="仿宋" w:eastAsia="仿宋" w:hAnsi="仿宋" w:cs="SimSun,Bold" w:hint="eastAsia"/>
          <w:bCs/>
          <w:color w:val="000000"/>
          <w:kern w:val="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96" w:name="_Toc459291300"/>
      <w:bookmarkStart w:id="297" w:name="_Toc149132967"/>
      <w:bookmarkStart w:id="298" w:name="_Toc169163889"/>
      <w:r>
        <w:rPr>
          <w:rFonts w:ascii="仿宋" w:eastAsia="仿宋" w:hAnsi="仿宋" w:cs="SimSun,Bold" w:hint="eastAsia"/>
          <w:b/>
          <w:bCs/>
          <w:color w:val="000000"/>
          <w:kern w:val="0"/>
          <w:sz w:val="24"/>
          <w:szCs w:val="24"/>
        </w:rPr>
        <w:t>（五）基金资产的投资方向和投资限制</w:t>
      </w:r>
      <w:bookmarkEnd w:id="296"/>
      <w:bookmarkEnd w:id="297"/>
      <w:bookmarkEnd w:id="298"/>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投资目标</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本基金在严格控制投资组合风险的前提下，追求资产净值的长期稳健增值。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的投资范围包括国内依法发行上市的股票及存托凭证（含创业板及其他经中国证监会核准或注册上市的股票及存托凭证）、港股通标的股票、债券（包括国内依法发行的国债、地方政府债、政府支持机构债、金融债、</w:t>
      </w:r>
      <w:r w:rsidRPr="00E05A60">
        <w:rPr>
          <w:rFonts w:ascii="仿宋" w:eastAsia="仿宋" w:hAnsi="仿宋" w:cs="SimSun,Bold" w:hint="eastAsia"/>
          <w:bCs/>
          <w:color w:val="000000"/>
          <w:kern w:val="0"/>
          <w:sz w:val="24"/>
          <w:szCs w:val="24"/>
        </w:rPr>
        <w:t>公开发行的次级债券</w:t>
      </w:r>
      <w:r w:rsidRPr="00C07665">
        <w:rPr>
          <w:rFonts w:ascii="仿宋" w:eastAsia="仿宋" w:hAnsi="仿宋" w:cs="SimSun,Bold" w:hint="eastAsia"/>
          <w:bCs/>
          <w:color w:val="000000"/>
          <w:kern w:val="0"/>
          <w:sz w:val="24"/>
          <w:szCs w:val="24"/>
        </w:rPr>
        <w:t>、中央银行票据、企业债、公司债、中期票据、短期融资券、超短期融资券、可转换债券、可分离交易可转债、可交换债券）、债券回购、银行存款、同业存单、货币市场工具、资产支持证券、股指期货、国债期货、股票期权</w:t>
      </w:r>
      <w:r>
        <w:rPr>
          <w:rFonts w:ascii="仿宋" w:eastAsia="仿宋" w:hAnsi="仿宋" w:cs="SimSun,Bold" w:hint="eastAsia"/>
          <w:bCs/>
          <w:color w:val="000000"/>
          <w:kern w:val="0"/>
          <w:sz w:val="24"/>
          <w:szCs w:val="24"/>
        </w:rPr>
        <w:t>、</w:t>
      </w:r>
      <w:r w:rsidRPr="00DB1B2E">
        <w:rPr>
          <w:rFonts w:ascii="仿宋" w:eastAsia="仿宋" w:hAnsi="仿宋" w:cs="SimSun,Bold" w:hint="eastAsia"/>
          <w:bCs/>
          <w:color w:val="000000"/>
          <w:kern w:val="0"/>
          <w:sz w:val="24"/>
          <w:szCs w:val="24"/>
        </w:rPr>
        <w:t>信用衍生品</w:t>
      </w:r>
      <w:r w:rsidRPr="00C07665">
        <w:rPr>
          <w:rFonts w:ascii="仿宋" w:eastAsia="仿宋" w:hAnsi="仿宋" w:cs="SimSun,Bold" w:hint="eastAsia"/>
          <w:bCs/>
          <w:color w:val="000000"/>
          <w:kern w:val="0"/>
          <w:sz w:val="24"/>
          <w:szCs w:val="24"/>
        </w:rPr>
        <w:t>以及经中国证监会允许基金投资的其他金融工具（但须符合中国证监会的相关规定）。本基金可根据法律法规和基金</w:t>
      </w:r>
      <w:r>
        <w:rPr>
          <w:rFonts w:ascii="仿宋" w:eastAsia="仿宋" w:hAnsi="仿宋" w:cs="SimSun,Bold" w:hint="eastAsia"/>
          <w:bCs/>
          <w:color w:val="000000"/>
          <w:kern w:val="0"/>
          <w:sz w:val="24"/>
          <w:szCs w:val="24"/>
        </w:rPr>
        <w:t>合同的约定参与融资业务。</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如法律法规或监管机构以后允许基金投资其他品种，基金管理人在履行适当程序后，可以将其纳入投资范围。</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本基金的投资比例为：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本基金投资于股票资产（含存托凭证）的比例为基金资产的60%-95%（其中投资于港股通标的股票的比例占股票资产的0%-50%）。</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本基金每个交易日日终在扣除股指期货、国债期货及股票期权合约需缴纳的交易保证金后，保持现金或者到期日在一年以内的政府债券投资比例合计不低于基金资产净值的5%。前述现金不包括结算备付金、存出保证金、应收申购款等。</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如果法律法规或中国证监会变更投资品种的投资比例限制，基金管理人在履行适当程序后，可以调整上述投资品种的投资比例。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投资限制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）投资组合限制</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本基金的投资组合将遵循以下限制：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 xml:space="preserve">1）本基金投资于股票资产（含存托凭证）的比例为基金资产的60%-95%（其中投资于港股通标的股票的比例占股票资产的0%-50%）； </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2）本基金每个交易日日终在扣除股指期货、国债期货和股票期权合约需缴纳的交易保证金后，保持不低于基金资产净值5%的现金或者到期日在一年以内</w:t>
      </w:r>
      <w:r>
        <w:rPr>
          <w:rFonts w:ascii="仿宋" w:eastAsia="仿宋" w:hAnsi="仿宋" w:cs="SimSun,Bold" w:hint="eastAsia"/>
          <w:bCs/>
          <w:color w:val="000000"/>
          <w:kern w:val="0"/>
          <w:sz w:val="24"/>
          <w:szCs w:val="24"/>
        </w:rPr>
        <w:t>的政府债券。前述现金不包括结算备付金、存出保证金、应收申购款等</w:t>
      </w:r>
      <w:r>
        <w:rPr>
          <w:rFonts w:ascii="仿宋" w:eastAsia="仿宋" w:hAnsi="仿宋" w:cs="SimSun,Bold"/>
          <w:bCs/>
          <w:color w:val="000000"/>
          <w:kern w:val="0"/>
          <w:sz w:val="24"/>
          <w:szCs w:val="24"/>
        </w:rPr>
        <w:t>；</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3）基金财产参与股票发行申购，本基金所申报的金额不超过本基金的总资产，本基金所申报的股票数量不超过拟发行股票公司本次发行股票的总量；</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4）本基金持有一家公司发行的证券，其市值（同一家公司在内地和香港同时上市的A+H股合计计算）不超过基金资产净值的10％；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5）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7）本基金投资于同一原始权益人的各类资产支持证券的比例，不得超过基金资产净值的10％；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8）本基金持有的全部资产支持证券，其市值不得超过基金资产净值的20％；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9）本基金持有的同一(指同一信用级别)资产支持证券的比例，不得超过该资产支持证券规模的10％；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10）本基金管理人管理的全部基金投资于同一原始权益人的各类资产支持证券，不得超过其各类资产支持证券合计规模的10％；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12）本基金总资产不得超过基金净资产的140%；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13）本基金参与股指期货和/或国债期货交易时，应当遵守下列要求：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w:t>
      </w:r>
      <w:r w:rsidRPr="00C07665">
        <w:rPr>
          <w:rFonts w:ascii="仿宋" w:eastAsia="仿宋" w:hAnsi="仿宋" w:cs="SimSun,Bold" w:hint="eastAsia"/>
          <w:bCs/>
          <w:color w:val="000000"/>
          <w:kern w:val="0"/>
          <w:sz w:val="24"/>
          <w:szCs w:val="24"/>
        </w:rPr>
        <w:t>基金在任何交易日日终，持有的买入股指期货合约价值不得超过基金资产净值的10%，持有的买入国债期货合约价值，不得超过基金资产净值的15%。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基金在任何交易日日终，持有的卖出股指期货合约价值不得超过基金持有的股票总市值的20%，持有的卖出国债期货合约价值不得超过基金持有的债券总市值的30%。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iv.</w:t>
      </w:r>
      <w:r w:rsidRPr="00C07665">
        <w:rPr>
          <w:rFonts w:ascii="仿宋" w:eastAsia="仿宋" w:hAnsi="仿宋" w:cs="SimSun,Bold" w:hint="eastAsia"/>
          <w:bCs/>
          <w:color w:val="000000"/>
          <w:kern w:val="0"/>
          <w:sz w:val="24"/>
          <w:szCs w:val="24"/>
        </w:rPr>
        <w:t>基金在任何交易日日终，持有的买入国债期货和股指期货合约价值与有价证券市值之和，不得超过基金资产净值的95%。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其中，有价证券指股票、债券（不含到期日在一年以内的政府债券）、资产支持证券、买入返售金融资产（不含质押式回购）等。</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V.</w:t>
      </w:r>
      <w:r w:rsidRPr="00C07665">
        <w:rPr>
          <w:rFonts w:ascii="仿宋" w:eastAsia="仿宋" w:hAnsi="仿宋" w:cs="SimSun,Bold" w:hint="eastAsia"/>
          <w:bCs/>
          <w:color w:val="000000"/>
          <w:kern w:val="0"/>
          <w:sz w:val="24"/>
          <w:szCs w:val="24"/>
        </w:rPr>
        <w:t>基金所持有的股票市值和买入、卖出股指期货合约价值，合计（轧差计算）应当符合基金合同关于股票投资比例的有关约定；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基金所持有的债券（不含到期日在一年以内的政府债券）市值和买入、卖出国债期货合约价值，合计（轧差计算）应当符合基金合同关于债券投资比例的有关约定；</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14）本基金参与股票期权交易的，应当符合下列要求：</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i.</w:t>
      </w:r>
      <w:r w:rsidRPr="00C07665">
        <w:rPr>
          <w:rFonts w:ascii="仿宋" w:eastAsia="仿宋" w:hAnsi="仿宋" w:cs="SimSun,Bold" w:hint="eastAsia"/>
          <w:bCs/>
          <w:color w:val="000000"/>
          <w:kern w:val="0"/>
          <w:sz w:val="24"/>
          <w:szCs w:val="24"/>
        </w:rPr>
        <w:t>基金因未平仓的期权合约支付和收取的权利金总额不得超过基金资产净值的10%；</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w:t>
      </w:r>
      <w:r w:rsidRPr="00C07665">
        <w:rPr>
          <w:rFonts w:ascii="仿宋" w:eastAsia="仿宋" w:hAnsi="仿宋" w:cs="SimSun,Bold" w:hint="eastAsia"/>
          <w:bCs/>
          <w:color w:val="000000"/>
          <w:kern w:val="0"/>
          <w:sz w:val="24"/>
          <w:szCs w:val="24"/>
        </w:rPr>
        <w:t>开仓卖出认购期权的，应持有足额标的证券；开仓卖出认沽期权的，应持有合约行权所需的全额现金或交易所规则认可的可冲抵期权保证金的现金等价物；</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iii.</w:t>
      </w:r>
      <w:r w:rsidRPr="00C07665">
        <w:rPr>
          <w:rFonts w:ascii="仿宋" w:eastAsia="仿宋" w:hAnsi="仿宋" w:cs="SimSun,Bold" w:hint="eastAsia"/>
          <w:bCs/>
          <w:color w:val="000000"/>
          <w:kern w:val="0"/>
          <w:sz w:val="24"/>
          <w:szCs w:val="24"/>
        </w:rPr>
        <w:t>未平仓的期权合约面值不得超过基金资产净值的20%，其中，合约面值按照行权价乘以合约乘数计算；</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15）本基金不得持有信用保护卖方属性的信用衍生品，不得持有合约类信用衍生品，持有的信用衍生品的名义本金不得超过本基金对应受保护债券面值的100%；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16）本基金投资于同一信用保护卖方的各类信用衍生品的名义本金合计不得超过基金资产净值的10%；</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因证券、期货市场波动、证券发行人合并、基金规模变动等基金管理人之外的因素致使基金不符合前述15）、16）所规定比例限制的，基金管理人应在3个月之内进行调整；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7</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本基金与私募类证券资管产品及中国证监会认定的其他主体为交易对手开展逆回购交易的，可接受质押品的资质要求应当与基金合同约定的投资范围保持一致；</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8</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本基金主动投资于流动性受限资产的市值合计不得超过本基金资产净值的15%；因证券市场波动、上市公司股票停牌、基金规模变动等基金管理人之外的因素致使基金不符合前款所规定的比例限制的，基金管理人不得主动新增流动性受限资产的投资；</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9</w:t>
      </w:r>
      <w:r w:rsidRPr="00C07665">
        <w:rPr>
          <w:rFonts w:ascii="仿宋" w:eastAsia="仿宋" w:hAnsi="仿宋" w:cs="SimSun,Bold" w:hint="eastAsia"/>
          <w:bCs/>
          <w:color w:val="000000"/>
          <w:kern w:val="0"/>
          <w:sz w:val="24"/>
          <w:szCs w:val="24"/>
        </w:rPr>
        <w:t>）参与融资业务后，在任何交易日日终，本基金持有的融资买入股票与其他有价证券市值之和，不得超过基金资产净值的95%；</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20</w:t>
      </w:r>
      <w:r w:rsidRPr="00C07665">
        <w:rPr>
          <w:rFonts w:ascii="仿宋" w:eastAsia="仿宋" w:hAnsi="仿宋" w:cs="SimSun,Bold" w:hint="eastAsia"/>
          <w:bCs/>
          <w:color w:val="000000"/>
          <w:kern w:val="0"/>
          <w:sz w:val="24"/>
          <w:szCs w:val="24"/>
        </w:rPr>
        <w:t>）本基金投资存托凭证的比例限制依照内地上市交易的股票执行；</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21</w:t>
      </w:r>
      <w:r w:rsidRPr="00C07665">
        <w:rPr>
          <w:rFonts w:ascii="仿宋" w:eastAsia="仿宋" w:hAnsi="仿宋" w:cs="SimSun,Bold" w:hint="eastAsia"/>
          <w:bCs/>
          <w:color w:val="000000"/>
          <w:kern w:val="0"/>
          <w:sz w:val="24"/>
          <w:szCs w:val="24"/>
        </w:rPr>
        <w:t>）法律法规及中国证监会规定的和《基金合同》约定的其他投资限制。</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法律法规或监管部门取消或调整上述限制，如适用于本基金，则在履行适当程序后，本基金投资不再受相关限制或按照调整后的规定执行,基金管理人及时根据《信息披露办法》规定在规定媒介公告。</w:t>
      </w:r>
    </w:p>
    <w:p w:rsidR="00E45E2B" w:rsidRPr="00C07665"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除</w:t>
      </w:r>
      <w:r w:rsidRPr="00C07665">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11</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15</w:t>
      </w:r>
      <w:r>
        <w:rPr>
          <w:rFonts w:ascii="仿宋" w:eastAsia="仿宋" w:hAnsi="仿宋" w:cs="SimSun,Bold" w:hint="eastAsia"/>
          <w:bCs/>
          <w:color w:val="000000"/>
          <w:kern w:val="0"/>
          <w:sz w:val="24"/>
          <w:szCs w:val="24"/>
        </w:rPr>
        <w:t>）、</w:t>
      </w:r>
      <w:r w:rsidRPr="00C07665">
        <w:rPr>
          <w:rFonts w:ascii="仿宋" w:eastAsia="仿宋" w:hAnsi="仿宋" w:cs="SimSun,Bold" w:hint="eastAsia"/>
          <w:bCs/>
          <w:color w:val="000000"/>
          <w:kern w:val="0"/>
          <w:sz w:val="24"/>
          <w:szCs w:val="24"/>
        </w:rPr>
        <w:t>16）</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17</w:t>
      </w:r>
      <w:r>
        <w:rPr>
          <w:rFonts w:ascii="仿宋" w:eastAsia="仿宋" w:hAnsi="仿宋" w:cs="SimSun,Bold" w:hint="eastAsia"/>
          <w:bCs/>
          <w:color w:val="000000"/>
          <w:kern w:val="0"/>
          <w:sz w:val="24"/>
          <w:szCs w:val="24"/>
        </w:rPr>
        <w:t>）、</w:t>
      </w:r>
      <w:r w:rsidRPr="00130ACC">
        <w:rPr>
          <w:rFonts w:ascii="仿宋" w:eastAsia="仿宋" w:hAnsi="仿宋" w:cs="SimSun,Bold" w:hint="eastAsia"/>
          <w:bCs/>
          <w:color w:val="000000"/>
          <w:kern w:val="0"/>
          <w:sz w:val="24"/>
          <w:szCs w:val="24"/>
        </w:rPr>
        <w:t>18）</w:t>
      </w:r>
      <w:r w:rsidRPr="00C07665">
        <w:rPr>
          <w:rFonts w:ascii="仿宋" w:eastAsia="仿宋" w:hAnsi="仿宋" w:cs="SimSun,Bold" w:hint="eastAsia"/>
          <w:bCs/>
          <w:color w:val="000000"/>
          <w:kern w:val="0"/>
          <w:sz w:val="24"/>
          <w:szCs w:val="24"/>
        </w:rPr>
        <w:t>条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Pr>
          <w:rFonts w:ascii="仿宋" w:eastAsia="仿宋" w:hAnsi="仿宋" w:cs="SimSun,Bold"/>
          <w:bCs/>
          <w:color w:val="000000"/>
          <w:kern w:val="0"/>
          <w:sz w:val="24"/>
          <w:szCs w:val="24"/>
        </w:rPr>
        <w:t>禁止行为</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为维护基金份额持有人的合法权益，基金财产不得用于下列投资或者活动：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1）承销证券；</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2）违反规定向他人贷款或提供担保；</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3）从事承担无限责任的投资；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4）买卖其他基金份额，但法律法规或中国证监会另有规定的除外；</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5）向</w:t>
      </w:r>
      <w:r>
        <w:rPr>
          <w:rFonts w:ascii="仿宋" w:eastAsia="仿宋" w:hAnsi="仿宋" w:cs="宋体" w:hint="eastAsia"/>
          <w:kern w:val="0"/>
          <w:sz w:val="24"/>
          <w:szCs w:val="24"/>
        </w:rPr>
        <w:t>其</w:t>
      </w:r>
      <w:r>
        <w:rPr>
          <w:rFonts w:ascii="仿宋" w:eastAsia="仿宋" w:hAnsi="仿宋" w:cs="SimSun,Bold" w:hint="eastAsia"/>
          <w:bCs/>
          <w:color w:val="000000"/>
          <w:kern w:val="0"/>
          <w:sz w:val="24"/>
          <w:szCs w:val="24"/>
        </w:rPr>
        <w:t>基金管理人、基金托管人出资；</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6）从事内幕交易、操纵证券交易价格及其他不正当的证券交易活动；</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C07665">
        <w:rPr>
          <w:rFonts w:ascii="仿宋" w:eastAsia="仿宋" w:hAnsi="仿宋" w:cs="SimSun,Bold" w:hint="eastAsia"/>
          <w:bCs/>
          <w:color w:val="000000"/>
          <w:kern w:val="0"/>
          <w:sz w:val="24"/>
          <w:szCs w:val="24"/>
        </w:rPr>
        <w:t>法律、行政法规和中国证监会规定禁止的其他活动</w:t>
      </w:r>
      <w:r>
        <w:rPr>
          <w:rFonts w:ascii="仿宋" w:eastAsia="仿宋" w:hAnsi="仿宋" w:cs="SimSun,Bold" w:hint="eastAsia"/>
          <w:bCs/>
          <w:color w:val="000000"/>
          <w:kern w:val="0"/>
          <w:sz w:val="24"/>
          <w:szCs w:val="24"/>
        </w:rPr>
        <w:t>。</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C07665">
        <w:rPr>
          <w:rFonts w:ascii="仿宋" w:eastAsia="仿宋" w:hAnsi="仿宋" w:cs="SimSun,Bold" w:hint="eastAsia"/>
          <w:bCs/>
          <w:color w:val="000000"/>
          <w:kern w:val="0"/>
          <w:sz w:val="24"/>
          <w:szCs w:val="24"/>
        </w:rPr>
        <w:t>如法律、行政法规或监管部门取消或调整上述禁止性规定，如适用于本基金，基金管理人在</w:t>
      </w:r>
      <w:r>
        <w:rPr>
          <w:rFonts w:ascii="仿宋" w:eastAsia="仿宋" w:hAnsi="仿宋" w:cs="SimSun,Bold" w:hint="eastAsia"/>
          <w:bCs/>
          <w:color w:val="000000"/>
          <w:kern w:val="0"/>
          <w:sz w:val="24"/>
          <w:szCs w:val="24"/>
        </w:rPr>
        <w:t>履行适当程序后，本基金可不受上述规定的限制或以调整后的规定为准。</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（3）关联交易原则</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5E2B" w:rsidRPr="00130AC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130ACC">
        <w:rPr>
          <w:rFonts w:ascii="仿宋" w:eastAsia="仿宋" w:hAnsi="仿宋" w:cs="SimSun,Bold" w:hint="eastAsia"/>
          <w:bCs/>
          <w:color w:val="000000"/>
          <w:kern w:val="0"/>
          <w:sz w:val="24"/>
          <w:szCs w:val="24"/>
        </w:rPr>
        <w:t>法律法规或监管部门取消或变更上述限制，如适用于本基金，基金管理人在履行适当程序后，则本基金投资不再受相关限制或按变更后的规定执行。</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bCs/>
          <w:color w:val="000000"/>
          <w:kern w:val="0"/>
          <w:sz w:val="24"/>
          <w:szCs w:val="24"/>
        </w:rPr>
        <w:t>4</w:t>
      </w:r>
      <w:r>
        <w:rPr>
          <w:rFonts w:ascii="仿宋" w:eastAsia="仿宋" w:hAnsi="仿宋" w:cs="SimSun,Bold" w:hint="eastAsia"/>
          <w:bCs/>
          <w:color w:val="000000"/>
          <w:kern w:val="0"/>
          <w:sz w:val="24"/>
          <w:szCs w:val="24"/>
        </w:rPr>
        <w:t>、</w:t>
      </w:r>
      <w:r w:rsidRPr="00F9291C">
        <w:rPr>
          <w:rFonts w:ascii="仿宋" w:eastAsia="仿宋" w:hAnsi="仿宋" w:cs="SimSun,Bold" w:hint="eastAsia"/>
          <w:bCs/>
          <w:color w:val="000000"/>
          <w:kern w:val="0"/>
          <w:sz w:val="24"/>
          <w:szCs w:val="24"/>
        </w:rPr>
        <w:t>侧袋机制的实施和投资运作安排</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当基金持有特定资产且存在或潜在大额赎回申请时，</w:t>
      </w:r>
      <w:r w:rsidRPr="00422560">
        <w:rPr>
          <w:rFonts w:ascii="仿宋" w:eastAsia="仿宋" w:hAnsi="仿宋" w:cs="SimSun,Bold" w:hint="eastAsia"/>
          <w:bCs/>
          <w:color w:val="000000"/>
          <w:kern w:val="0"/>
          <w:sz w:val="24"/>
          <w:szCs w:val="24"/>
        </w:rPr>
        <w:t>综合考虑投资组合的流动性、特定资产的估值公允性、潜在的赎回压力等因素，</w:t>
      </w:r>
      <w:r w:rsidRPr="00F9291C">
        <w:rPr>
          <w:rFonts w:ascii="仿宋" w:eastAsia="仿宋" w:hAnsi="仿宋" w:cs="SimSun,Bold" w:hint="eastAsia"/>
          <w:bCs/>
          <w:color w:val="000000"/>
          <w:kern w:val="0"/>
          <w:sz w:val="24"/>
          <w:szCs w:val="24"/>
        </w:rPr>
        <w:t>根据最大限度保护基金份额持有人利益的原则，基金管理人经与基金托管人协商一致，并咨询会计师事务所意见后，可以依照法律法规及基金合同的约定启用侧袋机制。</w:t>
      </w:r>
    </w:p>
    <w:p w:rsidR="00E45E2B" w:rsidRPr="00F9291C"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侧袋机制实施期间，本部分约定的投资组合比例、投资策略、组合限制、业绩比较基准、风险收益特征等约定仅适用于主袋账户。</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9291C">
        <w:rPr>
          <w:rFonts w:ascii="仿宋" w:eastAsia="仿宋" w:hAnsi="仿宋" w:cs="SimSun,Bold" w:hint="eastAsia"/>
          <w:bCs/>
          <w:color w:val="000000"/>
          <w:kern w:val="0"/>
          <w:sz w:val="24"/>
          <w:szCs w:val="24"/>
        </w:rPr>
        <w:t>侧袋账户的实施条件、实施程序、运作安排、投资安排、特定资产的处置变现和支付等对投资者权益有重大影响的事项详见招募说明书的规定。</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299" w:name="_Toc405988102"/>
      <w:bookmarkStart w:id="300" w:name="_Toc408903636"/>
      <w:bookmarkStart w:id="301" w:name="_Toc459291301"/>
      <w:bookmarkStart w:id="302" w:name="_Toc400726035"/>
      <w:bookmarkStart w:id="303" w:name="_Toc149132968"/>
      <w:bookmarkStart w:id="304" w:name="_Toc169163890"/>
      <w:r>
        <w:rPr>
          <w:rFonts w:ascii="仿宋" w:eastAsia="仿宋" w:hAnsi="仿宋" w:cs="SimSun,Bold" w:hint="eastAsia"/>
          <w:b/>
          <w:bCs/>
          <w:kern w:val="0"/>
          <w:sz w:val="24"/>
          <w:szCs w:val="24"/>
        </w:rPr>
        <w:t>（六）基金资产净值的计算方法和公告方式</w:t>
      </w:r>
      <w:bookmarkEnd w:id="299"/>
      <w:bookmarkEnd w:id="300"/>
      <w:bookmarkEnd w:id="301"/>
      <w:bookmarkEnd w:id="302"/>
      <w:bookmarkEnd w:id="303"/>
      <w:bookmarkEnd w:id="304"/>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5" w:name="_Toc459291302"/>
      <w:r>
        <w:rPr>
          <w:rFonts w:ascii="仿宋" w:eastAsia="仿宋" w:hAnsi="仿宋" w:cs="SimSun,Bold" w:hint="eastAsia"/>
          <w:bCs/>
          <w:color w:val="000000"/>
          <w:kern w:val="0"/>
          <w:sz w:val="24"/>
          <w:szCs w:val="24"/>
        </w:rPr>
        <w:t>1、基金资产净值</w:t>
      </w:r>
      <w:bookmarkEnd w:id="305"/>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6" w:name="_Toc459291303"/>
      <w:r>
        <w:rPr>
          <w:rFonts w:ascii="仿宋" w:eastAsia="仿宋" w:hAnsi="仿宋" w:cs="SimSun,Bold" w:hint="eastAsia"/>
          <w:bCs/>
          <w:color w:val="000000"/>
          <w:kern w:val="0"/>
          <w:sz w:val="24"/>
          <w:szCs w:val="24"/>
        </w:rPr>
        <w:t>基金资产净值是指基金资产总值减去基金负债后的价值。</w:t>
      </w:r>
      <w:bookmarkEnd w:id="306"/>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307" w:name="_Toc459291304"/>
      <w:r>
        <w:rPr>
          <w:rFonts w:ascii="仿宋" w:eastAsia="仿宋" w:hAnsi="仿宋" w:cs="SimSun,Bold" w:hint="eastAsia"/>
          <w:bCs/>
          <w:color w:val="000000"/>
          <w:kern w:val="0"/>
          <w:sz w:val="24"/>
          <w:szCs w:val="24"/>
        </w:rPr>
        <w:t>2、</w:t>
      </w:r>
      <w:r>
        <w:rPr>
          <w:rFonts w:ascii="仿宋" w:eastAsia="仿宋" w:hAnsi="仿宋" w:cs="SimSun,Bold"/>
          <w:bCs/>
          <w:color w:val="000000"/>
          <w:kern w:val="0"/>
          <w:sz w:val="24"/>
          <w:szCs w:val="24"/>
        </w:rPr>
        <w:t>估值方法</w:t>
      </w:r>
      <w:bookmarkEnd w:id="307"/>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9F0E31">
        <w:rPr>
          <w:rFonts w:ascii="仿宋" w:eastAsia="仿宋" w:hAnsi="仿宋" w:cs="SimSun,Bold" w:hint="eastAsia"/>
          <w:bCs/>
          <w:color w:val="000000"/>
          <w:kern w:val="0"/>
          <w:sz w:val="24"/>
          <w:szCs w:val="24"/>
        </w:rPr>
        <w:t>上市或挂牌转让的有价证券的估值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2）已上市交易或挂牌转让的不含权固定收益品种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3）已上市交易或挂牌转让的含权固定收益品种</w:t>
      </w:r>
      <w:r w:rsidRPr="00422560">
        <w:rPr>
          <w:rFonts w:ascii="仿宋" w:eastAsia="仿宋" w:hAnsi="仿宋" w:cs="SimSun,Bold" w:hint="eastAsia"/>
          <w:bCs/>
          <w:color w:val="000000"/>
          <w:kern w:val="0"/>
          <w:sz w:val="24"/>
          <w:szCs w:val="24"/>
        </w:rPr>
        <w:t>（另有规定的除外）</w:t>
      </w:r>
      <w:r w:rsidRPr="009F0E31">
        <w:rPr>
          <w:rFonts w:ascii="仿宋" w:eastAsia="仿宋" w:hAnsi="仿宋" w:cs="SimSun,Bold" w:hint="eastAsia"/>
          <w:bCs/>
          <w:color w:val="000000"/>
          <w:kern w:val="0"/>
          <w:sz w:val="24"/>
          <w:szCs w:val="24"/>
        </w:rPr>
        <w:t>，选取估值日第三方估值基准服务机构提供的相应品种当日的唯一估值全价或推荐估值全价进行估值；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4）对于交易所上市交易的公开发行的可转债等有活跃市场的含转股权的债券，实行全价交易的债券以估值日收盘价作为估值全价；实行净价交易的债券以估值日收盘价并加计每百元税前应计利息作为估值全价；</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5）对于含投资人回售权的固定收益品种，行使回售权的，在回售登记日至实际收款日期间以第三方估值基准服务机构提供的相应品种当日的唯一估值全价或推荐估值全价进行估值，同时充分考虑发行人的信用风险变化对公允价值的影响。回售登记期截止日（含当日）后未行使回售权的按照长待偿期所对应的价格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6）已上市或挂牌转让且不存在活跃市场的有价证券，采用估值技术确定公允价值。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9F0E31">
        <w:rPr>
          <w:rFonts w:ascii="仿宋" w:eastAsia="仿宋" w:hAnsi="仿宋" w:cs="SimSun,Bold" w:hint="eastAsia"/>
          <w:bCs/>
          <w:color w:val="000000"/>
          <w:kern w:val="0"/>
          <w:sz w:val="24"/>
          <w:szCs w:val="24"/>
        </w:rPr>
        <w:t>处于未上市或未挂牌转让期间的有价证券应区分如下情况处理：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1）送股、转增股、配股和公开增发的新股，按估值日在证券交易所挂牌的同一股票的估值方法估值；该日无交易的，以最近一日的市价（收盘价）估值；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2）首次公开发行未上市的股票，采用估值技术确定公允价值；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4）对于未上市或未挂牌转让且不存在活跃市场的固定收益品种，应采用在当前情况下适用并且有足够可利用数据和其他信息支持的估值技术确定其公允价值。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9F0E31">
        <w:rPr>
          <w:rFonts w:ascii="仿宋" w:eastAsia="仿宋" w:hAnsi="仿宋" w:cs="SimSun,Bold" w:hint="eastAsia"/>
          <w:bCs/>
          <w:color w:val="000000"/>
          <w:kern w:val="0"/>
          <w:sz w:val="24"/>
          <w:szCs w:val="24"/>
        </w:rPr>
        <w:t>对于发行人已破产、发行人未能按时足额偿付本金或利息，或者有其它可靠信息表明本金或利息无法按时足额偿付的债券投资品种，第三方估值基准服务机构如在提供推荐价格的同时提供价格区间作为公允价值的参考范围以及公允价值存在重大不确定性的相关提示的，基金管理人在与基金托管人协商一致后，可采用价格区间中的数据作为该债券投资品种的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9F0E31">
        <w:rPr>
          <w:rFonts w:ascii="仿宋" w:eastAsia="仿宋" w:hAnsi="仿宋" w:cs="SimSun,Bold" w:hint="eastAsia"/>
          <w:bCs/>
          <w:color w:val="000000"/>
          <w:kern w:val="0"/>
          <w:sz w:val="24"/>
          <w:szCs w:val="24"/>
        </w:rPr>
        <w:t>同一证券同时在两个或两个以上市场交易的，按证券所处的市场分别估值。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9F0E31">
        <w:rPr>
          <w:rFonts w:ascii="仿宋" w:eastAsia="仿宋" w:hAnsi="仿宋" w:cs="SimSun,Bold" w:hint="eastAsia"/>
          <w:bCs/>
          <w:color w:val="000000"/>
          <w:kern w:val="0"/>
          <w:sz w:val="24"/>
          <w:szCs w:val="24"/>
        </w:rPr>
        <w:t>投资证券衍生品的估值方法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1）股指期货合约，一般以估值当日结算价进行估值，估值当日无结算价的， 且最近交易日后经济环境未发生重大变化的，采用最近交易日结算价估值。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2）国债期货合约，一般以估值当日结算价进行估值，估值当日无结算价的，且最近交易日后经济环境未发生重大变化的，采用最近交易日结算价估值。</w:t>
      </w:r>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3）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BC1DEB">
        <w:rPr>
          <w:rFonts w:ascii="仿宋" w:eastAsia="仿宋" w:hAnsi="仿宋" w:cs="SimSun,Bold" w:hint="eastAsia"/>
          <w:bCs/>
          <w:color w:val="000000"/>
          <w:kern w:val="0"/>
          <w:sz w:val="24"/>
          <w:szCs w:val="24"/>
        </w:rPr>
        <w:t>4）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9F0E31">
        <w:rPr>
          <w:rFonts w:ascii="仿宋" w:eastAsia="仿宋" w:hAnsi="仿宋" w:cs="SimSun,Bold" w:hint="eastAsia"/>
          <w:bCs/>
          <w:color w:val="000000"/>
          <w:kern w:val="0"/>
          <w:sz w:val="24"/>
          <w:szCs w:val="24"/>
        </w:rPr>
        <w:t>存款的估值方法</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持有的银行定期存款或通知存款以本金列示，按协议或合同利率逐日确认利息收入。如提前支取或利率发生变化，基金管理人应及时进行账务调整。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9F0E31">
        <w:rPr>
          <w:rFonts w:ascii="仿宋" w:eastAsia="仿宋" w:hAnsi="仿宋" w:cs="SimSun,Bold" w:hint="eastAsia"/>
          <w:bCs/>
          <w:color w:val="000000"/>
          <w:kern w:val="0"/>
          <w:sz w:val="24"/>
          <w:szCs w:val="24"/>
        </w:rPr>
        <w:t>汇率</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本基金外币资产价值计算中，涉及外币对人民币汇率的，应当以基金估值日中国人民银行或其授权机构公布的人民币汇率中间价为准。</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w:t>
      </w:r>
      <w:r w:rsidRPr="009F0E31">
        <w:rPr>
          <w:rFonts w:ascii="仿宋" w:eastAsia="仿宋" w:hAnsi="仿宋" w:cs="SimSun,Bold" w:hint="eastAsia"/>
          <w:bCs/>
          <w:color w:val="000000"/>
          <w:kern w:val="0"/>
          <w:sz w:val="24"/>
          <w:szCs w:val="24"/>
        </w:rPr>
        <w:t>本基金参与融资业务的，按照相关法律法规和监管部门的规定估值。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（9）</w:t>
      </w:r>
      <w:r w:rsidRPr="009F0E31">
        <w:rPr>
          <w:rFonts w:ascii="仿宋" w:eastAsia="仿宋" w:hAnsi="仿宋" w:cs="SimSun,Bold" w:hint="eastAsia"/>
          <w:bCs/>
          <w:color w:val="000000"/>
          <w:kern w:val="0"/>
          <w:sz w:val="24"/>
          <w:szCs w:val="24"/>
        </w:rPr>
        <w:t>本基金投资存托凭证的估值核算依照内地上市交易的股票执行。</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0</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税收</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如有确凿证据表明按上述方法进行估值不能客观反映其公允价值的，基金管理人可根据具体情况与基金托管人商定后，按最能反映公允价值的价格估值。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2</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当发生大额申购或赎回情形时，基金管理人可以采用摆动定价机制，以确保基金估值的公平性</w:t>
      </w:r>
      <w:r w:rsidRPr="00143C92">
        <w:rPr>
          <w:rFonts w:ascii="仿宋" w:eastAsia="仿宋" w:hAnsi="仿宋" w:cs="SimSun,Bold" w:hint="eastAsia"/>
          <w:bCs/>
          <w:color w:val="000000"/>
          <w:kern w:val="0"/>
          <w:sz w:val="24"/>
          <w:szCs w:val="24"/>
        </w:rPr>
        <w:t>，并履行相关信息披露义务。</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Pr>
          <w:rFonts w:ascii="仿宋" w:eastAsia="仿宋" w:hAnsi="仿宋" w:cs="SimSun,Bold"/>
          <w:bCs/>
          <w:color w:val="000000"/>
          <w:kern w:val="0"/>
          <w:sz w:val="24"/>
          <w:szCs w:val="24"/>
        </w:rPr>
        <w:t>3</w:t>
      </w:r>
      <w:r>
        <w:rPr>
          <w:rFonts w:ascii="仿宋" w:eastAsia="仿宋" w:hAnsi="仿宋" w:cs="SimSun,Bold" w:hint="eastAsia"/>
          <w:bCs/>
          <w:color w:val="000000"/>
          <w:kern w:val="0"/>
          <w:sz w:val="24"/>
          <w:szCs w:val="24"/>
        </w:rPr>
        <w:t>）</w:t>
      </w:r>
      <w:r w:rsidRPr="009F0E31">
        <w:rPr>
          <w:rFonts w:ascii="仿宋" w:eastAsia="仿宋" w:hAnsi="仿宋" w:cs="SimSun,Bold" w:hint="eastAsia"/>
          <w:bCs/>
          <w:color w:val="000000"/>
          <w:kern w:val="0"/>
          <w:sz w:val="24"/>
          <w:szCs w:val="24"/>
        </w:rPr>
        <w:t>相关法律法规以及监管部门有强制规定的，从其规定。如有新增事项，按国家最新规定估值。</w:t>
      </w:r>
    </w:p>
    <w:p w:rsidR="00E45E2B" w:rsidRPr="009F0E31"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9F0E31">
        <w:rPr>
          <w:rFonts w:ascii="仿宋" w:eastAsia="仿宋" w:hAnsi="仿宋" w:cs="SimSun,Bold" w:hint="eastAsia"/>
          <w:bCs/>
          <w:color w:val="000000"/>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9F0E31">
        <w:rPr>
          <w:rFonts w:ascii="仿宋" w:eastAsia="仿宋" w:hAnsi="仿宋" w:cs="SimSun,Bold" w:hint="eastAsia"/>
          <w:bCs/>
          <w:color w:val="000000"/>
          <w:kern w:val="0"/>
          <w:sz w:val="24"/>
          <w:szCs w:val="24"/>
        </w:rPr>
        <w:t>根据有关法律法规，基金管理人计算基金资产净值，基金托管人复核、审查基金管理人计算的基金资产净值。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Pr="00143C92">
        <w:rPr>
          <w:rFonts w:ascii="仿宋" w:eastAsia="仿宋" w:hAnsi="仿宋" w:cs="SimSun,Bold" w:hint="eastAsia"/>
          <w:bCs/>
          <w:color w:val="000000"/>
          <w:kern w:val="0"/>
          <w:sz w:val="24"/>
          <w:szCs w:val="24"/>
        </w:rPr>
        <w:t>基金管理人向基金托管人出具盖章的书面说明后，</w:t>
      </w:r>
      <w:r w:rsidRPr="009F0E31">
        <w:rPr>
          <w:rFonts w:ascii="仿宋" w:eastAsia="仿宋" w:hAnsi="仿宋" w:cs="SimSun,Bold" w:hint="eastAsia"/>
          <w:bCs/>
          <w:color w:val="000000"/>
          <w:kern w:val="0"/>
          <w:sz w:val="24"/>
          <w:szCs w:val="24"/>
        </w:rPr>
        <w:t>按照基金管理人对基金净值信息的计算结果对外予以公布。</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基金净值</w:t>
      </w:r>
      <w:r>
        <w:rPr>
          <w:rFonts w:ascii="仿宋" w:eastAsia="仿宋" w:hAnsi="仿宋" w:cs="宋体" w:hint="eastAsia"/>
          <w:kern w:val="0"/>
          <w:sz w:val="24"/>
          <w:szCs w:val="24"/>
        </w:rPr>
        <w:t>信息</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8" w:name="_Toc459291305"/>
      <w:r w:rsidRPr="00123D36">
        <w:rPr>
          <w:rFonts w:ascii="仿宋" w:eastAsia="仿宋" w:hAnsi="仿宋" w:cs="宋体" w:hint="eastAsia"/>
          <w:kern w:val="0"/>
          <w:sz w:val="24"/>
          <w:szCs w:val="24"/>
        </w:rPr>
        <w:t>基金合同生效后，在开始办理基金份额申购或者赎回前，基金管理人应当至少每周在规定网站披露一次基金份额净值和基金份额累计净值。</w:t>
      </w:r>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在开始办理基金份额申购或者赎回后，基金管理人应当在不晚于每个开放日的次日，通过规定网站、基金销售机构网站或营业网点，披露开放日</w:t>
      </w:r>
      <w:r>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sidRPr="00123D36">
        <w:rPr>
          <w:rFonts w:ascii="仿宋" w:eastAsia="仿宋" w:hAnsi="仿宋" w:cs="宋体" w:hint="eastAsia"/>
          <w:kern w:val="0"/>
          <w:sz w:val="24"/>
          <w:szCs w:val="24"/>
        </w:rPr>
        <w:t>基金管理人应当在不晚于半年度和年度最后一日的次日，在规定网站披露半年度和年度最后一日</w:t>
      </w:r>
      <w:r w:rsidRPr="002B2D87">
        <w:rPr>
          <w:rFonts w:ascii="仿宋" w:eastAsia="仿宋" w:hAnsi="仿宋" w:cs="宋体" w:hint="eastAsia"/>
          <w:kern w:val="0"/>
          <w:sz w:val="24"/>
          <w:szCs w:val="24"/>
        </w:rPr>
        <w:t>的</w:t>
      </w:r>
      <w:r w:rsidRPr="00123D36">
        <w:rPr>
          <w:rFonts w:ascii="仿宋" w:eastAsia="仿宋" w:hAnsi="仿宋" w:cs="宋体" w:hint="eastAsia"/>
          <w:kern w:val="0"/>
          <w:sz w:val="24"/>
          <w:szCs w:val="24"/>
        </w:rPr>
        <w:t>基金份额净值和基金份额累计净值</w:t>
      </w:r>
      <w:bookmarkStart w:id="309" w:name="_Toc459291307"/>
      <w:bookmarkEnd w:id="308"/>
      <w:r>
        <w:rPr>
          <w:rFonts w:ascii="仿宋" w:eastAsia="仿宋" w:hAnsi="仿宋" w:cs="宋体" w:hint="eastAsia"/>
          <w:kern w:val="0"/>
          <w:sz w:val="24"/>
          <w:szCs w:val="24"/>
        </w:rPr>
        <w:t>。</w:t>
      </w:r>
      <w:bookmarkEnd w:id="309"/>
    </w:p>
    <w:p w:rsidR="00E45E2B" w:rsidRPr="00313836"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313836">
        <w:rPr>
          <w:rFonts w:ascii="仿宋" w:eastAsia="仿宋" w:hAnsi="仿宋" w:cs="SimSun,Bold" w:hint="eastAsia"/>
          <w:bCs/>
          <w:color w:val="000000"/>
          <w:kern w:val="0"/>
          <w:sz w:val="24"/>
          <w:szCs w:val="24"/>
        </w:rPr>
        <w:t>如法律法规将来另有规定的，本基金按照新规定执行。如需据此相应修改基金合同的，</w:t>
      </w:r>
      <w:r w:rsidRPr="00EE5418">
        <w:rPr>
          <w:rFonts w:ascii="仿宋" w:eastAsia="仿宋" w:hAnsi="仿宋" w:cs="SimSun,Bold" w:hint="eastAsia"/>
          <w:bCs/>
          <w:color w:val="000000"/>
          <w:kern w:val="0"/>
          <w:sz w:val="24"/>
          <w:szCs w:val="24"/>
        </w:rPr>
        <w:t>基金管理人与基金托管人协商一致，并提前公告后，可直接对相应内容进行修改和调整，</w:t>
      </w:r>
      <w:r w:rsidRPr="00313836">
        <w:rPr>
          <w:rFonts w:ascii="仿宋" w:eastAsia="仿宋" w:hAnsi="仿宋" w:cs="SimSun,Bold" w:hint="eastAsia"/>
          <w:bCs/>
          <w:color w:val="000000"/>
          <w:kern w:val="0"/>
          <w:sz w:val="24"/>
          <w:szCs w:val="24"/>
        </w:rPr>
        <w:t>无须召开基金份额持有人大会。</w:t>
      </w: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10" w:name="_Toc459291308"/>
      <w:bookmarkStart w:id="311" w:name="_Toc149132969"/>
      <w:bookmarkStart w:id="312" w:name="_Toc169163891"/>
      <w:r>
        <w:rPr>
          <w:rFonts w:ascii="仿宋" w:eastAsia="仿宋" w:hAnsi="仿宋" w:cs="SimSun,Bold" w:hint="eastAsia"/>
          <w:b/>
          <w:bCs/>
          <w:kern w:val="0"/>
          <w:sz w:val="24"/>
          <w:szCs w:val="24"/>
        </w:rPr>
        <w:t>（七）基金合同的变更、终止与基金财产的清算</w:t>
      </w:r>
      <w:bookmarkEnd w:id="310"/>
      <w:bookmarkEnd w:id="311"/>
      <w:bookmarkEnd w:id="31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3" w:name="_Toc459291309"/>
      <w:r>
        <w:rPr>
          <w:rFonts w:ascii="仿宋" w:eastAsia="仿宋" w:hAnsi="仿宋" w:cs="宋体" w:hint="eastAsia"/>
          <w:kern w:val="0"/>
          <w:sz w:val="24"/>
          <w:szCs w:val="24"/>
        </w:rPr>
        <w:t>1、《基金合同》的变更</w:t>
      </w:r>
      <w:bookmarkEnd w:id="313"/>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4" w:name="_Toc459291310"/>
      <w:r>
        <w:rPr>
          <w:rFonts w:ascii="仿宋" w:eastAsia="仿宋" w:hAnsi="仿宋" w:cs="宋体" w:hint="eastAsia"/>
          <w:kern w:val="0"/>
          <w:sz w:val="24"/>
          <w:szCs w:val="24"/>
        </w:rPr>
        <w:t>（1）</w:t>
      </w:r>
      <w:r w:rsidRPr="00123D36">
        <w:rPr>
          <w:rFonts w:ascii="仿宋" w:eastAsia="仿宋" w:hAnsi="仿宋" w:cs="宋体" w:hint="eastAsia"/>
          <w:kern w:val="0"/>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（2）</w:t>
      </w:r>
      <w:r w:rsidRPr="00123D36">
        <w:rPr>
          <w:rFonts w:ascii="仿宋" w:eastAsia="仿宋" w:hAnsi="仿宋" w:cs="宋体" w:hint="eastAsia"/>
          <w:kern w:val="0"/>
          <w:sz w:val="24"/>
          <w:szCs w:val="24"/>
        </w:rPr>
        <w:t>关于《基金合同》变更的基金份额持有人大会决议自生效后方可执行，自决议生效后2日内在规定媒介公告</w:t>
      </w:r>
      <w:bookmarkStart w:id="315" w:name="_Toc459291311"/>
      <w:bookmarkEnd w:id="314"/>
      <w:r>
        <w:rPr>
          <w:rFonts w:ascii="仿宋" w:eastAsia="仿宋" w:hAnsi="仿宋" w:cs="宋体" w:hint="eastAsia"/>
          <w:kern w:val="0"/>
          <w:sz w:val="24"/>
          <w:szCs w:val="24"/>
        </w:rPr>
        <w:t>。</w:t>
      </w:r>
      <w:bookmarkEnd w:id="31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6" w:name="_Toc459291312"/>
      <w:r>
        <w:rPr>
          <w:rFonts w:ascii="仿宋" w:eastAsia="仿宋" w:hAnsi="仿宋" w:cs="宋体" w:hint="eastAsia"/>
          <w:kern w:val="0"/>
          <w:sz w:val="24"/>
          <w:szCs w:val="24"/>
        </w:rPr>
        <w:t>2、《基金合同》的终止事由</w:t>
      </w:r>
      <w:bookmarkEnd w:id="31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7" w:name="_Toc459291313"/>
      <w:r>
        <w:rPr>
          <w:rFonts w:ascii="仿宋" w:eastAsia="仿宋" w:hAnsi="仿宋" w:cs="宋体" w:hint="eastAsia"/>
          <w:kern w:val="0"/>
          <w:sz w:val="24"/>
          <w:szCs w:val="24"/>
        </w:rPr>
        <w:t>有下列情形之一的，</w:t>
      </w:r>
      <w:r w:rsidRPr="00123D36">
        <w:rPr>
          <w:rFonts w:ascii="仿宋" w:eastAsia="仿宋" w:hAnsi="仿宋" w:cs="宋体" w:hint="eastAsia"/>
          <w:kern w:val="0"/>
          <w:sz w:val="24"/>
          <w:szCs w:val="24"/>
        </w:rPr>
        <w:t>经履行相关程序后，</w:t>
      </w:r>
      <w:r>
        <w:rPr>
          <w:rFonts w:ascii="仿宋" w:eastAsia="仿宋" w:hAnsi="仿宋" w:cs="宋体" w:hint="eastAsia"/>
          <w:kern w:val="0"/>
          <w:sz w:val="24"/>
          <w:szCs w:val="24"/>
        </w:rPr>
        <w:t>《基金合同》应当终止：</w:t>
      </w:r>
      <w:bookmarkEnd w:id="31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8" w:name="_Toc459291314"/>
      <w:r>
        <w:rPr>
          <w:rFonts w:ascii="仿宋" w:eastAsia="仿宋" w:hAnsi="仿宋" w:cs="宋体" w:hint="eastAsia"/>
          <w:kern w:val="0"/>
          <w:sz w:val="24"/>
          <w:szCs w:val="24"/>
        </w:rPr>
        <w:t>（1）基金份额持有人大会决定终止的；</w:t>
      </w:r>
      <w:bookmarkEnd w:id="31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9" w:name="_Toc459291315"/>
      <w:r>
        <w:rPr>
          <w:rFonts w:ascii="仿宋" w:eastAsia="仿宋" w:hAnsi="仿宋" w:cs="宋体" w:hint="eastAsia"/>
          <w:kern w:val="0"/>
          <w:sz w:val="24"/>
          <w:szCs w:val="24"/>
        </w:rPr>
        <w:t>（2）基金管理人、基金托管人职责终止，在</w:t>
      </w:r>
      <w:r>
        <w:rPr>
          <w:rFonts w:ascii="仿宋" w:eastAsia="仿宋" w:hAnsi="仿宋" w:cs="宋体"/>
          <w:kern w:val="0"/>
          <w:sz w:val="24"/>
          <w:szCs w:val="24"/>
        </w:rPr>
        <w:t>6</w:t>
      </w:r>
      <w:r>
        <w:rPr>
          <w:rFonts w:ascii="仿宋" w:eastAsia="仿宋" w:hAnsi="仿宋" w:cs="宋体" w:hint="eastAsia"/>
          <w:kern w:val="0"/>
          <w:sz w:val="24"/>
          <w:szCs w:val="24"/>
        </w:rPr>
        <w:t>个月内没有新基金管理人、新基金托管人承接的；</w:t>
      </w:r>
      <w:bookmarkEnd w:id="31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0" w:name="_Toc459291316"/>
      <w:r>
        <w:rPr>
          <w:rFonts w:ascii="仿宋" w:eastAsia="仿宋" w:hAnsi="仿宋" w:cs="宋体" w:hint="eastAsia"/>
          <w:kern w:val="0"/>
          <w:sz w:val="24"/>
          <w:szCs w:val="24"/>
        </w:rPr>
        <w:t>（3）《基金合同》约定的其他情形；</w:t>
      </w:r>
      <w:bookmarkEnd w:id="32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1" w:name="_Toc459291317"/>
      <w:r>
        <w:rPr>
          <w:rFonts w:ascii="仿宋" w:eastAsia="仿宋" w:hAnsi="仿宋" w:cs="宋体" w:hint="eastAsia"/>
          <w:kern w:val="0"/>
          <w:sz w:val="24"/>
          <w:szCs w:val="24"/>
        </w:rPr>
        <w:t>（4）相关法律法规和中国证监会规定的其他情况。</w:t>
      </w:r>
      <w:bookmarkEnd w:id="32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2" w:name="_Toc459291318"/>
      <w:r>
        <w:rPr>
          <w:rFonts w:ascii="仿宋" w:eastAsia="仿宋" w:hAnsi="仿宋" w:cs="宋体" w:hint="eastAsia"/>
          <w:kern w:val="0"/>
          <w:sz w:val="24"/>
          <w:szCs w:val="24"/>
        </w:rPr>
        <w:t>3、基金财产的清算</w:t>
      </w:r>
      <w:bookmarkEnd w:id="32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3" w:name="_Toc459291319"/>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）基金财产清算小组：自出现《基金合同》终止事由之日起</w:t>
      </w:r>
      <w:r>
        <w:rPr>
          <w:rFonts w:ascii="仿宋" w:eastAsia="仿宋" w:hAnsi="仿宋" w:cs="宋体"/>
          <w:kern w:val="0"/>
          <w:sz w:val="24"/>
          <w:szCs w:val="24"/>
        </w:rPr>
        <w:t>30</w:t>
      </w:r>
      <w:r>
        <w:rPr>
          <w:rFonts w:ascii="仿宋" w:eastAsia="仿宋" w:hAnsi="仿宋" w:cs="宋体" w:hint="eastAsia"/>
          <w:kern w:val="0"/>
          <w:sz w:val="24"/>
          <w:szCs w:val="24"/>
        </w:rPr>
        <w:t>个工作日内成立清算小组，基金管理人组织基金财产清算小组并在中国证监会的监督下进行基金清算。</w:t>
      </w:r>
      <w:bookmarkEnd w:id="323"/>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4" w:name="_Toc459291320"/>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）基金财产清算小组组成：基金财产清算小组成员由基金管理人、基金托管人、</w:t>
      </w:r>
      <w:r w:rsidRPr="001B517C">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的注册会计师、律师以及中国证监会指定的人员组成。基金财产清算小组可以聘用必要的工作人员。</w:t>
      </w:r>
      <w:bookmarkEnd w:id="32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5" w:name="_Toc459291321"/>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bookmarkEnd w:id="32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6" w:name="_Toc459291322"/>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）基金财产清算程序：</w:t>
      </w:r>
      <w:bookmarkEnd w:id="326"/>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7" w:name="_Toc459291324"/>
      <w:bookmarkStart w:id="328" w:name="_Toc459291323"/>
      <w:r w:rsidRPr="00123D36">
        <w:rPr>
          <w:rFonts w:ascii="仿宋" w:eastAsia="仿宋" w:hAnsi="仿宋" w:cs="宋体" w:hint="eastAsia"/>
          <w:kern w:val="0"/>
          <w:sz w:val="24"/>
          <w:szCs w:val="24"/>
        </w:rPr>
        <w:t>1）《基金合同》终止情形出现时，由基金财产清算小组统一接管基金；</w:t>
      </w:r>
      <w:bookmarkEnd w:id="327"/>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9" w:name="_Toc459291325"/>
      <w:r w:rsidRPr="00123D36">
        <w:rPr>
          <w:rFonts w:ascii="仿宋" w:eastAsia="仿宋" w:hAnsi="仿宋" w:cs="宋体" w:hint="eastAsia"/>
          <w:kern w:val="0"/>
          <w:sz w:val="24"/>
          <w:szCs w:val="24"/>
        </w:rPr>
        <w:t>2）对基金财产和债权债务进行清理和确认；</w:t>
      </w:r>
      <w:bookmarkEnd w:id="329"/>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0" w:name="_Toc459291326"/>
      <w:r w:rsidRPr="00123D36">
        <w:rPr>
          <w:rFonts w:ascii="仿宋" w:eastAsia="仿宋" w:hAnsi="仿宋" w:cs="宋体" w:hint="eastAsia"/>
          <w:kern w:val="0"/>
          <w:sz w:val="24"/>
          <w:szCs w:val="24"/>
        </w:rPr>
        <w:t>3）对基金财产进行估值和变现；</w:t>
      </w:r>
      <w:bookmarkEnd w:id="330"/>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1" w:name="_Toc459291327"/>
      <w:r w:rsidRPr="00123D36">
        <w:rPr>
          <w:rFonts w:ascii="仿宋" w:eastAsia="仿宋" w:hAnsi="仿宋" w:cs="宋体" w:hint="eastAsia"/>
          <w:kern w:val="0"/>
          <w:sz w:val="24"/>
          <w:szCs w:val="24"/>
        </w:rPr>
        <w:t>4）制作清算报告；</w:t>
      </w:r>
      <w:bookmarkEnd w:id="331"/>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2" w:name="_Toc459291328"/>
      <w:r w:rsidRPr="00123D36">
        <w:rPr>
          <w:rFonts w:ascii="仿宋" w:eastAsia="仿宋" w:hAnsi="仿宋" w:cs="宋体" w:hint="eastAsia"/>
          <w:kern w:val="0"/>
          <w:sz w:val="24"/>
          <w:szCs w:val="24"/>
        </w:rPr>
        <w:t>5）聘请会计师事务所对清算报告进行外部审计，聘请律师事务所对清算报告出具法律意见书；</w:t>
      </w:r>
      <w:bookmarkEnd w:id="332"/>
    </w:p>
    <w:p w:rsidR="00E45E2B" w:rsidRPr="00123D36"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3" w:name="_Toc459291329"/>
      <w:r w:rsidRPr="00123D36">
        <w:rPr>
          <w:rFonts w:ascii="仿宋" w:eastAsia="仿宋" w:hAnsi="仿宋" w:cs="宋体" w:hint="eastAsia"/>
          <w:kern w:val="0"/>
          <w:sz w:val="24"/>
          <w:szCs w:val="24"/>
        </w:rPr>
        <w:t>6）将清算报告报中国证监会备案并公告</w:t>
      </w:r>
      <w:bookmarkEnd w:id="333"/>
      <w:r w:rsidRPr="00123D36">
        <w:rPr>
          <w:rFonts w:ascii="仿宋" w:eastAsia="仿宋" w:hAnsi="仿宋" w:cs="宋体" w:hint="eastAsia"/>
          <w:kern w:val="0"/>
          <w:sz w:val="24"/>
          <w:szCs w:val="24"/>
        </w:rPr>
        <w:t>；</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4" w:name="_Toc459291330"/>
      <w:r w:rsidRPr="00123D36">
        <w:rPr>
          <w:rFonts w:ascii="仿宋" w:eastAsia="仿宋" w:hAnsi="仿宋" w:cs="宋体" w:hint="eastAsia"/>
          <w:kern w:val="0"/>
          <w:sz w:val="24"/>
          <w:szCs w:val="24"/>
        </w:rPr>
        <w:t>7）对基金剩余财产进行分配。</w:t>
      </w:r>
      <w:bookmarkEnd w:id="334"/>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5" w:name="_Toc459291331"/>
      <w:bookmarkEnd w:id="328"/>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）基金财产清算的期限为</w:t>
      </w:r>
      <w:r>
        <w:rPr>
          <w:rFonts w:ascii="仿宋" w:eastAsia="仿宋" w:hAnsi="仿宋" w:cs="宋体"/>
          <w:kern w:val="0"/>
          <w:sz w:val="24"/>
          <w:szCs w:val="24"/>
        </w:rPr>
        <w:t>6</w:t>
      </w:r>
      <w:r>
        <w:rPr>
          <w:rFonts w:ascii="仿宋" w:eastAsia="仿宋" w:hAnsi="仿宋" w:cs="宋体" w:hint="eastAsia"/>
          <w:kern w:val="0"/>
          <w:sz w:val="24"/>
          <w:szCs w:val="24"/>
        </w:rPr>
        <w:t>个月</w:t>
      </w:r>
      <w:r w:rsidRPr="00F4560D">
        <w:rPr>
          <w:rFonts w:ascii="仿宋" w:eastAsia="仿宋" w:hAnsi="仿宋" w:cs="宋体" w:hint="eastAsia"/>
          <w:kern w:val="0"/>
          <w:sz w:val="24"/>
          <w:szCs w:val="24"/>
        </w:rPr>
        <w:t>，但因本基金所持证券的流动性受到限制而不能及时变现的，清算期限相应顺延</w:t>
      </w:r>
      <w:r>
        <w:rPr>
          <w:rFonts w:ascii="仿宋" w:eastAsia="仿宋" w:hAnsi="仿宋" w:cs="宋体" w:hint="eastAsia"/>
          <w:kern w:val="0"/>
          <w:sz w:val="24"/>
          <w:szCs w:val="24"/>
        </w:rPr>
        <w:t>。</w:t>
      </w:r>
      <w:bookmarkEnd w:id="335"/>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6" w:name="_Toc459291332"/>
      <w:r>
        <w:rPr>
          <w:rFonts w:ascii="仿宋" w:eastAsia="仿宋" w:hAnsi="仿宋" w:cs="宋体" w:hint="eastAsia"/>
          <w:kern w:val="0"/>
          <w:sz w:val="24"/>
          <w:szCs w:val="24"/>
        </w:rPr>
        <w:t>4、清算费用</w:t>
      </w:r>
      <w:bookmarkEnd w:id="33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7" w:name="_Toc459291333"/>
      <w:r>
        <w:rPr>
          <w:rFonts w:ascii="仿宋" w:eastAsia="仿宋" w:hAnsi="仿宋" w:cs="宋体" w:hint="eastAsia"/>
          <w:kern w:val="0"/>
          <w:sz w:val="24"/>
          <w:szCs w:val="24"/>
        </w:rPr>
        <w:t>清算费用是指基金财产清算小组在进行基金财产清算过程中发生的所有合理费用，清算费用由基金财产清算小组优先从基金剩余财产中支付。</w:t>
      </w:r>
      <w:bookmarkEnd w:id="337"/>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8" w:name="_Toc459291334"/>
      <w:r>
        <w:rPr>
          <w:rFonts w:ascii="仿宋" w:eastAsia="仿宋" w:hAnsi="仿宋" w:cs="宋体" w:hint="eastAsia"/>
          <w:kern w:val="0"/>
          <w:sz w:val="24"/>
          <w:szCs w:val="24"/>
        </w:rPr>
        <w:t>5、基金财产清算剩余资产的分配</w:t>
      </w:r>
      <w:bookmarkEnd w:id="338"/>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39" w:name="_Toc459291335"/>
      <w:r>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bookmarkEnd w:id="339"/>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0" w:name="_Toc459291336"/>
      <w:r>
        <w:rPr>
          <w:rFonts w:ascii="仿宋" w:eastAsia="仿宋" w:hAnsi="仿宋" w:cs="宋体" w:hint="eastAsia"/>
          <w:kern w:val="0"/>
          <w:sz w:val="24"/>
          <w:szCs w:val="24"/>
        </w:rPr>
        <w:t>6、基金财产清算的公告</w:t>
      </w:r>
      <w:bookmarkEnd w:id="34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1" w:name="_Toc459291337"/>
      <w:r>
        <w:rPr>
          <w:rFonts w:ascii="仿宋" w:eastAsia="仿宋" w:hAnsi="仿宋" w:cs="宋体" w:hint="eastAsia"/>
          <w:kern w:val="0"/>
          <w:sz w:val="24"/>
          <w:szCs w:val="24"/>
        </w:rPr>
        <w:t>清算过程中的有关重大事项须及时公告；基金财产清算报告经</w:t>
      </w:r>
      <w:r w:rsidRPr="00F4560D">
        <w:rPr>
          <w:rFonts w:ascii="仿宋" w:eastAsia="仿宋" w:hAnsi="仿宋" w:cs="宋体" w:hint="eastAsia"/>
          <w:kern w:val="0"/>
          <w:sz w:val="24"/>
          <w:szCs w:val="24"/>
        </w:rPr>
        <w:t>符合法律法规规定</w:t>
      </w:r>
      <w:r>
        <w:rPr>
          <w:rFonts w:ascii="仿宋" w:eastAsia="仿宋" w:hAnsi="仿宋" w:cs="宋体" w:hint="eastAsia"/>
          <w:kern w:val="0"/>
          <w:sz w:val="24"/>
          <w:szCs w:val="24"/>
        </w:rPr>
        <w:t>的会计师事务所审计并由律师事务所出具法律意见书后报中国证监会备案并公告。基金财产清算公告于基金财产清算报告报中国证监会备案后</w:t>
      </w:r>
      <w:r>
        <w:rPr>
          <w:rFonts w:ascii="仿宋" w:eastAsia="仿宋" w:hAnsi="仿宋" w:cs="宋体"/>
          <w:kern w:val="0"/>
          <w:sz w:val="24"/>
          <w:szCs w:val="24"/>
        </w:rPr>
        <w:t>5</w:t>
      </w:r>
      <w:r>
        <w:rPr>
          <w:rFonts w:ascii="仿宋" w:eastAsia="仿宋" w:hAnsi="仿宋" w:cs="宋体" w:hint="eastAsia"/>
          <w:kern w:val="0"/>
          <w:sz w:val="24"/>
          <w:szCs w:val="24"/>
        </w:rPr>
        <w:t>个工作日内由基金财产清算小组进行公告，基金财产清算小组应当将清算报告登载在规定网站上，并将清算报告提示性公告登载在规定报刊上。</w:t>
      </w:r>
      <w:bookmarkEnd w:id="34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2" w:name="_Toc459291338"/>
      <w:r>
        <w:rPr>
          <w:rFonts w:ascii="仿宋" w:eastAsia="仿宋" w:hAnsi="仿宋" w:cs="宋体" w:hint="eastAsia"/>
          <w:kern w:val="0"/>
          <w:sz w:val="24"/>
          <w:szCs w:val="24"/>
        </w:rPr>
        <w:t>7、基金财产清算账册及文件的保存</w:t>
      </w:r>
      <w:bookmarkEnd w:id="342"/>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3" w:name="_Toc459291339"/>
      <w:r>
        <w:rPr>
          <w:rFonts w:ascii="仿宋" w:eastAsia="仿宋" w:hAnsi="仿宋" w:cs="宋体" w:hint="eastAsia"/>
          <w:kern w:val="0"/>
          <w:sz w:val="24"/>
          <w:szCs w:val="24"/>
        </w:rPr>
        <w:t>基金财产清算账册及有关文件由基金托管人保存，保存期限不少于法定最低期限。</w:t>
      </w:r>
      <w:bookmarkEnd w:id="343"/>
    </w:p>
    <w:p w:rsidR="00E45E2B" w:rsidRDefault="00E45E2B" w:rsidP="00E45E2B">
      <w:pPr>
        <w:autoSpaceDE w:val="0"/>
        <w:autoSpaceDN w:val="0"/>
        <w:adjustRightInd w:val="0"/>
        <w:spacing w:line="360" w:lineRule="auto"/>
        <w:ind w:firstLine="420"/>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4" w:name="_Toc459291340"/>
      <w:bookmarkStart w:id="345" w:name="_Toc149132970"/>
      <w:bookmarkStart w:id="346" w:name="_Toc169163892"/>
      <w:r>
        <w:rPr>
          <w:rFonts w:ascii="仿宋" w:eastAsia="仿宋" w:hAnsi="仿宋" w:cs="SimSun,Bold" w:hint="eastAsia"/>
          <w:b/>
          <w:bCs/>
          <w:kern w:val="0"/>
          <w:sz w:val="24"/>
          <w:szCs w:val="24"/>
        </w:rPr>
        <w:t>（八）争议解决方式</w:t>
      </w:r>
      <w:bookmarkEnd w:id="344"/>
      <w:bookmarkEnd w:id="345"/>
      <w:bookmarkEnd w:id="346"/>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47" w:name="_Toc459291341"/>
      <w:r>
        <w:rPr>
          <w:rFonts w:ascii="仿宋" w:eastAsia="仿宋" w:hAnsi="仿宋" w:cs="宋体" w:hint="eastAsia"/>
          <w:kern w:val="0"/>
          <w:sz w:val="24"/>
          <w:szCs w:val="24"/>
        </w:rPr>
        <w:t>各方当事人同意，因《基金合同》而产生的或与《基金合同》有关的一切争议，如经友好协商</w:t>
      </w:r>
      <w:r w:rsidRPr="004A4054">
        <w:rPr>
          <w:rFonts w:ascii="仿宋" w:eastAsia="仿宋" w:hAnsi="仿宋" w:cs="宋体" w:hint="eastAsia"/>
          <w:kern w:val="0"/>
          <w:sz w:val="24"/>
          <w:szCs w:val="24"/>
        </w:rPr>
        <w:t>、调解</w:t>
      </w:r>
      <w:r>
        <w:rPr>
          <w:rFonts w:ascii="仿宋" w:eastAsia="仿宋" w:hAnsi="仿宋" w:cs="宋体" w:hint="eastAsia"/>
          <w:kern w:val="0"/>
          <w:sz w:val="24"/>
          <w:szCs w:val="24"/>
        </w:rPr>
        <w:t>未能解决的，</w:t>
      </w:r>
      <w:r w:rsidRPr="00E05A60">
        <w:rPr>
          <w:rFonts w:ascii="仿宋" w:eastAsia="仿宋" w:hAnsi="仿宋" w:cs="宋体" w:hint="eastAsia"/>
          <w:kern w:val="0"/>
          <w:sz w:val="24"/>
          <w:szCs w:val="24"/>
        </w:rPr>
        <w:t>应提交上海国际经济贸易仲裁委员会根据该会当时有效的仲裁规则进行仲裁，仲裁地点为上海市</w:t>
      </w:r>
      <w:r>
        <w:rPr>
          <w:rFonts w:ascii="仿宋" w:eastAsia="仿宋" w:hAnsi="仿宋" w:cs="宋体" w:hint="eastAsia"/>
          <w:kern w:val="0"/>
          <w:sz w:val="24"/>
          <w:szCs w:val="24"/>
        </w:rPr>
        <w:t>，仲裁裁决是终局性的并对各方当事人具有约束力，除非仲裁裁决另有决定，仲裁费由败诉方承担。</w:t>
      </w: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争议处理期间，基金合同当事人应恪守各自的职责，各自继续忠实、勤勉、尽责地履行基金合同规定的义务，维护基金份额持有人的合法权益。</w:t>
      </w:r>
    </w:p>
    <w:p w:rsidR="00E45E2B" w:rsidRDefault="00E45E2B" w:rsidP="00E45E2B">
      <w:pPr>
        <w:autoSpaceDE w:val="0"/>
        <w:autoSpaceDN w:val="0"/>
        <w:adjustRightInd w:val="0"/>
        <w:spacing w:line="360" w:lineRule="auto"/>
        <w:ind w:firstLineChars="200" w:firstLine="480"/>
        <w:jc w:val="left"/>
        <w:rPr>
          <w:rFonts w:ascii="仿宋" w:eastAsia="仿宋" w:hAnsi="仿宋" w:cs="宋体"/>
          <w:kern w:val="0"/>
          <w:sz w:val="24"/>
          <w:szCs w:val="24"/>
        </w:rPr>
      </w:pPr>
      <w:r w:rsidRPr="006F66A3">
        <w:rPr>
          <w:rFonts w:ascii="仿宋" w:eastAsia="仿宋" w:hAnsi="仿宋" w:cs="宋体" w:hint="eastAsia"/>
          <w:kern w:val="0"/>
          <w:sz w:val="24"/>
          <w:szCs w:val="24"/>
        </w:rPr>
        <w:t>《基金合同》</w:t>
      </w:r>
      <w:r w:rsidRPr="00EE2336">
        <w:rPr>
          <w:rFonts w:ascii="仿宋" w:eastAsia="仿宋" w:hAnsi="仿宋" w:cs="宋体" w:hint="eastAsia"/>
          <w:kern w:val="0"/>
          <w:sz w:val="24"/>
          <w:szCs w:val="24"/>
        </w:rPr>
        <w:t>受中华人民共和国法律</w:t>
      </w:r>
      <w:r w:rsidRPr="006F66A3">
        <w:rPr>
          <w:rFonts w:ascii="仿宋" w:eastAsia="仿宋" w:hAnsi="仿宋" w:cs="宋体" w:hint="eastAsia"/>
          <w:kern w:val="0"/>
          <w:sz w:val="24"/>
          <w:szCs w:val="24"/>
        </w:rPr>
        <w:t>（为《基金合同》之目的，</w:t>
      </w:r>
      <w:r>
        <w:rPr>
          <w:rFonts w:ascii="仿宋" w:eastAsia="仿宋" w:hAnsi="仿宋" w:cs="宋体" w:hint="eastAsia"/>
          <w:kern w:val="0"/>
          <w:sz w:val="24"/>
          <w:szCs w:val="24"/>
        </w:rPr>
        <w:t>在此</w:t>
      </w:r>
      <w:r w:rsidRPr="006F66A3">
        <w:rPr>
          <w:rFonts w:ascii="仿宋" w:eastAsia="仿宋" w:hAnsi="仿宋" w:cs="宋体" w:hint="eastAsia"/>
          <w:kern w:val="0"/>
          <w:sz w:val="24"/>
          <w:szCs w:val="24"/>
        </w:rPr>
        <w:t>不包括香港特别行政区、澳门特别行政区和台湾地区法律）管辖，</w:t>
      </w:r>
      <w:r>
        <w:rPr>
          <w:rFonts w:ascii="仿宋" w:eastAsia="仿宋" w:hAnsi="仿宋" w:cs="宋体" w:hint="eastAsia"/>
          <w:kern w:val="0"/>
          <w:sz w:val="24"/>
          <w:szCs w:val="24"/>
        </w:rPr>
        <w:t>并从其解释。</w:t>
      </w:r>
    </w:p>
    <w:bookmarkEnd w:id="347"/>
    <w:p w:rsidR="00E45E2B" w:rsidRDefault="00E45E2B" w:rsidP="00E45E2B">
      <w:pPr>
        <w:autoSpaceDE w:val="0"/>
        <w:autoSpaceDN w:val="0"/>
        <w:adjustRightInd w:val="0"/>
        <w:spacing w:line="360" w:lineRule="auto"/>
        <w:jc w:val="left"/>
        <w:rPr>
          <w:rFonts w:ascii="仿宋" w:eastAsia="仿宋" w:hAnsi="仿宋" w:cs="SimSun,Bold"/>
          <w:bCs/>
          <w:color w:val="000000"/>
          <w:kern w:val="0"/>
          <w:sz w:val="24"/>
          <w:szCs w:val="24"/>
        </w:rPr>
      </w:pPr>
    </w:p>
    <w:p w:rsidR="00E45E2B" w:rsidRDefault="00E45E2B" w:rsidP="00E45E2B">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48" w:name="_Toc459291344"/>
      <w:bookmarkStart w:id="349" w:name="_Toc149132971"/>
      <w:bookmarkStart w:id="350" w:name="_Toc169163893"/>
      <w:r>
        <w:rPr>
          <w:rFonts w:ascii="仿宋" w:eastAsia="仿宋" w:hAnsi="仿宋" w:cs="SimSun,Bold" w:hint="eastAsia"/>
          <w:b/>
          <w:bCs/>
          <w:kern w:val="0"/>
          <w:sz w:val="24"/>
          <w:szCs w:val="24"/>
        </w:rPr>
        <w:t>（九）基金合同存放地和投资者取得合同的方式</w:t>
      </w:r>
      <w:bookmarkEnd w:id="348"/>
      <w:bookmarkEnd w:id="349"/>
      <w:bookmarkEnd w:id="350"/>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bookmarkStart w:id="351" w:name="_Toc459291345"/>
      <w:r>
        <w:rPr>
          <w:rFonts w:ascii="仿宋" w:eastAsia="仿宋" w:hAnsi="仿宋" w:cs="宋体" w:hint="eastAsia"/>
          <w:kern w:val="0"/>
          <w:sz w:val="24"/>
          <w:szCs w:val="24"/>
        </w:rPr>
        <w:t>《基金合同》可印制成册，供投资者在基金管理人、基金托管人、销售机构的办公场所和营业场所查阅。</w:t>
      </w:r>
      <w:bookmarkStart w:id="352" w:name="_Toc355967957"/>
      <w:bookmarkStart w:id="353" w:name="_Toc357503841"/>
      <w:bookmarkStart w:id="354" w:name="_Toc382415399"/>
      <w:bookmarkStart w:id="355" w:name="_Toc374711046"/>
      <w:bookmarkStart w:id="356" w:name="_Toc374710883"/>
      <w:bookmarkStart w:id="357" w:name="_Toc377998642"/>
      <w:bookmarkStart w:id="358" w:name="_Toc365494997"/>
      <w:bookmarkStart w:id="359" w:name="_Toc364683223"/>
      <w:bookmarkStart w:id="360" w:name="_Toc364682647"/>
      <w:bookmarkStart w:id="361" w:name="_Toc381868501"/>
      <w:bookmarkStart w:id="362" w:name="_Toc357502727"/>
      <w:bookmarkStart w:id="363" w:name="_Toc356335617"/>
      <w:bookmarkEnd w:id="52"/>
      <w:bookmarkEnd w:id="53"/>
      <w:bookmarkEnd w:id="351"/>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p w:rsidR="00E45E2B" w:rsidRDefault="00E45E2B" w:rsidP="00E45E2B">
      <w:pPr>
        <w:autoSpaceDE w:val="0"/>
        <w:autoSpaceDN w:val="0"/>
        <w:adjustRightInd w:val="0"/>
        <w:spacing w:line="360" w:lineRule="auto"/>
        <w:ind w:firstLineChars="177" w:firstLine="425"/>
        <w:jc w:val="left"/>
        <w:rPr>
          <w:rFonts w:ascii="仿宋" w:eastAsia="仿宋" w:hAnsi="仿宋" w:cs="宋体"/>
          <w:kern w:val="0"/>
          <w:sz w:val="24"/>
          <w:szCs w:val="24"/>
        </w:rPr>
      </w:pPr>
    </w:p>
    <w:bookmarkEnd w:id="352"/>
    <w:bookmarkEnd w:id="353"/>
    <w:bookmarkEnd w:id="354"/>
    <w:bookmarkEnd w:id="355"/>
    <w:bookmarkEnd w:id="356"/>
    <w:bookmarkEnd w:id="357"/>
    <w:bookmarkEnd w:id="358"/>
    <w:bookmarkEnd w:id="359"/>
    <w:bookmarkEnd w:id="360"/>
    <w:bookmarkEnd w:id="361"/>
    <w:bookmarkEnd w:id="362"/>
    <w:bookmarkEnd w:id="363"/>
    <w:p w:rsidR="006833A7" w:rsidRPr="00F42FE1" w:rsidRDefault="006833A7" w:rsidP="00E45E2B">
      <w:pPr>
        <w:autoSpaceDE w:val="0"/>
        <w:autoSpaceDN w:val="0"/>
        <w:adjustRightInd w:val="0"/>
        <w:spacing w:line="360" w:lineRule="auto"/>
        <w:jc w:val="left"/>
        <w:rPr>
          <w:rFonts w:ascii="Arial Unicode MS" w:hAnsi="Arial Unicode MS"/>
          <w:b/>
          <w:szCs w:val="21"/>
        </w:rPr>
      </w:pPr>
    </w:p>
    <w:sectPr w:rsidR="006833A7" w:rsidRPr="00F42FE1" w:rsidSect="00BF0B40">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53C9F" w16cid:durableId="2A806131"/>
  <w16cid:commentId w16cid:paraId="23FBDEF8" w16cid:durableId="2A80625F"/>
  <w16cid:commentId w16cid:paraId="01D708B7" w16cid:durableId="2A80626B"/>
  <w16cid:commentId w16cid:paraId="0F25D8A8" w16cid:durableId="2A80627E"/>
  <w16cid:commentId w16cid:paraId="5D8843F7" w16cid:durableId="2A80628A"/>
  <w16cid:commentId w16cid:paraId="2D431657" w16cid:durableId="2A8061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D22" w:rsidRDefault="006D7D22" w:rsidP="00DC1F06">
      <w:r>
        <w:separator/>
      </w:r>
    </w:p>
  </w:endnote>
  <w:endnote w:type="continuationSeparator" w:id="0">
    <w:p w:rsidR="006D7D22" w:rsidRDefault="006D7D22" w:rsidP="00DC1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altName w:val="Malgun Gothic Semilight"/>
    <w:charset w:val="86"/>
    <w:family w:val="auto"/>
    <w:pitch w:val="default"/>
    <w:sig w:usb0="00000000" w:usb1="00000000" w:usb2="00000010" w:usb3="00000000" w:csb0="00040000" w:csb1="00000000"/>
  </w:font>
  <w:font w:name="新宋体-18030">
    <w:altName w:val="Arial Unicode MS"/>
    <w:charset w:val="86"/>
    <w:family w:val="modern"/>
    <w:pitch w:val="default"/>
    <w:sig w:usb0="00000000" w:usb1="00000000" w:usb2="000A005E"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imSun,Bold">
    <w:altName w:val="宋体"/>
    <w:charset w:val="86"/>
    <w:family w:val="auto"/>
    <w:pitch w:val="default"/>
    <w:sig w:usb0="00000000" w:usb1="00000000" w:usb2="00000000" w:usb3="00000000" w:csb0="00040000"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70" w:rsidRDefault="00911457" w:rsidP="0043118D">
    <w:pPr>
      <w:pStyle w:val="a5"/>
      <w:jc w:val="center"/>
    </w:pPr>
    <w:r>
      <w:fldChar w:fldCharType="begin"/>
    </w:r>
    <w:r w:rsidR="00D87870">
      <w:instrText xml:space="preserve"> PAGE   \* MERGEFORMAT </w:instrText>
    </w:r>
    <w:r>
      <w:fldChar w:fldCharType="separate"/>
    </w:r>
    <w:r w:rsidR="008F3C70" w:rsidRPr="008F3C70">
      <w:rPr>
        <w:noProof/>
        <w:lang w:val="zh-CN"/>
      </w:rPr>
      <w:t>1</w:t>
    </w:r>
    <w:r>
      <w:fldChar w:fldCharType="end"/>
    </w:r>
  </w:p>
  <w:p w:rsidR="00D87870" w:rsidRDefault="00D878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70" w:rsidRDefault="00911457">
    <w:pPr>
      <w:pStyle w:val="a5"/>
      <w:jc w:val="center"/>
    </w:pPr>
    <w:r>
      <w:fldChar w:fldCharType="begin"/>
    </w:r>
    <w:r w:rsidR="00D87870">
      <w:instrText>PAGE   \* MERGEFORMAT</w:instrText>
    </w:r>
    <w:r>
      <w:fldChar w:fldCharType="separate"/>
    </w:r>
    <w:r w:rsidR="00AD2202">
      <w:rPr>
        <w:noProof/>
      </w:rPr>
      <w:t>139</w:t>
    </w:r>
    <w:r>
      <w:fldChar w:fldCharType="end"/>
    </w:r>
  </w:p>
  <w:p w:rsidR="00D87870" w:rsidRDefault="00D878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D22" w:rsidRDefault="006D7D22" w:rsidP="00DC1F06">
      <w:r>
        <w:separator/>
      </w:r>
    </w:p>
  </w:footnote>
  <w:footnote w:type="continuationSeparator" w:id="0">
    <w:p w:rsidR="006D7D22" w:rsidRDefault="006D7D22" w:rsidP="00DC1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70" w:rsidRDefault="00D87870" w:rsidP="000D2857">
    <w:pPr>
      <w:pStyle w:val="a4"/>
      <w:pBdr>
        <w:bottom w:val="none" w:sz="0" w:space="0" w:color="auto"/>
      </w:pBdr>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70" w:rsidRDefault="00D87870" w:rsidP="00F42FE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3E46E16"/>
    <w:multiLevelType w:val="hybridMultilevel"/>
    <w:tmpl w:val="DA00C94A"/>
    <w:lvl w:ilvl="0" w:tplc="192052F4">
      <w:start w:val="1"/>
      <w:numFmt w:val="decimal"/>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690450"/>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E9212A"/>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1FA5052"/>
    <w:multiLevelType w:val="hybridMultilevel"/>
    <w:tmpl w:val="7FD69EEE"/>
    <w:lvl w:ilvl="0" w:tplc="3E2A20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7C53A4"/>
    <w:multiLevelType w:val="hybridMultilevel"/>
    <w:tmpl w:val="C65685FE"/>
    <w:lvl w:ilvl="0" w:tplc="AD82EC2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E60D8B"/>
    <w:multiLevelType w:val="hybridMultilevel"/>
    <w:tmpl w:val="E4AE6F9C"/>
    <w:lvl w:ilvl="0" w:tplc="01A21B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A967F0"/>
    <w:multiLevelType w:val="hybridMultilevel"/>
    <w:tmpl w:val="2B6C12BA"/>
    <w:lvl w:ilvl="0" w:tplc="347AB19C">
      <w:start w:val="1"/>
      <w:numFmt w:val="decimal"/>
      <w:lvlText w:val="%1、"/>
      <w:lvlJc w:val="left"/>
      <w:pPr>
        <w:ind w:left="1565" w:hanging="1005"/>
      </w:pPr>
      <w:rPr>
        <w:rFonts w:ascii="Arial Unicode MS" w:eastAsia="Arial Unicode MS" w:cs="Arial Unicode MS"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5AD734A"/>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376F6F05"/>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0">
    <w:nsid w:val="3B3105E1"/>
    <w:multiLevelType w:val="multilevel"/>
    <w:tmpl w:val="3B3105E1"/>
    <w:lvl w:ilvl="0">
      <w:start w:val="1"/>
      <w:numFmt w:val="decimal"/>
      <w:suff w:val="nothing"/>
      <w:lvlText w:val="%1、"/>
      <w:lvlJc w:val="left"/>
      <w:pPr>
        <w:ind w:left="709" w:hanging="284"/>
      </w:pPr>
      <w:rPr>
        <w:rFonts w:ascii="仿宋" w:eastAsia="仿宋" w:hAnsi="仿宋" w:hint="eastAsia"/>
        <w:b w:val="0"/>
        <w:sz w:val="24"/>
        <w:szCs w:val="24"/>
      </w:rPr>
    </w:lvl>
    <w:lvl w:ilvl="1">
      <w:start w:val="1"/>
      <w:numFmt w:val="lowerLetter"/>
      <w:lvlText w:val="%2)"/>
      <w:lvlJc w:val="left"/>
      <w:pPr>
        <w:ind w:left="-1004" w:hanging="420"/>
      </w:pPr>
    </w:lvl>
    <w:lvl w:ilvl="2">
      <w:start w:val="1"/>
      <w:numFmt w:val="lowerRoman"/>
      <w:lvlText w:val="%3."/>
      <w:lvlJc w:val="right"/>
      <w:pPr>
        <w:ind w:left="-584" w:hanging="420"/>
      </w:pPr>
    </w:lvl>
    <w:lvl w:ilvl="3">
      <w:start w:val="1"/>
      <w:numFmt w:val="decimal"/>
      <w:lvlText w:val="%4."/>
      <w:lvlJc w:val="left"/>
      <w:pPr>
        <w:ind w:left="-164" w:hanging="420"/>
      </w:pPr>
    </w:lvl>
    <w:lvl w:ilvl="4">
      <w:start w:val="1"/>
      <w:numFmt w:val="lowerLetter"/>
      <w:lvlText w:val="%5)"/>
      <w:lvlJc w:val="left"/>
      <w:pPr>
        <w:ind w:left="256" w:hanging="420"/>
      </w:pPr>
    </w:lvl>
    <w:lvl w:ilvl="5">
      <w:start w:val="1"/>
      <w:numFmt w:val="lowerRoman"/>
      <w:lvlText w:val="%6."/>
      <w:lvlJc w:val="right"/>
      <w:pPr>
        <w:ind w:left="676" w:hanging="420"/>
      </w:pPr>
    </w:lvl>
    <w:lvl w:ilvl="6">
      <w:start w:val="1"/>
      <w:numFmt w:val="decimal"/>
      <w:lvlText w:val="%7."/>
      <w:lvlJc w:val="left"/>
      <w:pPr>
        <w:ind w:left="1096" w:hanging="420"/>
      </w:pPr>
    </w:lvl>
    <w:lvl w:ilvl="7">
      <w:start w:val="1"/>
      <w:numFmt w:val="lowerLetter"/>
      <w:lvlText w:val="%8)"/>
      <w:lvlJc w:val="left"/>
      <w:pPr>
        <w:ind w:left="1516" w:hanging="420"/>
      </w:pPr>
    </w:lvl>
    <w:lvl w:ilvl="8">
      <w:start w:val="1"/>
      <w:numFmt w:val="lowerRoman"/>
      <w:lvlText w:val="%9."/>
      <w:lvlJc w:val="right"/>
      <w:pPr>
        <w:ind w:left="1936" w:hanging="420"/>
      </w:pPr>
    </w:lvl>
  </w:abstractNum>
  <w:abstractNum w:abstractNumId="11">
    <w:nsid w:val="3E2F5592"/>
    <w:multiLevelType w:val="hybridMultilevel"/>
    <w:tmpl w:val="F6524E9E"/>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455F1562"/>
    <w:multiLevelType w:val="multilevel"/>
    <w:tmpl w:val="455F1562"/>
    <w:lvl w:ilvl="0">
      <w:start w:val="1"/>
      <w:numFmt w:val="decimal"/>
      <w:lvlText w:val="(%1)"/>
      <w:lvlJc w:val="left"/>
      <w:pPr>
        <w:ind w:left="274" w:firstLine="147"/>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7F72461"/>
    <w:multiLevelType w:val="hybridMultilevel"/>
    <w:tmpl w:val="962E013C"/>
    <w:lvl w:ilvl="0" w:tplc="0409001B">
      <w:start w:val="1"/>
      <w:numFmt w:val="lowerRoman"/>
      <w:lvlText w:val="%1."/>
      <w:lvlJc w:val="righ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4F0705B0"/>
    <w:multiLevelType w:val="hybridMultilevel"/>
    <w:tmpl w:val="F61C3066"/>
    <w:lvl w:ilvl="0" w:tplc="0EC2A9E6">
      <w:start w:val="1"/>
      <w:numFmt w:val="decimal"/>
      <w:lvlText w:val="(%1)"/>
      <w:lvlJc w:val="left"/>
      <w:pPr>
        <w:ind w:left="420" w:firstLine="147"/>
      </w:pPr>
      <w:rPr>
        <w:rFonts w:hint="eastAsia"/>
        <w:b w:val="0"/>
        <w:color w:val="auto"/>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5">
    <w:nsid w:val="51C07EE4"/>
    <w:multiLevelType w:val="hybridMultilevel"/>
    <w:tmpl w:val="516068A4"/>
    <w:lvl w:ilvl="0" w:tplc="C2CE04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848BBD0"/>
    <w:multiLevelType w:val="singleLevel"/>
    <w:tmpl w:val="5848BBD0"/>
    <w:lvl w:ilvl="0">
      <w:start w:val="3"/>
      <w:numFmt w:val="chineseCounting"/>
      <w:suff w:val="nothing"/>
      <w:lvlText w:val="%1、"/>
      <w:lvlJc w:val="left"/>
    </w:lvl>
  </w:abstractNum>
  <w:abstractNum w:abstractNumId="17">
    <w:nsid w:val="5848BF71"/>
    <w:multiLevelType w:val="singleLevel"/>
    <w:tmpl w:val="5848BF71"/>
    <w:lvl w:ilvl="0">
      <w:start w:val="5"/>
      <w:numFmt w:val="chineseCounting"/>
      <w:suff w:val="nothing"/>
      <w:lvlText w:val="%1、"/>
      <w:lvlJc w:val="left"/>
    </w:lvl>
  </w:abstractNum>
  <w:abstractNum w:abstractNumId="18">
    <w:nsid w:val="588D5F4D"/>
    <w:multiLevelType w:val="hybridMultilevel"/>
    <w:tmpl w:val="8F02A478"/>
    <w:lvl w:ilvl="0" w:tplc="04090019">
      <w:start w:val="1"/>
      <w:numFmt w:val="lowerLetter"/>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5B6626A6"/>
    <w:multiLevelType w:val="hybridMultilevel"/>
    <w:tmpl w:val="7218A008"/>
    <w:lvl w:ilvl="0" w:tplc="558E8658">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65373705"/>
    <w:multiLevelType w:val="hybridMultilevel"/>
    <w:tmpl w:val="643CD6D2"/>
    <w:lvl w:ilvl="0" w:tplc="04090013">
      <w:start w:val="1"/>
      <w:numFmt w:val="chineseCountingThousand"/>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CC0B47"/>
    <w:multiLevelType w:val="hybridMultilevel"/>
    <w:tmpl w:val="FCBAEEBA"/>
    <w:lvl w:ilvl="0" w:tplc="F6E6903E">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61E2993"/>
    <w:multiLevelType w:val="hybridMultilevel"/>
    <w:tmpl w:val="E716E116"/>
    <w:lvl w:ilvl="0" w:tplc="54F00CD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7"/>
  </w:num>
  <w:num w:numId="3">
    <w:abstractNumId w:val="16"/>
  </w:num>
  <w:num w:numId="4">
    <w:abstractNumId w:val="17"/>
  </w:num>
  <w:num w:numId="5">
    <w:abstractNumId w:val="15"/>
  </w:num>
  <w:num w:numId="6">
    <w:abstractNumId w:val="14"/>
  </w:num>
  <w:num w:numId="7">
    <w:abstractNumId w:val="11"/>
  </w:num>
  <w:num w:numId="8">
    <w:abstractNumId w:val="8"/>
  </w:num>
  <w:num w:numId="9">
    <w:abstractNumId w:val="9"/>
  </w:num>
  <w:num w:numId="10">
    <w:abstractNumId w:val="4"/>
  </w:num>
  <w:num w:numId="11">
    <w:abstractNumId w:val="13"/>
  </w:num>
  <w:num w:numId="12">
    <w:abstractNumId w:val="18"/>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2"/>
  </w:num>
  <w:num w:numId="18">
    <w:abstractNumId w:val="5"/>
  </w:num>
  <w:num w:numId="19">
    <w:abstractNumId w:val="21"/>
  </w:num>
  <w:num w:numId="20">
    <w:abstractNumId w:val="3"/>
  </w:num>
  <w:num w:numId="21">
    <w:abstractNumId w:val="1"/>
  </w:num>
  <w:num w:numId="22">
    <w:abstractNumId w:val="0"/>
  </w:num>
  <w:num w:numId="23">
    <w:abstractNumId w:val="12"/>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E13"/>
    <w:rsid w:val="00005CED"/>
    <w:rsid w:val="0000666F"/>
    <w:rsid w:val="00006E88"/>
    <w:rsid w:val="00007197"/>
    <w:rsid w:val="000073B5"/>
    <w:rsid w:val="00007B0A"/>
    <w:rsid w:val="00007BBE"/>
    <w:rsid w:val="00010D13"/>
    <w:rsid w:val="00010E7C"/>
    <w:rsid w:val="00011002"/>
    <w:rsid w:val="00011485"/>
    <w:rsid w:val="000124A3"/>
    <w:rsid w:val="00012555"/>
    <w:rsid w:val="00013009"/>
    <w:rsid w:val="0001464C"/>
    <w:rsid w:val="00014D7B"/>
    <w:rsid w:val="00014DA3"/>
    <w:rsid w:val="00016201"/>
    <w:rsid w:val="000174E2"/>
    <w:rsid w:val="0001797B"/>
    <w:rsid w:val="00020B4A"/>
    <w:rsid w:val="0002120B"/>
    <w:rsid w:val="00021847"/>
    <w:rsid w:val="00023818"/>
    <w:rsid w:val="00023BEC"/>
    <w:rsid w:val="00025696"/>
    <w:rsid w:val="00025704"/>
    <w:rsid w:val="00032312"/>
    <w:rsid w:val="00033E10"/>
    <w:rsid w:val="000349AF"/>
    <w:rsid w:val="00036707"/>
    <w:rsid w:val="00037CD3"/>
    <w:rsid w:val="000415D7"/>
    <w:rsid w:val="00045313"/>
    <w:rsid w:val="0004674F"/>
    <w:rsid w:val="00047B99"/>
    <w:rsid w:val="00050671"/>
    <w:rsid w:val="000526C2"/>
    <w:rsid w:val="00052C2A"/>
    <w:rsid w:val="00055E82"/>
    <w:rsid w:val="00056ABD"/>
    <w:rsid w:val="00057A7F"/>
    <w:rsid w:val="0006042F"/>
    <w:rsid w:val="00062AC6"/>
    <w:rsid w:val="00062ED8"/>
    <w:rsid w:val="000634A0"/>
    <w:rsid w:val="00063D0E"/>
    <w:rsid w:val="0006449A"/>
    <w:rsid w:val="00067548"/>
    <w:rsid w:val="00067CCF"/>
    <w:rsid w:val="00070EA0"/>
    <w:rsid w:val="00071830"/>
    <w:rsid w:val="00072003"/>
    <w:rsid w:val="00073B8D"/>
    <w:rsid w:val="00073C23"/>
    <w:rsid w:val="00073E10"/>
    <w:rsid w:val="00074DC8"/>
    <w:rsid w:val="00082CAC"/>
    <w:rsid w:val="00082E0B"/>
    <w:rsid w:val="00083E6E"/>
    <w:rsid w:val="000857D8"/>
    <w:rsid w:val="00086A6D"/>
    <w:rsid w:val="000870FA"/>
    <w:rsid w:val="00087812"/>
    <w:rsid w:val="000909AB"/>
    <w:rsid w:val="000913A5"/>
    <w:rsid w:val="00091828"/>
    <w:rsid w:val="00092C04"/>
    <w:rsid w:val="00093A48"/>
    <w:rsid w:val="000958BA"/>
    <w:rsid w:val="000A2406"/>
    <w:rsid w:val="000A4359"/>
    <w:rsid w:val="000A69CF"/>
    <w:rsid w:val="000B0BB3"/>
    <w:rsid w:val="000B1080"/>
    <w:rsid w:val="000B124E"/>
    <w:rsid w:val="000B18DA"/>
    <w:rsid w:val="000B3BE1"/>
    <w:rsid w:val="000B5625"/>
    <w:rsid w:val="000B59CC"/>
    <w:rsid w:val="000B692C"/>
    <w:rsid w:val="000B6B63"/>
    <w:rsid w:val="000C2401"/>
    <w:rsid w:val="000C3571"/>
    <w:rsid w:val="000C3716"/>
    <w:rsid w:val="000C5C17"/>
    <w:rsid w:val="000D102F"/>
    <w:rsid w:val="000D18E9"/>
    <w:rsid w:val="000D2857"/>
    <w:rsid w:val="000D5134"/>
    <w:rsid w:val="000D62C8"/>
    <w:rsid w:val="000E0688"/>
    <w:rsid w:val="000E0AC6"/>
    <w:rsid w:val="000E1199"/>
    <w:rsid w:val="000E17FF"/>
    <w:rsid w:val="000E3041"/>
    <w:rsid w:val="000E3BF7"/>
    <w:rsid w:val="000E49E7"/>
    <w:rsid w:val="000E78D1"/>
    <w:rsid w:val="000F0108"/>
    <w:rsid w:val="000F2973"/>
    <w:rsid w:val="000F4BFB"/>
    <w:rsid w:val="000F5D44"/>
    <w:rsid w:val="000F6A13"/>
    <w:rsid w:val="000F6A4F"/>
    <w:rsid w:val="000F6C24"/>
    <w:rsid w:val="000F7F0D"/>
    <w:rsid w:val="000F7FBB"/>
    <w:rsid w:val="0010111B"/>
    <w:rsid w:val="00101228"/>
    <w:rsid w:val="001015A7"/>
    <w:rsid w:val="00102B27"/>
    <w:rsid w:val="00106034"/>
    <w:rsid w:val="00107FD6"/>
    <w:rsid w:val="001121E1"/>
    <w:rsid w:val="00112EF3"/>
    <w:rsid w:val="001141DA"/>
    <w:rsid w:val="00114DFA"/>
    <w:rsid w:val="00114F34"/>
    <w:rsid w:val="00117A4D"/>
    <w:rsid w:val="001212FA"/>
    <w:rsid w:val="00121D7C"/>
    <w:rsid w:val="00121FC6"/>
    <w:rsid w:val="0012214E"/>
    <w:rsid w:val="00123141"/>
    <w:rsid w:val="001239CC"/>
    <w:rsid w:val="00126DBB"/>
    <w:rsid w:val="001308C6"/>
    <w:rsid w:val="00131138"/>
    <w:rsid w:val="00132250"/>
    <w:rsid w:val="00133286"/>
    <w:rsid w:val="0013358B"/>
    <w:rsid w:val="00133DC1"/>
    <w:rsid w:val="00135B16"/>
    <w:rsid w:val="001377EE"/>
    <w:rsid w:val="0014151B"/>
    <w:rsid w:val="00142152"/>
    <w:rsid w:val="00142E89"/>
    <w:rsid w:val="0014414D"/>
    <w:rsid w:val="00144AE6"/>
    <w:rsid w:val="001455BC"/>
    <w:rsid w:val="00145870"/>
    <w:rsid w:val="00146928"/>
    <w:rsid w:val="00146EDE"/>
    <w:rsid w:val="00147F3D"/>
    <w:rsid w:val="00150537"/>
    <w:rsid w:val="00150A0C"/>
    <w:rsid w:val="00153275"/>
    <w:rsid w:val="00153707"/>
    <w:rsid w:val="0015548F"/>
    <w:rsid w:val="0015676A"/>
    <w:rsid w:val="001570BC"/>
    <w:rsid w:val="00161B97"/>
    <w:rsid w:val="0016305D"/>
    <w:rsid w:val="00163349"/>
    <w:rsid w:val="00163514"/>
    <w:rsid w:val="001637D9"/>
    <w:rsid w:val="001637FD"/>
    <w:rsid w:val="001658A6"/>
    <w:rsid w:val="00165A5E"/>
    <w:rsid w:val="00167004"/>
    <w:rsid w:val="00167D5D"/>
    <w:rsid w:val="00172502"/>
    <w:rsid w:val="00173BEF"/>
    <w:rsid w:val="001758A2"/>
    <w:rsid w:val="00177E86"/>
    <w:rsid w:val="001819A1"/>
    <w:rsid w:val="00181E47"/>
    <w:rsid w:val="0018306E"/>
    <w:rsid w:val="00185143"/>
    <w:rsid w:val="0018657A"/>
    <w:rsid w:val="00190E75"/>
    <w:rsid w:val="00193191"/>
    <w:rsid w:val="001941ED"/>
    <w:rsid w:val="00195973"/>
    <w:rsid w:val="001961D2"/>
    <w:rsid w:val="00197F12"/>
    <w:rsid w:val="001A052E"/>
    <w:rsid w:val="001A1050"/>
    <w:rsid w:val="001A1C39"/>
    <w:rsid w:val="001A2626"/>
    <w:rsid w:val="001A2D1C"/>
    <w:rsid w:val="001A30B3"/>
    <w:rsid w:val="001A31BE"/>
    <w:rsid w:val="001A53CF"/>
    <w:rsid w:val="001A5910"/>
    <w:rsid w:val="001A65EF"/>
    <w:rsid w:val="001A743C"/>
    <w:rsid w:val="001B005A"/>
    <w:rsid w:val="001B102D"/>
    <w:rsid w:val="001B2409"/>
    <w:rsid w:val="001B30D1"/>
    <w:rsid w:val="001B333C"/>
    <w:rsid w:val="001B4FA3"/>
    <w:rsid w:val="001B689E"/>
    <w:rsid w:val="001B785B"/>
    <w:rsid w:val="001B7FB0"/>
    <w:rsid w:val="001C1B0A"/>
    <w:rsid w:val="001C2172"/>
    <w:rsid w:val="001C2812"/>
    <w:rsid w:val="001C2C97"/>
    <w:rsid w:val="001C2CBB"/>
    <w:rsid w:val="001C345B"/>
    <w:rsid w:val="001C4084"/>
    <w:rsid w:val="001C4536"/>
    <w:rsid w:val="001C47A2"/>
    <w:rsid w:val="001C72E9"/>
    <w:rsid w:val="001D1E47"/>
    <w:rsid w:val="001D30AD"/>
    <w:rsid w:val="001D3EB0"/>
    <w:rsid w:val="001D7330"/>
    <w:rsid w:val="001E13A6"/>
    <w:rsid w:val="001E3DFE"/>
    <w:rsid w:val="001E4B00"/>
    <w:rsid w:val="001E7D98"/>
    <w:rsid w:val="001F1BB1"/>
    <w:rsid w:val="001F4C3A"/>
    <w:rsid w:val="001F5999"/>
    <w:rsid w:val="001F751D"/>
    <w:rsid w:val="00200335"/>
    <w:rsid w:val="00201996"/>
    <w:rsid w:val="002029DB"/>
    <w:rsid w:val="002031DF"/>
    <w:rsid w:val="0020328D"/>
    <w:rsid w:val="00205449"/>
    <w:rsid w:val="002068F4"/>
    <w:rsid w:val="00206C2D"/>
    <w:rsid w:val="00207591"/>
    <w:rsid w:val="00207C6C"/>
    <w:rsid w:val="0021123F"/>
    <w:rsid w:val="00211639"/>
    <w:rsid w:val="00211DB2"/>
    <w:rsid w:val="00214314"/>
    <w:rsid w:val="002154C5"/>
    <w:rsid w:val="0021697B"/>
    <w:rsid w:val="0021790C"/>
    <w:rsid w:val="00222701"/>
    <w:rsid w:val="002269A7"/>
    <w:rsid w:val="00230218"/>
    <w:rsid w:val="00230F54"/>
    <w:rsid w:val="00233CC8"/>
    <w:rsid w:val="002347F4"/>
    <w:rsid w:val="00234D4E"/>
    <w:rsid w:val="002355FF"/>
    <w:rsid w:val="00237AD2"/>
    <w:rsid w:val="002400D0"/>
    <w:rsid w:val="00240BEF"/>
    <w:rsid w:val="0024112A"/>
    <w:rsid w:val="002451C8"/>
    <w:rsid w:val="002453DD"/>
    <w:rsid w:val="002467AA"/>
    <w:rsid w:val="002478E3"/>
    <w:rsid w:val="00247AC9"/>
    <w:rsid w:val="00247E74"/>
    <w:rsid w:val="00251099"/>
    <w:rsid w:val="00251285"/>
    <w:rsid w:val="002514CA"/>
    <w:rsid w:val="00251D12"/>
    <w:rsid w:val="002523B0"/>
    <w:rsid w:val="00252A40"/>
    <w:rsid w:val="00252E8A"/>
    <w:rsid w:val="00253E0B"/>
    <w:rsid w:val="002562BE"/>
    <w:rsid w:val="00256749"/>
    <w:rsid w:val="00260240"/>
    <w:rsid w:val="002602FB"/>
    <w:rsid w:val="00260B4B"/>
    <w:rsid w:val="00261AE0"/>
    <w:rsid w:val="002638FE"/>
    <w:rsid w:val="00264310"/>
    <w:rsid w:val="00264D54"/>
    <w:rsid w:val="00266722"/>
    <w:rsid w:val="0027010B"/>
    <w:rsid w:val="002711DC"/>
    <w:rsid w:val="0027176C"/>
    <w:rsid w:val="00271FAF"/>
    <w:rsid w:val="00273875"/>
    <w:rsid w:val="00273D2E"/>
    <w:rsid w:val="00274DBC"/>
    <w:rsid w:val="00275D0C"/>
    <w:rsid w:val="00276580"/>
    <w:rsid w:val="00276E0B"/>
    <w:rsid w:val="0027702B"/>
    <w:rsid w:val="00281D26"/>
    <w:rsid w:val="00282190"/>
    <w:rsid w:val="0028488B"/>
    <w:rsid w:val="00286F26"/>
    <w:rsid w:val="002877E7"/>
    <w:rsid w:val="00290722"/>
    <w:rsid w:val="00291601"/>
    <w:rsid w:val="002971F8"/>
    <w:rsid w:val="002973B4"/>
    <w:rsid w:val="0029767E"/>
    <w:rsid w:val="002A02DE"/>
    <w:rsid w:val="002A0B7A"/>
    <w:rsid w:val="002A1044"/>
    <w:rsid w:val="002A1BED"/>
    <w:rsid w:val="002A20B4"/>
    <w:rsid w:val="002A2C6D"/>
    <w:rsid w:val="002A670C"/>
    <w:rsid w:val="002A685C"/>
    <w:rsid w:val="002A7671"/>
    <w:rsid w:val="002A7AC7"/>
    <w:rsid w:val="002B14B2"/>
    <w:rsid w:val="002B226E"/>
    <w:rsid w:val="002B244A"/>
    <w:rsid w:val="002B2499"/>
    <w:rsid w:val="002B2797"/>
    <w:rsid w:val="002B2FB3"/>
    <w:rsid w:val="002B3FE2"/>
    <w:rsid w:val="002B4D22"/>
    <w:rsid w:val="002B6432"/>
    <w:rsid w:val="002B6E02"/>
    <w:rsid w:val="002C008B"/>
    <w:rsid w:val="002C2368"/>
    <w:rsid w:val="002C23CC"/>
    <w:rsid w:val="002C47E5"/>
    <w:rsid w:val="002C4EA9"/>
    <w:rsid w:val="002C7DC2"/>
    <w:rsid w:val="002D1273"/>
    <w:rsid w:val="002D3AF7"/>
    <w:rsid w:val="002D3E90"/>
    <w:rsid w:val="002D47B1"/>
    <w:rsid w:val="002D555F"/>
    <w:rsid w:val="002D7223"/>
    <w:rsid w:val="002D7ACD"/>
    <w:rsid w:val="002E328D"/>
    <w:rsid w:val="002E4082"/>
    <w:rsid w:val="002E4FC5"/>
    <w:rsid w:val="002E5DEB"/>
    <w:rsid w:val="002E6A93"/>
    <w:rsid w:val="002E70CE"/>
    <w:rsid w:val="002F035F"/>
    <w:rsid w:val="002F1604"/>
    <w:rsid w:val="002F23E8"/>
    <w:rsid w:val="002F2531"/>
    <w:rsid w:val="002F2E4F"/>
    <w:rsid w:val="002F5E0A"/>
    <w:rsid w:val="002F6789"/>
    <w:rsid w:val="003044A3"/>
    <w:rsid w:val="003115C3"/>
    <w:rsid w:val="00311A3A"/>
    <w:rsid w:val="00312302"/>
    <w:rsid w:val="003135A7"/>
    <w:rsid w:val="00313D24"/>
    <w:rsid w:val="003165AF"/>
    <w:rsid w:val="00316C54"/>
    <w:rsid w:val="00320568"/>
    <w:rsid w:val="00320D4D"/>
    <w:rsid w:val="00321626"/>
    <w:rsid w:val="00321F2C"/>
    <w:rsid w:val="00322B0F"/>
    <w:rsid w:val="00325D7C"/>
    <w:rsid w:val="00325D97"/>
    <w:rsid w:val="00326F65"/>
    <w:rsid w:val="003276D2"/>
    <w:rsid w:val="0033148E"/>
    <w:rsid w:val="00333558"/>
    <w:rsid w:val="00333DAF"/>
    <w:rsid w:val="0033494C"/>
    <w:rsid w:val="00340485"/>
    <w:rsid w:val="0034184B"/>
    <w:rsid w:val="00341E23"/>
    <w:rsid w:val="00342488"/>
    <w:rsid w:val="00343C4C"/>
    <w:rsid w:val="003445E1"/>
    <w:rsid w:val="00345FAA"/>
    <w:rsid w:val="0034650D"/>
    <w:rsid w:val="00346AE0"/>
    <w:rsid w:val="00346FFF"/>
    <w:rsid w:val="00347B66"/>
    <w:rsid w:val="00347B85"/>
    <w:rsid w:val="00350AB3"/>
    <w:rsid w:val="00351F45"/>
    <w:rsid w:val="00354649"/>
    <w:rsid w:val="00355926"/>
    <w:rsid w:val="00355978"/>
    <w:rsid w:val="003562DE"/>
    <w:rsid w:val="00357F67"/>
    <w:rsid w:val="00360BCD"/>
    <w:rsid w:val="00362B27"/>
    <w:rsid w:val="00365368"/>
    <w:rsid w:val="00365932"/>
    <w:rsid w:val="003661C6"/>
    <w:rsid w:val="003666BF"/>
    <w:rsid w:val="0036693A"/>
    <w:rsid w:val="0036774B"/>
    <w:rsid w:val="003768EE"/>
    <w:rsid w:val="003775A3"/>
    <w:rsid w:val="00380B0A"/>
    <w:rsid w:val="003810D7"/>
    <w:rsid w:val="00384888"/>
    <w:rsid w:val="00384CC3"/>
    <w:rsid w:val="0038578A"/>
    <w:rsid w:val="003872EC"/>
    <w:rsid w:val="003878BF"/>
    <w:rsid w:val="0039028A"/>
    <w:rsid w:val="00392F6B"/>
    <w:rsid w:val="0039382A"/>
    <w:rsid w:val="00394D95"/>
    <w:rsid w:val="00396490"/>
    <w:rsid w:val="0039769A"/>
    <w:rsid w:val="003A0573"/>
    <w:rsid w:val="003A07F3"/>
    <w:rsid w:val="003A0F60"/>
    <w:rsid w:val="003A1D15"/>
    <w:rsid w:val="003A1D74"/>
    <w:rsid w:val="003A2422"/>
    <w:rsid w:val="003A4734"/>
    <w:rsid w:val="003A483F"/>
    <w:rsid w:val="003A61A4"/>
    <w:rsid w:val="003A7554"/>
    <w:rsid w:val="003A79CA"/>
    <w:rsid w:val="003B1507"/>
    <w:rsid w:val="003B21E5"/>
    <w:rsid w:val="003B2782"/>
    <w:rsid w:val="003C296C"/>
    <w:rsid w:val="003C31C0"/>
    <w:rsid w:val="003C4C6E"/>
    <w:rsid w:val="003C4C8A"/>
    <w:rsid w:val="003C5999"/>
    <w:rsid w:val="003C5F2B"/>
    <w:rsid w:val="003C64E0"/>
    <w:rsid w:val="003C73BD"/>
    <w:rsid w:val="003D131F"/>
    <w:rsid w:val="003D2E2F"/>
    <w:rsid w:val="003D42AC"/>
    <w:rsid w:val="003D4FAC"/>
    <w:rsid w:val="003D5CC1"/>
    <w:rsid w:val="003E0B1C"/>
    <w:rsid w:val="003E1E51"/>
    <w:rsid w:val="003E229D"/>
    <w:rsid w:val="003E2C99"/>
    <w:rsid w:val="003E317A"/>
    <w:rsid w:val="003E34D1"/>
    <w:rsid w:val="003E3C76"/>
    <w:rsid w:val="003E3DF4"/>
    <w:rsid w:val="003E4071"/>
    <w:rsid w:val="003E55EF"/>
    <w:rsid w:val="003E5FAA"/>
    <w:rsid w:val="003E724A"/>
    <w:rsid w:val="003E7935"/>
    <w:rsid w:val="003E7B81"/>
    <w:rsid w:val="003F03A9"/>
    <w:rsid w:val="003F0AFA"/>
    <w:rsid w:val="003F0DE6"/>
    <w:rsid w:val="003F104E"/>
    <w:rsid w:val="003F2710"/>
    <w:rsid w:val="003F3A9B"/>
    <w:rsid w:val="003F3FD4"/>
    <w:rsid w:val="003F788C"/>
    <w:rsid w:val="004006DF"/>
    <w:rsid w:val="0040117E"/>
    <w:rsid w:val="00402C3E"/>
    <w:rsid w:val="00412E27"/>
    <w:rsid w:val="00413738"/>
    <w:rsid w:val="00416AE8"/>
    <w:rsid w:val="00416B3F"/>
    <w:rsid w:val="004173C8"/>
    <w:rsid w:val="00417F5D"/>
    <w:rsid w:val="00420652"/>
    <w:rsid w:val="00420E3C"/>
    <w:rsid w:val="00421B36"/>
    <w:rsid w:val="00423459"/>
    <w:rsid w:val="0042398C"/>
    <w:rsid w:val="004253BD"/>
    <w:rsid w:val="00425729"/>
    <w:rsid w:val="00426023"/>
    <w:rsid w:val="004266E6"/>
    <w:rsid w:val="00426A34"/>
    <w:rsid w:val="00426B59"/>
    <w:rsid w:val="00430DAB"/>
    <w:rsid w:val="0043118D"/>
    <w:rsid w:val="00431D23"/>
    <w:rsid w:val="00432CED"/>
    <w:rsid w:val="00432DEE"/>
    <w:rsid w:val="00434E3D"/>
    <w:rsid w:val="00435672"/>
    <w:rsid w:val="00435C3A"/>
    <w:rsid w:val="00435CDB"/>
    <w:rsid w:val="00436A6F"/>
    <w:rsid w:val="00441773"/>
    <w:rsid w:val="00441AB0"/>
    <w:rsid w:val="0044416D"/>
    <w:rsid w:val="004441D9"/>
    <w:rsid w:val="00445094"/>
    <w:rsid w:val="00445DA0"/>
    <w:rsid w:val="004462BB"/>
    <w:rsid w:val="004503FA"/>
    <w:rsid w:val="0045142C"/>
    <w:rsid w:val="00451637"/>
    <w:rsid w:val="00451924"/>
    <w:rsid w:val="00451BDE"/>
    <w:rsid w:val="0045299F"/>
    <w:rsid w:val="0045435D"/>
    <w:rsid w:val="00456786"/>
    <w:rsid w:val="00456C66"/>
    <w:rsid w:val="00460C32"/>
    <w:rsid w:val="00461B13"/>
    <w:rsid w:val="0046326E"/>
    <w:rsid w:val="00463983"/>
    <w:rsid w:val="00464122"/>
    <w:rsid w:val="00466CBD"/>
    <w:rsid w:val="004674CE"/>
    <w:rsid w:val="00467E72"/>
    <w:rsid w:val="004706AA"/>
    <w:rsid w:val="00470A5F"/>
    <w:rsid w:val="00470E23"/>
    <w:rsid w:val="0047329D"/>
    <w:rsid w:val="0047369E"/>
    <w:rsid w:val="004756C3"/>
    <w:rsid w:val="00475957"/>
    <w:rsid w:val="00477311"/>
    <w:rsid w:val="00477910"/>
    <w:rsid w:val="0048167E"/>
    <w:rsid w:val="00481994"/>
    <w:rsid w:val="00482C5B"/>
    <w:rsid w:val="004834EE"/>
    <w:rsid w:val="00485F8A"/>
    <w:rsid w:val="00486542"/>
    <w:rsid w:val="004876F9"/>
    <w:rsid w:val="004901BE"/>
    <w:rsid w:val="00491B06"/>
    <w:rsid w:val="00491B2A"/>
    <w:rsid w:val="00491F77"/>
    <w:rsid w:val="004956CD"/>
    <w:rsid w:val="004957A7"/>
    <w:rsid w:val="004A0408"/>
    <w:rsid w:val="004A04D3"/>
    <w:rsid w:val="004A0C7F"/>
    <w:rsid w:val="004A2E6C"/>
    <w:rsid w:val="004A5145"/>
    <w:rsid w:val="004A5506"/>
    <w:rsid w:val="004A6635"/>
    <w:rsid w:val="004A684D"/>
    <w:rsid w:val="004A7AFD"/>
    <w:rsid w:val="004B1CFF"/>
    <w:rsid w:val="004B1D44"/>
    <w:rsid w:val="004B2FBA"/>
    <w:rsid w:val="004B5245"/>
    <w:rsid w:val="004B59EB"/>
    <w:rsid w:val="004B5E61"/>
    <w:rsid w:val="004B60D5"/>
    <w:rsid w:val="004B6264"/>
    <w:rsid w:val="004C161C"/>
    <w:rsid w:val="004C1B19"/>
    <w:rsid w:val="004C3000"/>
    <w:rsid w:val="004C5741"/>
    <w:rsid w:val="004C6414"/>
    <w:rsid w:val="004C674C"/>
    <w:rsid w:val="004C6B29"/>
    <w:rsid w:val="004C7873"/>
    <w:rsid w:val="004D00E1"/>
    <w:rsid w:val="004D07A0"/>
    <w:rsid w:val="004D0895"/>
    <w:rsid w:val="004D0CB6"/>
    <w:rsid w:val="004D20DC"/>
    <w:rsid w:val="004D584C"/>
    <w:rsid w:val="004D687D"/>
    <w:rsid w:val="004D6D95"/>
    <w:rsid w:val="004E0681"/>
    <w:rsid w:val="004E32F4"/>
    <w:rsid w:val="004E374D"/>
    <w:rsid w:val="004E42DA"/>
    <w:rsid w:val="004E4B17"/>
    <w:rsid w:val="004E4C5F"/>
    <w:rsid w:val="004E6A84"/>
    <w:rsid w:val="004E71F4"/>
    <w:rsid w:val="004E731D"/>
    <w:rsid w:val="004E7BBB"/>
    <w:rsid w:val="004F0A32"/>
    <w:rsid w:val="004F1C85"/>
    <w:rsid w:val="004F2B8D"/>
    <w:rsid w:val="004F3C5A"/>
    <w:rsid w:val="004F4AE5"/>
    <w:rsid w:val="004F6C89"/>
    <w:rsid w:val="004F7FCE"/>
    <w:rsid w:val="005011C6"/>
    <w:rsid w:val="00501E7F"/>
    <w:rsid w:val="00502D43"/>
    <w:rsid w:val="00502EE4"/>
    <w:rsid w:val="00504AFA"/>
    <w:rsid w:val="0050566D"/>
    <w:rsid w:val="005064BC"/>
    <w:rsid w:val="00507E92"/>
    <w:rsid w:val="0051168B"/>
    <w:rsid w:val="00511756"/>
    <w:rsid w:val="00513293"/>
    <w:rsid w:val="00514A0E"/>
    <w:rsid w:val="00516382"/>
    <w:rsid w:val="00516B18"/>
    <w:rsid w:val="0051752B"/>
    <w:rsid w:val="00517A91"/>
    <w:rsid w:val="005202C9"/>
    <w:rsid w:val="0052074F"/>
    <w:rsid w:val="00520A68"/>
    <w:rsid w:val="00521064"/>
    <w:rsid w:val="00521E44"/>
    <w:rsid w:val="00524534"/>
    <w:rsid w:val="00531FBD"/>
    <w:rsid w:val="00532DFC"/>
    <w:rsid w:val="005353ED"/>
    <w:rsid w:val="00535461"/>
    <w:rsid w:val="005355A2"/>
    <w:rsid w:val="005362EE"/>
    <w:rsid w:val="0053715F"/>
    <w:rsid w:val="0053772F"/>
    <w:rsid w:val="00540607"/>
    <w:rsid w:val="005444A6"/>
    <w:rsid w:val="00544A41"/>
    <w:rsid w:val="00544D47"/>
    <w:rsid w:val="00545647"/>
    <w:rsid w:val="00545BB6"/>
    <w:rsid w:val="0054613B"/>
    <w:rsid w:val="00552013"/>
    <w:rsid w:val="005538B4"/>
    <w:rsid w:val="00555259"/>
    <w:rsid w:val="00555E1D"/>
    <w:rsid w:val="00557F0F"/>
    <w:rsid w:val="005610A1"/>
    <w:rsid w:val="005614C1"/>
    <w:rsid w:val="00561D90"/>
    <w:rsid w:val="00561DED"/>
    <w:rsid w:val="005623E0"/>
    <w:rsid w:val="00562A1D"/>
    <w:rsid w:val="00562AD1"/>
    <w:rsid w:val="0056328A"/>
    <w:rsid w:val="00563290"/>
    <w:rsid w:val="00565565"/>
    <w:rsid w:val="00565757"/>
    <w:rsid w:val="00565B7B"/>
    <w:rsid w:val="00566127"/>
    <w:rsid w:val="0057001F"/>
    <w:rsid w:val="00570320"/>
    <w:rsid w:val="0057124C"/>
    <w:rsid w:val="00571CB7"/>
    <w:rsid w:val="00572BC3"/>
    <w:rsid w:val="005730F1"/>
    <w:rsid w:val="00573F41"/>
    <w:rsid w:val="0057402A"/>
    <w:rsid w:val="005759A7"/>
    <w:rsid w:val="00575F85"/>
    <w:rsid w:val="005777C9"/>
    <w:rsid w:val="00580DBF"/>
    <w:rsid w:val="00581DD3"/>
    <w:rsid w:val="00583100"/>
    <w:rsid w:val="0058381A"/>
    <w:rsid w:val="00586BB2"/>
    <w:rsid w:val="0059049C"/>
    <w:rsid w:val="00590809"/>
    <w:rsid w:val="00590ED8"/>
    <w:rsid w:val="00590F7B"/>
    <w:rsid w:val="00592063"/>
    <w:rsid w:val="0059296A"/>
    <w:rsid w:val="00594CF8"/>
    <w:rsid w:val="0059632C"/>
    <w:rsid w:val="005965BB"/>
    <w:rsid w:val="00597283"/>
    <w:rsid w:val="00597A80"/>
    <w:rsid w:val="005A0439"/>
    <w:rsid w:val="005A2871"/>
    <w:rsid w:val="005A2BF4"/>
    <w:rsid w:val="005A454E"/>
    <w:rsid w:val="005A4C76"/>
    <w:rsid w:val="005B0513"/>
    <w:rsid w:val="005B2D36"/>
    <w:rsid w:val="005B3BB6"/>
    <w:rsid w:val="005B5D4C"/>
    <w:rsid w:val="005C2A24"/>
    <w:rsid w:val="005C3750"/>
    <w:rsid w:val="005C4CE2"/>
    <w:rsid w:val="005C59F0"/>
    <w:rsid w:val="005C5C27"/>
    <w:rsid w:val="005C6A4C"/>
    <w:rsid w:val="005C73A3"/>
    <w:rsid w:val="005C7B4F"/>
    <w:rsid w:val="005C7D4D"/>
    <w:rsid w:val="005D2D1D"/>
    <w:rsid w:val="005D321F"/>
    <w:rsid w:val="005D3834"/>
    <w:rsid w:val="005D3FD7"/>
    <w:rsid w:val="005D53E8"/>
    <w:rsid w:val="005D55DF"/>
    <w:rsid w:val="005D616F"/>
    <w:rsid w:val="005D6F13"/>
    <w:rsid w:val="005D7C08"/>
    <w:rsid w:val="005E01ED"/>
    <w:rsid w:val="005E1908"/>
    <w:rsid w:val="005E2049"/>
    <w:rsid w:val="005E4086"/>
    <w:rsid w:val="005E48C3"/>
    <w:rsid w:val="005E51B0"/>
    <w:rsid w:val="005E53B3"/>
    <w:rsid w:val="005E6FF4"/>
    <w:rsid w:val="005E70BA"/>
    <w:rsid w:val="005F1740"/>
    <w:rsid w:val="005F18C7"/>
    <w:rsid w:val="005F21E3"/>
    <w:rsid w:val="005F48AD"/>
    <w:rsid w:val="00600966"/>
    <w:rsid w:val="00600C67"/>
    <w:rsid w:val="006034A7"/>
    <w:rsid w:val="00603559"/>
    <w:rsid w:val="006035E9"/>
    <w:rsid w:val="00604956"/>
    <w:rsid w:val="00605F6F"/>
    <w:rsid w:val="00606543"/>
    <w:rsid w:val="0060780A"/>
    <w:rsid w:val="006079BE"/>
    <w:rsid w:val="00607B23"/>
    <w:rsid w:val="00607C0E"/>
    <w:rsid w:val="006100D1"/>
    <w:rsid w:val="00611344"/>
    <w:rsid w:val="006118CD"/>
    <w:rsid w:val="006136C1"/>
    <w:rsid w:val="00613B96"/>
    <w:rsid w:val="006148E4"/>
    <w:rsid w:val="00614A41"/>
    <w:rsid w:val="006151AB"/>
    <w:rsid w:val="006154FD"/>
    <w:rsid w:val="00615A2C"/>
    <w:rsid w:val="00616824"/>
    <w:rsid w:val="006209D3"/>
    <w:rsid w:val="00624939"/>
    <w:rsid w:val="006254C4"/>
    <w:rsid w:val="006279A0"/>
    <w:rsid w:val="00630C57"/>
    <w:rsid w:val="006314C3"/>
    <w:rsid w:val="00631734"/>
    <w:rsid w:val="00631ED5"/>
    <w:rsid w:val="00633181"/>
    <w:rsid w:val="00633C52"/>
    <w:rsid w:val="00635D5A"/>
    <w:rsid w:val="00640851"/>
    <w:rsid w:val="00641C6C"/>
    <w:rsid w:val="006422E7"/>
    <w:rsid w:val="006428EA"/>
    <w:rsid w:val="00643A5A"/>
    <w:rsid w:val="00647798"/>
    <w:rsid w:val="00647D76"/>
    <w:rsid w:val="00650FBA"/>
    <w:rsid w:val="00652466"/>
    <w:rsid w:val="006544E5"/>
    <w:rsid w:val="006545C9"/>
    <w:rsid w:val="00655D1B"/>
    <w:rsid w:val="00655D80"/>
    <w:rsid w:val="0065606F"/>
    <w:rsid w:val="00656182"/>
    <w:rsid w:val="00656554"/>
    <w:rsid w:val="006623B2"/>
    <w:rsid w:val="006711FA"/>
    <w:rsid w:val="00671544"/>
    <w:rsid w:val="00671634"/>
    <w:rsid w:val="006723D2"/>
    <w:rsid w:val="006728B7"/>
    <w:rsid w:val="00673C3F"/>
    <w:rsid w:val="00682328"/>
    <w:rsid w:val="006833A7"/>
    <w:rsid w:val="00684EDB"/>
    <w:rsid w:val="00691FC8"/>
    <w:rsid w:val="00692134"/>
    <w:rsid w:val="00692690"/>
    <w:rsid w:val="006952CA"/>
    <w:rsid w:val="0069626A"/>
    <w:rsid w:val="006A0B52"/>
    <w:rsid w:val="006A1433"/>
    <w:rsid w:val="006A2254"/>
    <w:rsid w:val="006A44A2"/>
    <w:rsid w:val="006A46D1"/>
    <w:rsid w:val="006A59C8"/>
    <w:rsid w:val="006A70AA"/>
    <w:rsid w:val="006A741C"/>
    <w:rsid w:val="006B00C1"/>
    <w:rsid w:val="006B21D0"/>
    <w:rsid w:val="006B2AD7"/>
    <w:rsid w:val="006B3A17"/>
    <w:rsid w:val="006B60EA"/>
    <w:rsid w:val="006C2996"/>
    <w:rsid w:val="006C2CCD"/>
    <w:rsid w:val="006C4221"/>
    <w:rsid w:val="006C5C09"/>
    <w:rsid w:val="006C725C"/>
    <w:rsid w:val="006D0228"/>
    <w:rsid w:val="006D1A92"/>
    <w:rsid w:val="006D1E0E"/>
    <w:rsid w:val="006D2331"/>
    <w:rsid w:val="006D3DCF"/>
    <w:rsid w:val="006D4229"/>
    <w:rsid w:val="006D43F5"/>
    <w:rsid w:val="006D7D22"/>
    <w:rsid w:val="006E1442"/>
    <w:rsid w:val="006E201F"/>
    <w:rsid w:val="006E434E"/>
    <w:rsid w:val="006E440F"/>
    <w:rsid w:val="006E4D5E"/>
    <w:rsid w:val="006E631F"/>
    <w:rsid w:val="006E65C4"/>
    <w:rsid w:val="006E7C26"/>
    <w:rsid w:val="006E7E7E"/>
    <w:rsid w:val="006F0BAF"/>
    <w:rsid w:val="006F0C7F"/>
    <w:rsid w:val="006F13CB"/>
    <w:rsid w:val="006F1E48"/>
    <w:rsid w:val="006F3645"/>
    <w:rsid w:val="006F3728"/>
    <w:rsid w:val="006F506F"/>
    <w:rsid w:val="00700726"/>
    <w:rsid w:val="007010F1"/>
    <w:rsid w:val="007016C5"/>
    <w:rsid w:val="00701C40"/>
    <w:rsid w:val="00701F7D"/>
    <w:rsid w:val="007020BC"/>
    <w:rsid w:val="007030E3"/>
    <w:rsid w:val="0070315C"/>
    <w:rsid w:val="00704236"/>
    <w:rsid w:val="00704780"/>
    <w:rsid w:val="00705FBC"/>
    <w:rsid w:val="007071A5"/>
    <w:rsid w:val="0070727A"/>
    <w:rsid w:val="00710B9B"/>
    <w:rsid w:val="00711869"/>
    <w:rsid w:val="00716202"/>
    <w:rsid w:val="007219EC"/>
    <w:rsid w:val="007219F1"/>
    <w:rsid w:val="00721EFF"/>
    <w:rsid w:val="007224B6"/>
    <w:rsid w:val="00722526"/>
    <w:rsid w:val="007232A0"/>
    <w:rsid w:val="00723312"/>
    <w:rsid w:val="007308A2"/>
    <w:rsid w:val="00732770"/>
    <w:rsid w:val="00733E2C"/>
    <w:rsid w:val="007344C9"/>
    <w:rsid w:val="00736043"/>
    <w:rsid w:val="0073690B"/>
    <w:rsid w:val="00736EB3"/>
    <w:rsid w:val="0073739D"/>
    <w:rsid w:val="0074170A"/>
    <w:rsid w:val="007426D3"/>
    <w:rsid w:val="00742ADF"/>
    <w:rsid w:val="00746D9E"/>
    <w:rsid w:val="007471BD"/>
    <w:rsid w:val="00750388"/>
    <w:rsid w:val="0075179C"/>
    <w:rsid w:val="00754C86"/>
    <w:rsid w:val="00754FE2"/>
    <w:rsid w:val="0075517F"/>
    <w:rsid w:val="0076087A"/>
    <w:rsid w:val="00762345"/>
    <w:rsid w:val="00763331"/>
    <w:rsid w:val="007658E6"/>
    <w:rsid w:val="00766221"/>
    <w:rsid w:val="00766DC3"/>
    <w:rsid w:val="00766F40"/>
    <w:rsid w:val="0076718C"/>
    <w:rsid w:val="00767B50"/>
    <w:rsid w:val="007700A9"/>
    <w:rsid w:val="00770CF0"/>
    <w:rsid w:val="00771EFA"/>
    <w:rsid w:val="00771F68"/>
    <w:rsid w:val="0077549A"/>
    <w:rsid w:val="00775772"/>
    <w:rsid w:val="00775D9D"/>
    <w:rsid w:val="00776910"/>
    <w:rsid w:val="007810EB"/>
    <w:rsid w:val="007827A4"/>
    <w:rsid w:val="0078288B"/>
    <w:rsid w:val="00785A3A"/>
    <w:rsid w:val="0078793A"/>
    <w:rsid w:val="00791D21"/>
    <w:rsid w:val="0079286F"/>
    <w:rsid w:val="00793FAA"/>
    <w:rsid w:val="00797093"/>
    <w:rsid w:val="007A2DA8"/>
    <w:rsid w:val="007A3031"/>
    <w:rsid w:val="007A3159"/>
    <w:rsid w:val="007A3D05"/>
    <w:rsid w:val="007A48EA"/>
    <w:rsid w:val="007A4958"/>
    <w:rsid w:val="007A4ABA"/>
    <w:rsid w:val="007A5202"/>
    <w:rsid w:val="007A5C7F"/>
    <w:rsid w:val="007A6478"/>
    <w:rsid w:val="007A7725"/>
    <w:rsid w:val="007B0AA5"/>
    <w:rsid w:val="007B2972"/>
    <w:rsid w:val="007B2A02"/>
    <w:rsid w:val="007B5835"/>
    <w:rsid w:val="007B678A"/>
    <w:rsid w:val="007C1902"/>
    <w:rsid w:val="007C28D3"/>
    <w:rsid w:val="007C3AEB"/>
    <w:rsid w:val="007C3E4D"/>
    <w:rsid w:val="007C46F5"/>
    <w:rsid w:val="007C4904"/>
    <w:rsid w:val="007C6672"/>
    <w:rsid w:val="007C6AEA"/>
    <w:rsid w:val="007C7C36"/>
    <w:rsid w:val="007D03DD"/>
    <w:rsid w:val="007D0B53"/>
    <w:rsid w:val="007D0DEE"/>
    <w:rsid w:val="007D1CCA"/>
    <w:rsid w:val="007D2078"/>
    <w:rsid w:val="007D217E"/>
    <w:rsid w:val="007D291F"/>
    <w:rsid w:val="007D4AA2"/>
    <w:rsid w:val="007D55A0"/>
    <w:rsid w:val="007D592F"/>
    <w:rsid w:val="007D5A71"/>
    <w:rsid w:val="007D5C0D"/>
    <w:rsid w:val="007D79FF"/>
    <w:rsid w:val="007E0550"/>
    <w:rsid w:val="007E07E0"/>
    <w:rsid w:val="007E19B2"/>
    <w:rsid w:val="007E2792"/>
    <w:rsid w:val="007E37A2"/>
    <w:rsid w:val="007E3DC2"/>
    <w:rsid w:val="007E4E74"/>
    <w:rsid w:val="007E6B19"/>
    <w:rsid w:val="007E6FA9"/>
    <w:rsid w:val="007E7873"/>
    <w:rsid w:val="007F0865"/>
    <w:rsid w:val="007F12C8"/>
    <w:rsid w:val="007F2B17"/>
    <w:rsid w:val="007F3ACB"/>
    <w:rsid w:val="007F4AE3"/>
    <w:rsid w:val="007F7A7C"/>
    <w:rsid w:val="007F7B91"/>
    <w:rsid w:val="00800405"/>
    <w:rsid w:val="00803E30"/>
    <w:rsid w:val="00805622"/>
    <w:rsid w:val="00806EF8"/>
    <w:rsid w:val="0080797A"/>
    <w:rsid w:val="008107DB"/>
    <w:rsid w:val="0081122F"/>
    <w:rsid w:val="00812F69"/>
    <w:rsid w:val="008145F6"/>
    <w:rsid w:val="00814A10"/>
    <w:rsid w:val="00814D46"/>
    <w:rsid w:val="00816698"/>
    <w:rsid w:val="00816F00"/>
    <w:rsid w:val="0082069B"/>
    <w:rsid w:val="0082095B"/>
    <w:rsid w:val="0082179B"/>
    <w:rsid w:val="008223D4"/>
    <w:rsid w:val="00824E5B"/>
    <w:rsid w:val="00825372"/>
    <w:rsid w:val="008275AD"/>
    <w:rsid w:val="008313B7"/>
    <w:rsid w:val="00831CB8"/>
    <w:rsid w:val="00832399"/>
    <w:rsid w:val="00834CED"/>
    <w:rsid w:val="00835B3F"/>
    <w:rsid w:val="00837214"/>
    <w:rsid w:val="008372D2"/>
    <w:rsid w:val="00837DC0"/>
    <w:rsid w:val="00840DE0"/>
    <w:rsid w:val="00841182"/>
    <w:rsid w:val="008411D3"/>
    <w:rsid w:val="008425B6"/>
    <w:rsid w:val="00842973"/>
    <w:rsid w:val="00842BCE"/>
    <w:rsid w:val="00843025"/>
    <w:rsid w:val="00843145"/>
    <w:rsid w:val="00843292"/>
    <w:rsid w:val="0084578F"/>
    <w:rsid w:val="00845D00"/>
    <w:rsid w:val="00845DAC"/>
    <w:rsid w:val="00846324"/>
    <w:rsid w:val="00847243"/>
    <w:rsid w:val="0085271E"/>
    <w:rsid w:val="00855DC0"/>
    <w:rsid w:val="00856438"/>
    <w:rsid w:val="008565B8"/>
    <w:rsid w:val="00856BF8"/>
    <w:rsid w:val="00857257"/>
    <w:rsid w:val="008576F3"/>
    <w:rsid w:val="00857A49"/>
    <w:rsid w:val="008603E5"/>
    <w:rsid w:val="008607CA"/>
    <w:rsid w:val="00862BA8"/>
    <w:rsid w:val="00865C74"/>
    <w:rsid w:val="0086728B"/>
    <w:rsid w:val="00867D13"/>
    <w:rsid w:val="00872141"/>
    <w:rsid w:val="008723AC"/>
    <w:rsid w:val="00873605"/>
    <w:rsid w:val="008742F1"/>
    <w:rsid w:val="008764B2"/>
    <w:rsid w:val="00876E2B"/>
    <w:rsid w:val="00881755"/>
    <w:rsid w:val="00883DB5"/>
    <w:rsid w:val="00884E26"/>
    <w:rsid w:val="00885303"/>
    <w:rsid w:val="0088552C"/>
    <w:rsid w:val="00886FC9"/>
    <w:rsid w:val="00887AC5"/>
    <w:rsid w:val="008923C0"/>
    <w:rsid w:val="0089312E"/>
    <w:rsid w:val="00894D98"/>
    <w:rsid w:val="008966AE"/>
    <w:rsid w:val="00897343"/>
    <w:rsid w:val="0089739E"/>
    <w:rsid w:val="008A038B"/>
    <w:rsid w:val="008A0435"/>
    <w:rsid w:val="008A050C"/>
    <w:rsid w:val="008A5AA3"/>
    <w:rsid w:val="008B0533"/>
    <w:rsid w:val="008B192B"/>
    <w:rsid w:val="008B1BD1"/>
    <w:rsid w:val="008B1D78"/>
    <w:rsid w:val="008B2A2C"/>
    <w:rsid w:val="008B2B52"/>
    <w:rsid w:val="008B49B0"/>
    <w:rsid w:val="008B4CB6"/>
    <w:rsid w:val="008B4F60"/>
    <w:rsid w:val="008B79C3"/>
    <w:rsid w:val="008B7F9B"/>
    <w:rsid w:val="008C179D"/>
    <w:rsid w:val="008C1E46"/>
    <w:rsid w:val="008C20CA"/>
    <w:rsid w:val="008C2BB7"/>
    <w:rsid w:val="008C3CB7"/>
    <w:rsid w:val="008C68C3"/>
    <w:rsid w:val="008D0DF4"/>
    <w:rsid w:val="008D11DB"/>
    <w:rsid w:val="008D2B56"/>
    <w:rsid w:val="008D2F88"/>
    <w:rsid w:val="008D368C"/>
    <w:rsid w:val="008D497A"/>
    <w:rsid w:val="008D5FF6"/>
    <w:rsid w:val="008D7A0F"/>
    <w:rsid w:val="008E0D5E"/>
    <w:rsid w:val="008E1B71"/>
    <w:rsid w:val="008E1EF8"/>
    <w:rsid w:val="008E23CA"/>
    <w:rsid w:val="008E38F9"/>
    <w:rsid w:val="008E48CC"/>
    <w:rsid w:val="008E50B9"/>
    <w:rsid w:val="008E5700"/>
    <w:rsid w:val="008E5776"/>
    <w:rsid w:val="008E737B"/>
    <w:rsid w:val="008E79F3"/>
    <w:rsid w:val="008E7CAF"/>
    <w:rsid w:val="008F03E4"/>
    <w:rsid w:val="008F14F4"/>
    <w:rsid w:val="008F2F99"/>
    <w:rsid w:val="008F374D"/>
    <w:rsid w:val="008F3C70"/>
    <w:rsid w:val="008F46A5"/>
    <w:rsid w:val="008F58FF"/>
    <w:rsid w:val="008F72D2"/>
    <w:rsid w:val="008F7566"/>
    <w:rsid w:val="00900E93"/>
    <w:rsid w:val="00901D18"/>
    <w:rsid w:val="00902EBA"/>
    <w:rsid w:val="009034E5"/>
    <w:rsid w:val="00905A3F"/>
    <w:rsid w:val="00905A73"/>
    <w:rsid w:val="00906479"/>
    <w:rsid w:val="00906A77"/>
    <w:rsid w:val="00910C14"/>
    <w:rsid w:val="00911457"/>
    <w:rsid w:val="00912F0C"/>
    <w:rsid w:val="00913327"/>
    <w:rsid w:val="00914C9A"/>
    <w:rsid w:val="00915B57"/>
    <w:rsid w:val="00916BA7"/>
    <w:rsid w:val="00923D02"/>
    <w:rsid w:val="00925B4C"/>
    <w:rsid w:val="009263E2"/>
    <w:rsid w:val="00927544"/>
    <w:rsid w:val="0093153B"/>
    <w:rsid w:val="009326F5"/>
    <w:rsid w:val="00933569"/>
    <w:rsid w:val="009364FC"/>
    <w:rsid w:val="0093764F"/>
    <w:rsid w:val="00937CC6"/>
    <w:rsid w:val="009414EA"/>
    <w:rsid w:val="0094305C"/>
    <w:rsid w:val="00943159"/>
    <w:rsid w:val="00947039"/>
    <w:rsid w:val="00947223"/>
    <w:rsid w:val="00947EDD"/>
    <w:rsid w:val="0095124B"/>
    <w:rsid w:val="009513C3"/>
    <w:rsid w:val="00951A7F"/>
    <w:rsid w:val="00951F7C"/>
    <w:rsid w:val="00952927"/>
    <w:rsid w:val="00952F08"/>
    <w:rsid w:val="00952FA6"/>
    <w:rsid w:val="00953AC6"/>
    <w:rsid w:val="00954430"/>
    <w:rsid w:val="0095699E"/>
    <w:rsid w:val="0095716E"/>
    <w:rsid w:val="00957D16"/>
    <w:rsid w:val="00960294"/>
    <w:rsid w:val="009615BA"/>
    <w:rsid w:val="0096180F"/>
    <w:rsid w:val="0096200F"/>
    <w:rsid w:val="0096329D"/>
    <w:rsid w:val="00964067"/>
    <w:rsid w:val="0096575B"/>
    <w:rsid w:val="009663B1"/>
    <w:rsid w:val="00966E28"/>
    <w:rsid w:val="00971698"/>
    <w:rsid w:val="00972372"/>
    <w:rsid w:val="0097513A"/>
    <w:rsid w:val="00975696"/>
    <w:rsid w:val="00977E7B"/>
    <w:rsid w:val="009849E8"/>
    <w:rsid w:val="0098562B"/>
    <w:rsid w:val="00985690"/>
    <w:rsid w:val="00987951"/>
    <w:rsid w:val="00987B36"/>
    <w:rsid w:val="009908A8"/>
    <w:rsid w:val="00990BAD"/>
    <w:rsid w:val="009921BB"/>
    <w:rsid w:val="0099395F"/>
    <w:rsid w:val="00994DDC"/>
    <w:rsid w:val="00994E0D"/>
    <w:rsid w:val="00995D9A"/>
    <w:rsid w:val="00997A71"/>
    <w:rsid w:val="009A1601"/>
    <w:rsid w:val="009A1D9D"/>
    <w:rsid w:val="009A31B7"/>
    <w:rsid w:val="009A4461"/>
    <w:rsid w:val="009A4671"/>
    <w:rsid w:val="009A4810"/>
    <w:rsid w:val="009A64B4"/>
    <w:rsid w:val="009A6693"/>
    <w:rsid w:val="009A6EC8"/>
    <w:rsid w:val="009A738D"/>
    <w:rsid w:val="009A73E8"/>
    <w:rsid w:val="009A785C"/>
    <w:rsid w:val="009A7F6B"/>
    <w:rsid w:val="009B06B9"/>
    <w:rsid w:val="009B2232"/>
    <w:rsid w:val="009B2CDC"/>
    <w:rsid w:val="009B396B"/>
    <w:rsid w:val="009B79C9"/>
    <w:rsid w:val="009B7AEE"/>
    <w:rsid w:val="009C0666"/>
    <w:rsid w:val="009C0709"/>
    <w:rsid w:val="009C10B8"/>
    <w:rsid w:val="009C1125"/>
    <w:rsid w:val="009C1797"/>
    <w:rsid w:val="009C1D3C"/>
    <w:rsid w:val="009C4750"/>
    <w:rsid w:val="009C5C51"/>
    <w:rsid w:val="009C7106"/>
    <w:rsid w:val="009C7E3B"/>
    <w:rsid w:val="009D0933"/>
    <w:rsid w:val="009D22D3"/>
    <w:rsid w:val="009D2827"/>
    <w:rsid w:val="009D342A"/>
    <w:rsid w:val="009D4B8F"/>
    <w:rsid w:val="009D4CF3"/>
    <w:rsid w:val="009D5699"/>
    <w:rsid w:val="009D5D1C"/>
    <w:rsid w:val="009D6F61"/>
    <w:rsid w:val="009E065C"/>
    <w:rsid w:val="009E1D97"/>
    <w:rsid w:val="009E3426"/>
    <w:rsid w:val="009E61D9"/>
    <w:rsid w:val="009E6DBE"/>
    <w:rsid w:val="009F0055"/>
    <w:rsid w:val="009F125C"/>
    <w:rsid w:val="009F238F"/>
    <w:rsid w:val="009F2E61"/>
    <w:rsid w:val="009F3BE9"/>
    <w:rsid w:val="009F4FB7"/>
    <w:rsid w:val="009F6180"/>
    <w:rsid w:val="009F732F"/>
    <w:rsid w:val="009F750A"/>
    <w:rsid w:val="00A02F76"/>
    <w:rsid w:val="00A04409"/>
    <w:rsid w:val="00A05F9B"/>
    <w:rsid w:val="00A064ED"/>
    <w:rsid w:val="00A10D88"/>
    <w:rsid w:val="00A11D5A"/>
    <w:rsid w:val="00A12C71"/>
    <w:rsid w:val="00A14F3B"/>
    <w:rsid w:val="00A1611E"/>
    <w:rsid w:val="00A204AF"/>
    <w:rsid w:val="00A20FC6"/>
    <w:rsid w:val="00A22178"/>
    <w:rsid w:val="00A23CD1"/>
    <w:rsid w:val="00A24B09"/>
    <w:rsid w:val="00A25DBC"/>
    <w:rsid w:val="00A26484"/>
    <w:rsid w:val="00A26C2A"/>
    <w:rsid w:val="00A26DAD"/>
    <w:rsid w:val="00A26F9F"/>
    <w:rsid w:val="00A30A4C"/>
    <w:rsid w:val="00A31299"/>
    <w:rsid w:val="00A31EDE"/>
    <w:rsid w:val="00A342D1"/>
    <w:rsid w:val="00A34898"/>
    <w:rsid w:val="00A35156"/>
    <w:rsid w:val="00A36844"/>
    <w:rsid w:val="00A42367"/>
    <w:rsid w:val="00A42F40"/>
    <w:rsid w:val="00A4453D"/>
    <w:rsid w:val="00A47C14"/>
    <w:rsid w:val="00A47F70"/>
    <w:rsid w:val="00A50810"/>
    <w:rsid w:val="00A51E10"/>
    <w:rsid w:val="00A533E4"/>
    <w:rsid w:val="00A53DFF"/>
    <w:rsid w:val="00A5497B"/>
    <w:rsid w:val="00A54BF0"/>
    <w:rsid w:val="00A55F3F"/>
    <w:rsid w:val="00A56286"/>
    <w:rsid w:val="00A56AB0"/>
    <w:rsid w:val="00A5798E"/>
    <w:rsid w:val="00A619CF"/>
    <w:rsid w:val="00A63019"/>
    <w:rsid w:val="00A63036"/>
    <w:rsid w:val="00A65E94"/>
    <w:rsid w:val="00A669AA"/>
    <w:rsid w:val="00A70A0E"/>
    <w:rsid w:val="00A70CD0"/>
    <w:rsid w:val="00A728DA"/>
    <w:rsid w:val="00A74685"/>
    <w:rsid w:val="00A7470D"/>
    <w:rsid w:val="00A748F3"/>
    <w:rsid w:val="00A752A4"/>
    <w:rsid w:val="00A7572C"/>
    <w:rsid w:val="00A75CC1"/>
    <w:rsid w:val="00A76308"/>
    <w:rsid w:val="00A76EB5"/>
    <w:rsid w:val="00A77A7B"/>
    <w:rsid w:val="00A8114A"/>
    <w:rsid w:val="00A81F93"/>
    <w:rsid w:val="00A837F5"/>
    <w:rsid w:val="00A8466E"/>
    <w:rsid w:val="00A848D6"/>
    <w:rsid w:val="00A86338"/>
    <w:rsid w:val="00A863ED"/>
    <w:rsid w:val="00A879BB"/>
    <w:rsid w:val="00A90699"/>
    <w:rsid w:val="00A91DD4"/>
    <w:rsid w:val="00A93ACD"/>
    <w:rsid w:val="00A93C31"/>
    <w:rsid w:val="00A93CC7"/>
    <w:rsid w:val="00A94583"/>
    <w:rsid w:val="00A951D5"/>
    <w:rsid w:val="00A9552B"/>
    <w:rsid w:val="00AA01D4"/>
    <w:rsid w:val="00AA21B5"/>
    <w:rsid w:val="00AB5134"/>
    <w:rsid w:val="00AC25BC"/>
    <w:rsid w:val="00AC33D1"/>
    <w:rsid w:val="00AC3F5B"/>
    <w:rsid w:val="00AC448D"/>
    <w:rsid w:val="00AC69CC"/>
    <w:rsid w:val="00AC6ECC"/>
    <w:rsid w:val="00AD0A0E"/>
    <w:rsid w:val="00AD16B5"/>
    <w:rsid w:val="00AD2202"/>
    <w:rsid w:val="00AD3586"/>
    <w:rsid w:val="00AD53E5"/>
    <w:rsid w:val="00AD60E2"/>
    <w:rsid w:val="00AD6DE1"/>
    <w:rsid w:val="00AD6EAE"/>
    <w:rsid w:val="00AE231A"/>
    <w:rsid w:val="00AE2C5D"/>
    <w:rsid w:val="00AE4D34"/>
    <w:rsid w:val="00AE4DB4"/>
    <w:rsid w:val="00AE515F"/>
    <w:rsid w:val="00AE5532"/>
    <w:rsid w:val="00AE71DB"/>
    <w:rsid w:val="00AE7E67"/>
    <w:rsid w:val="00AE7F30"/>
    <w:rsid w:val="00AF0071"/>
    <w:rsid w:val="00AF06D9"/>
    <w:rsid w:val="00AF35E7"/>
    <w:rsid w:val="00AF46EA"/>
    <w:rsid w:val="00AF6B1A"/>
    <w:rsid w:val="00AF6F4A"/>
    <w:rsid w:val="00B003D7"/>
    <w:rsid w:val="00B00A84"/>
    <w:rsid w:val="00B01883"/>
    <w:rsid w:val="00B0268B"/>
    <w:rsid w:val="00B0272C"/>
    <w:rsid w:val="00B0291D"/>
    <w:rsid w:val="00B036E7"/>
    <w:rsid w:val="00B03A5E"/>
    <w:rsid w:val="00B03DC5"/>
    <w:rsid w:val="00B06031"/>
    <w:rsid w:val="00B06995"/>
    <w:rsid w:val="00B10C87"/>
    <w:rsid w:val="00B11B21"/>
    <w:rsid w:val="00B12E5B"/>
    <w:rsid w:val="00B13B00"/>
    <w:rsid w:val="00B1468E"/>
    <w:rsid w:val="00B1469C"/>
    <w:rsid w:val="00B148A8"/>
    <w:rsid w:val="00B175FA"/>
    <w:rsid w:val="00B202D1"/>
    <w:rsid w:val="00B2109C"/>
    <w:rsid w:val="00B211C9"/>
    <w:rsid w:val="00B236CD"/>
    <w:rsid w:val="00B245C8"/>
    <w:rsid w:val="00B257CE"/>
    <w:rsid w:val="00B25B49"/>
    <w:rsid w:val="00B26315"/>
    <w:rsid w:val="00B3130E"/>
    <w:rsid w:val="00B3194F"/>
    <w:rsid w:val="00B32BBE"/>
    <w:rsid w:val="00B3455C"/>
    <w:rsid w:val="00B3487C"/>
    <w:rsid w:val="00B35667"/>
    <w:rsid w:val="00B36866"/>
    <w:rsid w:val="00B37657"/>
    <w:rsid w:val="00B402E5"/>
    <w:rsid w:val="00B419BB"/>
    <w:rsid w:val="00B41A31"/>
    <w:rsid w:val="00B42837"/>
    <w:rsid w:val="00B43724"/>
    <w:rsid w:val="00B44832"/>
    <w:rsid w:val="00B44A1C"/>
    <w:rsid w:val="00B45BC8"/>
    <w:rsid w:val="00B518D0"/>
    <w:rsid w:val="00B51D54"/>
    <w:rsid w:val="00B51F7D"/>
    <w:rsid w:val="00B54438"/>
    <w:rsid w:val="00B55670"/>
    <w:rsid w:val="00B57729"/>
    <w:rsid w:val="00B60025"/>
    <w:rsid w:val="00B6026C"/>
    <w:rsid w:val="00B60785"/>
    <w:rsid w:val="00B65EEB"/>
    <w:rsid w:val="00B66131"/>
    <w:rsid w:val="00B67810"/>
    <w:rsid w:val="00B67B0D"/>
    <w:rsid w:val="00B702D9"/>
    <w:rsid w:val="00B7172F"/>
    <w:rsid w:val="00B7191A"/>
    <w:rsid w:val="00B75218"/>
    <w:rsid w:val="00B76271"/>
    <w:rsid w:val="00B77846"/>
    <w:rsid w:val="00B779FF"/>
    <w:rsid w:val="00B80150"/>
    <w:rsid w:val="00B80185"/>
    <w:rsid w:val="00B805FC"/>
    <w:rsid w:val="00B8066A"/>
    <w:rsid w:val="00B82AFD"/>
    <w:rsid w:val="00B83141"/>
    <w:rsid w:val="00B83192"/>
    <w:rsid w:val="00B86242"/>
    <w:rsid w:val="00B87404"/>
    <w:rsid w:val="00B91458"/>
    <w:rsid w:val="00B91502"/>
    <w:rsid w:val="00B9301E"/>
    <w:rsid w:val="00B9368A"/>
    <w:rsid w:val="00B936A2"/>
    <w:rsid w:val="00B9509D"/>
    <w:rsid w:val="00B95938"/>
    <w:rsid w:val="00B965D6"/>
    <w:rsid w:val="00BA3A5A"/>
    <w:rsid w:val="00BA687C"/>
    <w:rsid w:val="00BB1350"/>
    <w:rsid w:val="00BB453A"/>
    <w:rsid w:val="00BB4B8B"/>
    <w:rsid w:val="00BB4E8C"/>
    <w:rsid w:val="00BB5461"/>
    <w:rsid w:val="00BB6199"/>
    <w:rsid w:val="00BB6447"/>
    <w:rsid w:val="00BB67C9"/>
    <w:rsid w:val="00BC0426"/>
    <w:rsid w:val="00BC2E85"/>
    <w:rsid w:val="00BC38DC"/>
    <w:rsid w:val="00BC4824"/>
    <w:rsid w:val="00BC48E6"/>
    <w:rsid w:val="00BC495D"/>
    <w:rsid w:val="00BC4F85"/>
    <w:rsid w:val="00BC60B7"/>
    <w:rsid w:val="00BC6340"/>
    <w:rsid w:val="00BC653D"/>
    <w:rsid w:val="00BC6708"/>
    <w:rsid w:val="00BC6CCD"/>
    <w:rsid w:val="00BD1BCB"/>
    <w:rsid w:val="00BD3714"/>
    <w:rsid w:val="00BD3F70"/>
    <w:rsid w:val="00BD48A8"/>
    <w:rsid w:val="00BD4A59"/>
    <w:rsid w:val="00BD60A4"/>
    <w:rsid w:val="00BD717D"/>
    <w:rsid w:val="00BE01B3"/>
    <w:rsid w:val="00BE01B6"/>
    <w:rsid w:val="00BE0317"/>
    <w:rsid w:val="00BE422B"/>
    <w:rsid w:val="00BE4FD4"/>
    <w:rsid w:val="00BF029A"/>
    <w:rsid w:val="00BF0B40"/>
    <w:rsid w:val="00BF1969"/>
    <w:rsid w:val="00BF1BD0"/>
    <w:rsid w:val="00BF1FA6"/>
    <w:rsid w:val="00BF4765"/>
    <w:rsid w:val="00BF7307"/>
    <w:rsid w:val="00BF7A17"/>
    <w:rsid w:val="00C00A6F"/>
    <w:rsid w:val="00C00B8B"/>
    <w:rsid w:val="00C00FD2"/>
    <w:rsid w:val="00C01087"/>
    <w:rsid w:val="00C01155"/>
    <w:rsid w:val="00C030E1"/>
    <w:rsid w:val="00C038A0"/>
    <w:rsid w:val="00C0431B"/>
    <w:rsid w:val="00C04E88"/>
    <w:rsid w:val="00C0617C"/>
    <w:rsid w:val="00C0783D"/>
    <w:rsid w:val="00C1086C"/>
    <w:rsid w:val="00C11B7C"/>
    <w:rsid w:val="00C12241"/>
    <w:rsid w:val="00C1324C"/>
    <w:rsid w:val="00C1497F"/>
    <w:rsid w:val="00C150AD"/>
    <w:rsid w:val="00C15776"/>
    <w:rsid w:val="00C15B40"/>
    <w:rsid w:val="00C16821"/>
    <w:rsid w:val="00C17252"/>
    <w:rsid w:val="00C204E4"/>
    <w:rsid w:val="00C2135E"/>
    <w:rsid w:val="00C21D3A"/>
    <w:rsid w:val="00C2328F"/>
    <w:rsid w:val="00C23B05"/>
    <w:rsid w:val="00C26AC3"/>
    <w:rsid w:val="00C309A2"/>
    <w:rsid w:val="00C30EAA"/>
    <w:rsid w:val="00C332A0"/>
    <w:rsid w:val="00C33996"/>
    <w:rsid w:val="00C3464F"/>
    <w:rsid w:val="00C34926"/>
    <w:rsid w:val="00C407C2"/>
    <w:rsid w:val="00C40CCF"/>
    <w:rsid w:val="00C419E6"/>
    <w:rsid w:val="00C45C21"/>
    <w:rsid w:val="00C46C99"/>
    <w:rsid w:val="00C46CA4"/>
    <w:rsid w:val="00C52AA1"/>
    <w:rsid w:val="00C55256"/>
    <w:rsid w:val="00C62E3D"/>
    <w:rsid w:val="00C63551"/>
    <w:rsid w:val="00C635BE"/>
    <w:rsid w:val="00C638FE"/>
    <w:rsid w:val="00C63CC4"/>
    <w:rsid w:val="00C646C9"/>
    <w:rsid w:val="00C64ACB"/>
    <w:rsid w:val="00C653A1"/>
    <w:rsid w:val="00C65F13"/>
    <w:rsid w:val="00C664E3"/>
    <w:rsid w:val="00C672D2"/>
    <w:rsid w:val="00C7053A"/>
    <w:rsid w:val="00C710A5"/>
    <w:rsid w:val="00C71A2D"/>
    <w:rsid w:val="00C72C2A"/>
    <w:rsid w:val="00C72D10"/>
    <w:rsid w:val="00C73214"/>
    <w:rsid w:val="00C73A2D"/>
    <w:rsid w:val="00C749C4"/>
    <w:rsid w:val="00C76CF5"/>
    <w:rsid w:val="00C81369"/>
    <w:rsid w:val="00C823E3"/>
    <w:rsid w:val="00C84764"/>
    <w:rsid w:val="00C84DAB"/>
    <w:rsid w:val="00C85E85"/>
    <w:rsid w:val="00C8609A"/>
    <w:rsid w:val="00C86F65"/>
    <w:rsid w:val="00C87229"/>
    <w:rsid w:val="00C874C6"/>
    <w:rsid w:val="00C878C3"/>
    <w:rsid w:val="00C87D4D"/>
    <w:rsid w:val="00C9240D"/>
    <w:rsid w:val="00C9513D"/>
    <w:rsid w:val="00C9567D"/>
    <w:rsid w:val="00C9592C"/>
    <w:rsid w:val="00C96DC5"/>
    <w:rsid w:val="00C97025"/>
    <w:rsid w:val="00C97DBE"/>
    <w:rsid w:val="00CA0AE7"/>
    <w:rsid w:val="00CA1112"/>
    <w:rsid w:val="00CA19B9"/>
    <w:rsid w:val="00CA1CB2"/>
    <w:rsid w:val="00CA2EB9"/>
    <w:rsid w:val="00CA35F9"/>
    <w:rsid w:val="00CA5C0C"/>
    <w:rsid w:val="00CA663B"/>
    <w:rsid w:val="00CB175E"/>
    <w:rsid w:val="00CB778B"/>
    <w:rsid w:val="00CC10E3"/>
    <w:rsid w:val="00CC6306"/>
    <w:rsid w:val="00CC6B2D"/>
    <w:rsid w:val="00CC75E9"/>
    <w:rsid w:val="00CC7B00"/>
    <w:rsid w:val="00CC7F39"/>
    <w:rsid w:val="00CD00FE"/>
    <w:rsid w:val="00CD0F4C"/>
    <w:rsid w:val="00CD26A1"/>
    <w:rsid w:val="00CD3B14"/>
    <w:rsid w:val="00CD5975"/>
    <w:rsid w:val="00CD5EBA"/>
    <w:rsid w:val="00CD6CAA"/>
    <w:rsid w:val="00CD6DD6"/>
    <w:rsid w:val="00CD6E24"/>
    <w:rsid w:val="00CD6F0B"/>
    <w:rsid w:val="00CD7982"/>
    <w:rsid w:val="00CD7E36"/>
    <w:rsid w:val="00CD7FD6"/>
    <w:rsid w:val="00CF0CF0"/>
    <w:rsid w:val="00CF1320"/>
    <w:rsid w:val="00CF289E"/>
    <w:rsid w:val="00CF297F"/>
    <w:rsid w:val="00CF3C4C"/>
    <w:rsid w:val="00CF40D6"/>
    <w:rsid w:val="00CF41EF"/>
    <w:rsid w:val="00CF4DF0"/>
    <w:rsid w:val="00CF7BB8"/>
    <w:rsid w:val="00D00365"/>
    <w:rsid w:val="00D018FA"/>
    <w:rsid w:val="00D0195B"/>
    <w:rsid w:val="00D030C5"/>
    <w:rsid w:val="00D03323"/>
    <w:rsid w:val="00D03C41"/>
    <w:rsid w:val="00D04147"/>
    <w:rsid w:val="00D057CD"/>
    <w:rsid w:val="00D05F38"/>
    <w:rsid w:val="00D06FFE"/>
    <w:rsid w:val="00D10A7F"/>
    <w:rsid w:val="00D13234"/>
    <w:rsid w:val="00D13EF3"/>
    <w:rsid w:val="00D173AF"/>
    <w:rsid w:val="00D20CF2"/>
    <w:rsid w:val="00D2746A"/>
    <w:rsid w:val="00D31C79"/>
    <w:rsid w:val="00D31E13"/>
    <w:rsid w:val="00D32E56"/>
    <w:rsid w:val="00D33315"/>
    <w:rsid w:val="00D33331"/>
    <w:rsid w:val="00D33403"/>
    <w:rsid w:val="00D33DF3"/>
    <w:rsid w:val="00D352DF"/>
    <w:rsid w:val="00D36274"/>
    <w:rsid w:val="00D4319A"/>
    <w:rsid w:val="00D45069"/>
    <w:rsid w:val="00D47433"/>
    <w:rsid w:val="00D50641"/>
    <w:rsid w:val="00D52166"/>
    <w:rsid w:val="00D56694"/>
    <w:rsid w:val="00D60774"/>
    <w:rsid w:val="00D61E4A"/>
    <w:rsid w:val="00D63696"/>
    <w:rsid w:val="00D645D3"/>
    <w:rsid w:val="00D64677"/>
    <w:rsid w:val="00D647AE"/>
    <w:rsid w:val="00D64D46"/>
    <w:rsid w:val="00D710DA"/>
    <w:rsid w:val="00D726BD"/>
    <w:rsid w:val="00D726C6"/>
    <w:rsid w:val="00D726D9"/>
    <w:rsid w:val="00D75078"/>
    <w:rsid w:val="00D758F8"/>
    <w:rsid w:val="00D75924"/>
    <w:rsid w:val="00D75EB9"/>
    <w:rsid w:val="00D8027A"/>
    <w:rsid w:val="00D819CB"/>
    <w:rsid w:val="00D8275F"/>
    <w:rsid w:val="00D844ED"/>
    <w:rsid w:val="00D846E9"/>
    <w:rsid w:val="00D849F1"/>
    <w:rsid w:val="00D855EF"/>
    <w:rsid w:val="00D85CC5"/>
    <w:rsid w:val="00D85CFA"/>
    <w:rsid w:val="00D87870"/>
    <w:rsid w:val="00D914AB"/>
    <w:rsid w:val="00D91997"/>
    <w:rsid w:val="00D91D95"/>
    <w:rsid w:val="00D92797"/>
    <w:rsid w:val="00D93BFD"/>
    <w:rsid w:val="00D93D16"/>
    <w:rsid w:val="00D94496"/>
    <w:rsid w:val="00D97D1B"/>
    <w:rsid w:val="00DA041F"/>
    <w:rsid w:val="00DA06F9"/>
    <w:rsid w:val="00DA0F25"/>
    <w:rsid w:val="00DA50BB"/>
    <w:rsid w:val="00DB09E8"/>
    <w:rsid w:val="00DB0F0F"/>
    <w:rsid w:val="00DB3770"/>
    <w:rsid w:val="00DB5564"/>
    <w:rsid w:val="00DB6CA0"/>
    <w:rsid w:val="00DB7163"/>
    <w:rsid w:val="00DC0049"/>
    <w:rsid w:val="00DC1F06"/>
    <w:rsid w:val="00DC1F42"/>
    <w:rsid w:val="00DC2BDA"/>
    <w:rsid w:val="00DC4646"/>
    <w:rsid w:val="00DC5DF7"/>
    <w:rsid w:val="00DC63DB"/>
    <w:rsid w:val="00DC688E"/>
    <w:rsid w:val="00DC6A38"/>
    <w:rsid w:val="00DD012E"/>
    <w:rsid w:val="00DD02A4"/>
    <w:rsid w:val="00DD1AE8"/>
    <w:rsid w:val="00DD2AFE"/>
    <w:rsid w:val="00DD3BFC"/>
    <w:rsid w:val="00DD4229"/>
    <w:rsid w:val="00DD5703"/>
    <w:rsid w:val="00DE023E"/>
    <w:rsid w:val="00DE0385"/>
    <w:rsid w:val="00DE0930"/>
    <w:rsid w:val="00DE0E76"/>
    <w:rsid w:val="00DE1FAE"/>
    <w:rsid w:val="00DE2402"/>
    <w:rsid w:val="00DE26F3"/>
    <w:rsid w:val="00DE359C"/>
    <w:rsid w:val="00DE54A9"/>
    <w:rsid w:val="00DE6DCA"/>
    <w:rsid w:val="00DE6FA9"/>
    <w:rsid w:val="00DF0948"/>
    <w:rsid w:val="00DF6EB6"/>
    <w:rsid w:val="00DF70D5"/>
    <w:rsid w:val="00DF715F"/>
    <w:rsid w:val="00DF7F23"/>
    <w:rsid w:val="00E00514"/>
    <w:rsid w:val="00E024F0"/>
    <w:rsid w:val="00E027A1"/>
    <w:rsid w:val="00E03371"/>
    <w:rsid w:val="00E033DD"/>
    <w:rsid w:val="00E03A28"/>
    <w:rsid w:val="00E03F8D"/>
    <w:rsid w:val="00E05805"/>
    <w:rsid w:val="00E05A55"/>
    <w:rsid w:val="00E106C4"/>
    <w:rsid w:val="00E114FE"/>
    <w:rsid w:val="00E130FA"/>
    <w:rsid w:val="00E13752"/>
    <w:rsid w:val="00E13D3A"/>
    <w:rsid w:val="00E14071"/>
    <w:rsid w:val="00E151F4"/>
    <w:rsid w:val="00E155EA"/>
    <w:rsid w:val="00E15D33"/>
    <w:rsid w:val="00E16743"/>
    <w:rsid w:val="00E16E1B"/>
    <w:rsid w:val="00E20A9C"/>
    <w:rsid w:val="00E214C6"/>
    <w:rsid w:val="00E218B3"/>
    <w:rsid w:val="00E22DF7"/>
    <w:rsid w:val="00E23ED3"/>
    <w:rsid w:val="00E241B0"/>
    <w:rsid w:val="00E25139"/>
    <w:rsid w:val="00E25287"/>
    <w:rsid w:val="00E25F48"/>
    <w:rsid w:val="00E261FD"/>
    <w:rsid w:val="00E2653D"/>
    <w:rsid w:val="00E27616"/>
    <w:rsid w:val="00E27D7A"/>
    <w:rsid w:val="00E27E76"/>
    <w:rsid w:val="00E32C80"/>
    <w:rsid w:val="00E32DF4"/>
    <w:rsid w:val="00E33C96"/>
    <w:rsid w:val="00E359CB"/>
    <w:rsid w:val="00E35D8E"/>
    <w:rsid w:val="00E36490"/>
    <w:rsid w:val="00E36C67"/>
    <w:rsid w:val="00E439C6"/>
    <w:rsid w:val="00E451A5"/>
    <w:rsid w:val="00E45E2B"/>
    <w:rsid w:val="00E47094"/>
    <w:rsid w:val="00E47887"/>
    <w:rsid w:val="00E5025A"/>
    <w:rsid w:val="00E505DE"/>
    <w:rsid w:val="00E52F48"/>
    <w:rsid w:val="00E56BB4"/>
    <w:rsid w:val="00E57464"/>
    <w:rsid w:val="00E61368"/>
    <w:rsid w:val="00E615CE"/>
    <w:rsid w:val="00E61AD9"/>
    <w:rsid w:val="00E6260D"/>
    <w:rsid w:val="00E64E57"/>
    <w:rsid w:val="00E6551C"/>
    <w:rsid w:val="00E6557A"/>
    <w:rsid w:val="00E65ADD"/>
    <w:rsid w:val="00E664DB"/>
    <w:rsid w:val="00E6710E"/>
    <w:rsid w:val="00E6724D"/>
    <w:rsid w:val="00E70DEC"/>
    <w:rsid w:val="00E7116B"/>
    <w:rsid w:val="00E7242E"/>
    <w:rsid w:val="00E74211"/>
    <w:rsid w:val="00E75663"/>
    <w:rsid w:val="00E757FF"/>
    <w:rsid w:val="00E76CBE"/>
    <w:rsid w:val="00E76D77"/>
    <w:rsid w:val="00E81943"/>
    <w:rsid w:val="00E81BB5"/>
    <w:rsid w:val="00E85A9C"/>
    <w:rsid w:val="00E90402"/>
    <w:rsid w:val="00E917F5"/>
    <w:rsid w:val="00E9583A"/>
    <w:rsid w:val="00E95B8E"/>
    <w:rsid w:val="00E963D4"/>
    <w:rsid w:val="00E964AE"/>
    <w:rsid w:val="00EA227E"/>
    <w:rsid w:val="00EA2610"/>
    <w:rsid w:val="00EA3A36"/>
    <w:rsid w:val="00EA405D"/>
    <w:rsid w:val="00EA66AD"/>
    <w:rsid w:val="00EA67FB"/>
    <w:rsid w:val="00EA7680"/>
    <w:rsid w:val="00EB2E15"/>
    <w:rsid w:val="00EB3CB5"/>
    <w:rsid w:val="00EB4363"/>
    <w:rsid w:val="00EC48B7"/>
    <w:rsid w:val="00EC4D15"/>
    <w:rsid w:val="00EC5756"/>
    <w:rsid w:val="00EC5F86"/>
    <w:rsid w:val="00EC79F9"/>
    <w:rsid w:val="00ED159B"/>
    <w:rsid w:val="00ED189D"/>
    <w:rsid w:val="00ED2FC0"/>
    <w:rsid w:val="00ED4487"/>
    <w:rsid w:val="00ED7EA3"/>
    <w:rsid w:val="00EE0424"/>
    <w:rsid w:val="00EE13A5"/>
    <w:rsid w:val="00EE13EC"/>
    <w:rsid w:val="00EE238E"/>
    <w:rsid w:val="00EE3744"/>
    <w:rsid w:val="00EE4E16"/>
    <w:rsid w:val="00EF02E9"/>
    <w:rsid w:val="00EF254F"/>
    <w:rsid w:val="00EF2767"/>
    <w:rsid w:val="00EF33F5"/>
    <w:rsid w:val="00EF473E"/>
    <w:rsid w:val="00EF7196"/>
    <w:rsid w:val="00EF71A9"/>
    <w:rsid w:val="00EF7891"/>
    <w:rsid w:val="00F009FE"/>
    <w:rsid w:val="00F00A18"/>
    <w:rsid w:val="00F00F2D"/>
    <w:rsid w:val="00F0446B"/>
    <w:rsid w:val="00F0621E"/>
    <w:rsid w:val="00F0623D"/>
    <w:rsid w:val="00F07061"/>
    <w:rsid w:val="00F104D5"/>
    <w:rsid w:val="00F117EE"/>
    <w:rsid w:val="00F11BEA"/>
    <w:rsid w:val="00F13836"/>
    <w:rsid w:val="00F154F0"/>
    <w:rsid w:val="00F17A76"/>
    <w:rsid w:val="00F21804"/>
    <w:rsid w:val="00F23814"/>
    <w:rsid w:val="00F23942"/>
    <w:rsid w:val="00F23B4C"/>
    <w:rsid w:val="00F258FA"/>
    <w:rsid w:val="00F261B2"/>
    <w:rsid w:val="00F265EA"/>
    <w:rsid w:val="00F27015"/>
    <w:rsid w:val="00F271A1"/>
    <w:rsid w:val="00F279F1"/>
    <w:rsid w:val="00F3069F"/>
    <w:rsid w:val="00F31312"/>
    <w:rsid w:val="00F33C99"/>
    <w:rsid w:val="00F34252"/>
    <w:rsid w:val="00F35924"/>
    <w:rsid w:val="00F35B73"/>
    <w:rsid w:val="00F36303"/>
    <w:rsid w:val="00F367D8"/>
    <w:rsid w:val="00F36868"/>
    <w:rsid w:val="00F37424"/>
    <w:rsid w:val="00F40281"/>
    <w:rsid w:val="00F406B8"/>
    <w:rsid w:val="00F40851"/>
    <w:rsid w:val="00F40A65"/>
    <w:rsid w:val="00F415AC"/>
    <w:rsid w:val="00F426DE"/>
    <w:rsid w:val="00F42E60"/>
    <w:rsid w:val="00F42FE1"/>
    <w:rsid w:val="00F447AF"/>
    <w:rsid w:val="00F45126"/>
    <w:rsid w:val="00F471ED"/>
    <w:rsid w:val="00F472C5"/>
    <w:rsid w:val="00F509A6"/>
    <w:rsid w:val="00F51266"/>
    <w:rsid w:val="00F52E68"/>
    <w:rsid w:val="00F564B7"/>
    <w:rsid w:val="00F5763E"/>
    <w:rsid w:val="00F60309"/>
    <w:rsid w:val="00F61957"/>
    <w:rsid w:val="00F63411"/>
    <w:rsid w:val="00F67514"/>
    <w:rsid w:val="00F67EA4"/>
    <w:rsid w:val="00F71023"/>
    <w:rsid w:val="00F73B26"/>
    <w:rsid w:val="00F750BF"/>
    <w:rsid w:val="00F756F9"/>
    <w:rsid w:val="00F770D1"/>
    <w:rsid w:val="00F809DF"/>
    <w:rsid w:val="00F80DBE"/>
    <w:rsid w:val="00F8109B"/>
    <w:rsid w:val="00F834E9"/>
    <w:rsid w:val="00F8356C"/>
    <w:rsid w:val="00F84684"/>
    <w:rsid w:val="00F8473E"/>
    <w:rsid w:val="00F84B8C"/>
    <w:rsid w:val="00F8606B"/>
    <w:rsid w:val="00F865BD"/>
    <w:rsid w:val="00F87318"/>
    <w:rsid w:val="00F8748E"/>
    <w:rsid w:val="00F906D6"/>
    <w:rsid w:val="00F92346"/>
    <w:rsid w:val="00F9321F"/>
    <w:rsid w:val="00F94021"/>
    <w:rsid w:val="00F950CB"/>
    <w:rsid w:val="00F97C64"/>
    <w:rsid w:val="00FA0B3B"/>
    <w:rsid w:val="00FA0D31"/>
    <w:rsid w:val="00FA1E6F"/>
    <w:rsid w:val="00FA3479"/>
    <w:rsid w:val="00FA4755"/>
    <w:rsid w:val="00FA4E01"/>
    <w:rsid w:val="00FA5764"/>
    <w:rsid w:val="00FA623A"/>
    <w:rsid w:val="00FB08D3"/>
    <w:rsid w:val="00FB2113"/>
    <w:rsid w:val="00FC0A3C"/>
    <w:rsid w:val="00FC2D32"/>
    <w:rsid w:val="00FC50E5"/>
    <w:rsid w:val="00FC63CE"/>
    <w:rsid w:val="00FC6E34"/>
    <w:rsid w:val="00FD0486"/>
    <w:rsid w:val="00FD26E1"/>
    <w:rsid w:val="00FD3877"/>
    <w:rsid w:val="00FD3AB0"/>
    <w:rsid w:val="00FD4CAB"/>
    <w:rsid w:val="00FD4E5E"/>
    <w:rsid w:val="00FD5297"/>
    <w:rsid w:val="00FD5AD0"/>
    <w:rsid w:val="00FE0620"/>
    <w:rsid w:val="00FE1169"/>
    <w:rsid w:val="00FE267A"/>
    <w:rsid w:val="00FE3F03"/>
    <w:rsid w:val="00FE52D0"/>
    <w:rsid w:val="00FE5C4B"/>
    <w:rsid w:val="00FE5DAC"/>
    <w:rsid w:val="00FE6174"/>
    <w:rsid w:val="00FE6900"/>
    <w:rsid w:val="00FF0015"/>
    <w:rsid w:val="00FF117D"/>
    <w:rsid w:val="00FF1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55"/>
    <w:pPr>
      <w:widowControl w:val="0"/>
      <w:jc w:val="both"/>
    </w:pPr>
    <w:rPr>
      <w:kern w:val="2"/>
      <w:sz w:val="21"/>
      <w:szCs w:val="22"/>
    </w:rPr>
  </w:style>
  <w:style w:type="paragraph" w:styleId="1">
    <w:name w:val="heading 1"/>
    <w:basedOn w:val="a"/>
    <w:next w:val="a"/>
    <w:link w:val="1Char"/>
    <w:qFormat/>
    <w:rsid w:val="00B003D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F0B4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A738D"/>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3159"/>
    <w:pPr>
      <w:ind w:leftChars="2500" w:left="100"/>
    </w:pPr>
  </w:style>
  <w:style w:type="character" w:customStyle="1" w:styleId="Char">
    <w:name w:val="日期 Char"/>
    <w:basedOn w:val="a0"/>
    <w:link w:val="a3"/>
    <w:uiPriority w:val="99"/>
    <w:semiHidden/>
    <w:rsid w:val="00943159"/>
  </w:style>
  <w:style w:type="paragraph" w:styleId="a4">
    <w:name w:val="header"/>
    <w:basedOn w:val="a"/>
    <w:link w:val="Char0"/>
    <w:unhideWhenUsed/>
    <w:qFormat/>
    <w:rsid w:val="00DC1F06"/>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qFormat/>
    <w:rsid w:val="00DC1F06"/>
    <w:rPr>
      <w:sz w:val="18"/>
      <w:szCs w:val="18"/>
    </w:rPr>
  </w:style>
  <w:style w:type="paragraph" w:styleId="a5">
    <w:name w:val="footer"/>
    <w:basedOn w:val="a"/>
    <w:link w:val="Char1"/>
    <w:uiPriority w:val="99"/>
    <w:unhideWhenUsed/>
    <w:qFormat/>
    <w:rsid w:val="00DC1F06"/>
    <w:pPr>
      <w:tabs>
        <w:tab w:val="center" w:pos="4153"/>
        <w:tab w:val="right" w:pos="8306"/>
      </w:tabs>
      <w:snapToGrid w:val="0"/>
      <w:jc w:val="left"/>
    </w:pPr>
    <w:rPr>
      <w:kern w:val="0"/>
      <w:sz w:val="18"/>
      <w:szCs w:val="18"/>
      <w:lang/>
    </w:rPr>
  </w:style>
  <w:style w:type="character" w:customStyle="1" w:styleId="Char1">
    <w:name w:val="页脚 Char"/>
    <w:link w:val="a5"/>
    <w:uiPriority w:val="99"/>
    <w:qFormat/>
    <w:rsid w:val="00DC1F06"/>
    <w:rPr>
      <w:sz w:val="18"/>
      <w:szCs w:val="18"/>
    </w:rPr>
  </w:style>
  <w:style w:type="paragraph" w:customStyle="1" w:styleId="Default">
    <w:name w:val="Default"/>
    <w:qFormat/>
    <w:rsid w:val="008B2A2C"/>
    <w:pPr>
      <w:widowControl w:val="0"/>
      <w:autoSpaceDE w:val="0"/>
      <w:autoSpaceDN w:val="0"/>
      <w:adjustRightInd w:val="0"/>
    </w:pPr>
    <w:rPr>
      <w:rFonts w:ascii="宋体" w:cs="宋体"/>
      <w:color w:val="000000"/>
      <w:sz w:val="24"/>
      <w:szCs w:val="24"/>
    </w:rPr>
  </w:style>
  <w:style w:type="character" w:customStyle="1" w:styleId="da">
    <w:name w:val="da"/>
    <w:basedOn w:val="a0"/>
    <w:rsid w:val="002B244A"/>
  </w:style>
  <w:style w:type="table" w:styleId="a6">
    <w:name w:val="Table Grid"/>
    <w:basedOn w:val="a1"/>
    <w:uiPriority w:val="59"/>
    <w:qFormat/>
    <w:rsid w:val="00147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nhideWhenUsed/>
    <w:qFormat/>
    <w:rsid w:val="009B396B"/>
    <w:rPr>
      <w:kern w:val="0"/>
      <w:sz w:val="18"/>
      <w:szCs w:val="18"/>
      <w:lang/>
    </w:rPr>
  </w:style>
  <w:style w:type="character" w:customStyle="1" w:styleId="Char2">
    <w:name w:val="批注框文本 Char"/>
    <w:link w:val="a7"/>
    <w:uiPriority w:val="99"/>
    <w:semiHidden/>
    <w:qFormat/>
    <w:rsid w:val="009B396B"/>
    <w:rPr>
      <w:sz w:val="18"/>
      <w:szCs w:val="18"/>
    </w:rPr>
  </w:style>
  <w:style w:type="character" w:styleId="a8">
    <w:name w:val="Hyperlink"/>
    <w:uiPriority w:val="99"/>
    <w:unhideWhenUsed/>
    <w:qFormat/>
    <w:rsid w:val="009B396B"/>
    <w:rPr>
      <w:color w:val="0000FF"/>
      <w:u w:val="single"/>
    </w:rPr>
  </w:style>
  <w:style w:type="paragraph" w:styleId="a9">
    <w:name w:val="Revision"/>
    <w:hidden/>
    <w:uiPriority w:val="99"/>
    <w:semiHidden/>
    <w:rsid w:val="00190E75"/>
    <w:rPr>
      <w:kern w:val="2"/>
      <w:sz w:val="21"/>
      <w:szCs w:val="22"/>
    </w:rPr>
  </w:style>
  <w:style w:type="character" w:styleId="aa">
    <w:name w:val="annotation reference"/>
    <w:unhideWhenUsed/>
    <w:qFormat/>
    <w:rsid w:val="00456786"/>
    <w:rPr>
      <w:sz w:val="21"/>
      <w:szCs w:val="21"/>
    </w:rPr>
  </w:style>
  <w:style w:type="paragraph" w:styleId="ab">
    <w:name w:val="annotation text"/>
    <w:basedOn w:val="a"/>
    <w:link w:val="Char3"/>
    <w:unhideWhenUsed/>
    <w:qFormat/>
    <w:rsid w:val="00456786"/>
    <w:pPr>
      <w:jc w:val="left"/>
    </w:pPr>
  </w:style>
  <w:style w:type="character" w:customStyle="1" w:styleId="Char3">
    <w:name w:val="批注文字 Char"/>
    <w:basedOn w:val="a0"/>
    <w:link w:val="ab"/>
    <w:qFormat/>
    <w:rsid w:val="00456786"/>
  </w:style>
  <w:style w:type="paragraph" w:styleId="ac">
    <w:name w:val="annotation subject"/>
    <w:basedOn w:val="ab"/>
    <w:next w:val="ab"/>
    <w:link w:val="Char4"/>
    <w:unhideWhenUsed/>
    <w:qFormat/>
    <w:rsid w:val="00456786"/>
    <w:rPr>
      <w:b/>
      <w:bCs/>
      <w:kern w:val="0"/>
      <w:sz w:val="20"/>
      <w:szCs w:val="20"/>
      <w:lang/>
    </w:rPr>
  </w:style>
  <w:style w:type="character" w:customStyle="1" w:styleId="Char4">
    <w:name w:val="批注主题 Char"/>
    <w:link w:val="ac"/>
    <w:uiPriority w:val="99"/>
    <w:semiHidden/>
    <w:qFormat/>
    <w:rsid w:val="00456786"/>
    <w:rPr>
      <w:b/>
      <w:bCs/>
    </w:rPr>
  </w:style>
  <w:style w:type="paragraph" w:styleId="ad">
    <w:name w:val="Body Text Indent"/>
    <w:basedOn w:val="a"/>
    <w:link w:val="Char5"/>
    <w:rsid w:val="003A4734"/>
    <w:pPr>
      <w:ind w:firstLineChars="200" w:firstLine="422"/>
    </w:pPr>
    <w:rPr>
      <w:b/>
      <w:bCs/>
      <w:szCs w:val="18"/>
      <w:lang/>
    </w:rPr>
  </w:style>
  <w:style w:type="character" w:customStyle="1" w:styleId="Char5">
    <w:name w:val="正文文本缩进 Char"/>
    <w:link w:val="ad"/>
    <w:rsid w:val="003A4734"/>
    <w:rPr>
      <w:b/>
      <w:bCs/>
      <w:kern w:val="2"/>
      <w:sz w:val="21"/>
      <w:szCs w:val="18"/>
    </w:rPr>
  </w:style>
  <w:style w:type="paragraph" w:styleId="20">
    <w:name w:val="Body Text Indent 2"/>
    <w:basedOn w:val="a"/>
    <w:link w:val="2Char0"/>
    <w:qFormat/>
    <w:rsid w:val="003A4734"/>
    <w:pPr>
      <w:ind w:firstLineChars="200" w:firstLine="420"/>
    </w:pPr>
    <w:rPr>
      <w:szCs w:val="18"/>
      <w:lang/>
    </w:rPr>
  </w:style>
  <w:style w:type="character" w:customStyle="1" w:styleId="2Char0">
    <w:name w:val="正文文本缩进 2 Char"/>
    <w:link w:val="20"/>
    <w:qFormat/>
    <w:rsid w:val="003A4734"/>
    <w:rPr>
      <w:kern w:val="2"/>
      <w:sz w:val="21"/>
      <w:szCs w:val="18"/>
    </w:rPr>
  </w:style>
  <w:style w:type="character" w:customStyle="1" w:styleId="1Char">
    <w:name w:val="标题 1 Char"/>
    <w:link w:val="1"/>
    <w:qFormat/>
    <w:rsid w:val="00B003D7"/>
    <w:rPr>
      <w:b/>
      <w:bCs/>
      <w:kern w:val="44"/>
      <w:sz w:val="44"/>
      <w:szCs w:val="44"/>
    </w:rPr>
  </w:style>
  <w:style w:type="character" w:customStyle="1" w:styleId="2Char">
    <w:name w:val="标题 2 Char"/>
    <w:link w:val="2"/>
    <w:qFormat/>
    <w:rsid w:val="00BF0B40"/>
    <w:rPr>
      <w:rFonts w:ascii="Arial" w:eastAsia="黑体" w:hAnsi="Arial"/>
      <w:b/>
      <w:bCs/>
      <w:kern w:val="2"/>
      <w:sz w:val="32"/>
      <w:szCs w:val="32"/>
    </w:rPr>
  </w:style>
  <w:style w:type="paragraph" w:styleId="ae">
    <w:name w:val="List Paragraph"/>
    <w:basedOn w:val="a"/>
    <w:uiPriority w:val="34"/>
    <w:qFormat/>
    <w:rsid w:val="006148E4"/>
    <w:pPr>
      <w:ind w:firstLineChars="200" w:firstLine="420"/>
    </w:pPr>
  </w:style>
  <w:style w:type="character" w:customStyle="1" w:styleId="af">
    <w:name w:val="批注文字 字符"/>
    <w:qFormat/>
    <w:locked/>
    <w:rsid w:val="006148E4"/>
  </w:style>
  <w:style w:type="character" w:customStyle="1" w:styleId="3Char">
    <w:name w:val="标题 3 Char"/>
    <w:basedOn w:val="a0"/>
    <w:link w:val="3"/>
    <w:qFormat/>
    <w:rsid w:val="009A738D"/>
    <w:rPr>
      <w:rFonts w:ascii="Times New Roman" w:hAnsi="Times New Roman"/>
      <w:b/>
      <w:kern w:val="2"/>
      <w:sz w:val="32"/>
    </w:rPr>
  </w:style>
  <w:style w:type="paragraph" w:styleId="7">
    <w:name w:val="toc 7"/>
    <w:basedOn w:val="a"/>
    <w:next w:val="a"/>
    <w:uiPriority w:val="39"/>
    <w:unhideWhenUsed/>
    <w:qFormat/>
    <w:rsid w:val="009A738D"/>
    <w:pPr>
      <w:ind w:leftChars="1200" w:left="2520"/>
    </w:pPr>
  </w:style>
  <w:style w:type="paragraph" w:styleId="af0">
    <w:name w:val="Normal Indent"/>
    <w:basedOn w:val="a"/>
    <w:qFormat/>
    <w:rsid w:val="009A738D"/>
    <w:pPr>
      <w:ind w:firstLineChars="200" w:firstLine="420"/>
    </w:pPr>
    <w:rPr>
      <w:rFonts w:ascii="Times New Roman" w:hAnsi="Times New Roman"/>
      <w:szCs w:val="24"/>
    </w:rPr>
  </w:style>
  <w:style w:type="paragraph" w:styleId="af1">
    <w:name w:val="Document Map"/>
    <w:basedOn w:val="a"/>
    <w:link w:val="Char6"/>
    <w:unhideWhenUsed/>
    <w:qFormat/>
    <w:rsid w:val="009A738D"/>
    <w:rPr>
      <w:rFonts w:ascii="宋体"/>
      <w:sz w:val="18"/>
      <w:szCs w:val="18"/>
      <w:lang w:val="zh-CN"/>
    </w:rPr>
  </w:style>
  <w:style w:type="character" w:customStyle="1" w:styleId="Char6">
    <w:name w:val="文档结构图 Char"/>
    <w:basedOn w:val="a0"/>
    <w:link w:val="af1"/>
    <w:qFormat/>
    <w:rsid w:val="009A738D"/>
    <w:rPr>
      <w:rFonts w:ascii="宋体"/>
      <w:kern w:val="2"/>
      <w:sz w:val="18"/>
      <w:szCs w:val="18"/>
      <w:lang w:val="zh-CN"/>
    </w:rPr>
  </w:style>
  <w:style w:type="paragraph" w:styleId="af2">
    <w:name w:val="Body Text"/>
    <w:basedOn w:val="a"/>
    <w:link w:val="Char7"/>
    <w:qFormat/>
    <w:rsid w:val="009A738D"/>
    <w:pPr>
      <w:autoSpaceDE w:val="0"/>
      <w:autoSpaceDN w:val="0"/>
      <w:adjustRightInd w:val="0"/>
      <w:spacing w:line="360" w:lineRule="auto"/>
      <w:jc w:val="left"/>
    </w:pPr>
    <w:rPr>
      <w:rFonts w:ascii="宋体"/>
      <w:kern w:val="0"/>
      <w:sz w:val="20"/>
      <w:szCs w:val="20"/>
    </w:rPr>
  </w:style>
  <w:style w:type="character" w:customStyle="1" w:styleId="Char7">
    <w:name w:val="正文文本 Char"/>
    <w:basedOn w:val="a0"/>
    <w:link w:val="af2"/>
    <w:qFormat/>
    <w:rsid w:val="009A738D"/>
    <w:rPr>
      <w:rFonts w:ascii="宋体"/>
    </w:rPr>
  </w:style>
  <w:style w:type="paragraph" w:styleId="5">
    <w:name w:val="toc 5"/>
    <w:basedOn w:val="a"/>
    <w:next w:val="a"/>
    <w:uiPriority w:val="39"/>
    <w:unhideWhenUsed/>
    <w:qFormat/>
    <w:rsid w:val="009A738D"/>
    <w:pPr>
      <w:ind w:leftChars="800" w:left="1680"/>
    </w:pPr>
  </w:style>
  <w:style w:type="paragraph" w:styleId="30">
    <w:name w:val="toc 3"/>
    <w:basedOn w:val="a"/>
    <w:next w:val="a"/>
    <w:uiPriority w:val="39"/>
    <w:qFormat/>
    <w:rsid w:val="009A738D"/>
    <w:pPr>
      <w:ind w:leftChars="400" w:left="840"/>
    </w:pPr>
    <w:rPr>
      <w:rFonts w:ascii="Times New Roman" w:hAnsi="Times New Roman"/>
      <w:szCs w:val="20"/>
    </w:rPr>
  </w:style>
  <w:style w:type="paragraph" w:styleId="af3">
    <w:name w:val="Plain Text"/>
    <w:basedOn w:val="a"/>
    <w:link w:val="Char8"/>
    <w:qFormat/>
    <w:rsid w:val="009A738D"/>
    <w:pPr>
      <w:adjustRightInd w:val="0"/>
      <w:spacing w:line="312" w:lineRule="atLeast"/>
      <w:textAlignment w:val="baseline"/>
    </w:pPr>
    <w:rPr>
      <w:rFonts w:ascii="宋体" w:hAnsi="Courier New"/>
      <w:kern w:val="0"/>
      <w:szCs w:val="20"/>
    </w:rPr>
  </w:style>
  <w:style w:type="character" w:customStyle="1" w:styleId="Char8">
    <w:name w:val="纯文本 Char"/>
    <w:basedOn w:val="a0"/>
    <w:link w:val="af3"/>
    <w:qFormat/>
    <w:rsid w:val="009A738D"/>
    <w:rPr>
      <w:rFonts w:ascii="宋体" w:hAnsi="Courier New"/>
      <w:sz w:val="21"/>
    </w:rPr>
  </w:style>
  <w:style w:type="paragraph" w:styleId="8">
    <w:name w:val="toc 8"/>
    <w:basedOn w:val="a"/>
    <w:next w:val="a"/>
    <w:uiPriority w:val="39"/>
    <w:unhideWhenUsed/>
    <w:qFormat/>
    <w:rsid w:val="009A738D"/>
    <w:pPr>
      <w:ind w:leftChars="1400" w:left="2940"/>
    </w:pPr>
  </w:style>
  <w:style w:type="paragraph" w:styleId="10">
    <w:name w:val="toc 1"/>
    <w:basedOn w:val="a"/>
    <w:next w:val="a"/>
    <w:uiPriority w:val="39"/>
    <w:qFormat/>
    <w:rsid w:val="009A738D"/>
  </w:style>
  <w:style w:type="paragraph" w:styleId="4">
    <w:name w:val="toc 4"/>
    <w:basedOn w:val="a"/>
    <w:next w:val="a"/>
    <w:uiPriority w:val="39"/>
    <w:unhideWhenUsed/>
    <w:qFormat/>
    <w:rsid w:val="009A738D"/>
    <w:pPr>
      <w:ind w:leftChars="600" w:left="1260"/>
    </w:pPr>
  </w:style>
  <w:style w:type="paragraph" w:styleId="af4">
    <w:name w:val="footnote text"/>
    <w:basedOn w:val="a"/>
    <w:link w:val="Char9"/>
    <w:qFormat/>
    <w:rsid w:val="009A738D"/>
    <w:pPr>
      <w:snapToGrid w:val="0"/>
      <w:jc w:val="left"/>
    </w:pPr>
    <w:rPr>
      <w:rFonts w:ascii="Times New Roman" w:hAnsi="Times New Roman"/>
      <w:sz w:val="18"/>
      <w:szCs w:val="20"/>
    </w:rPr>
  </w:style>
  <w:style w:type="character" w:customStyle="1" w:styleId="Char9">
    <w:name w:val="脚注文本 Char"/>
    <w:basedOn w:val="a0"/>
    <w:link w:val="af4"/>
    <w:qFormat/>
    <w:rsid w:val="009A738D"/>
    <w:rPr>
      <w:rFonts w:ascii="Times New Roman" w:hAnsi="Times New Roman"/>
      <w:kern w:val="2"/>
      <w:sz w:val="18"/>
    </w:rPr>
  </w:style>
  <w:style w:type="paragraph" w:styleId="6">
    <w:name w:val="toc 6"/>
    <w:basedOn w:val="a"/>
    <w:next w:val="a"/>
    <w:uiPriority w:val="39"/>
    <w:unhideWhenUsed/>
    <w:qFormat/>
    <w:rsid w:val="009A738D"/>
    <w:pPr>
      <w:ind w:leftChars="1000" w:left="2100"/>
    </w:pPr>
  </w:style>
  <w:style w:type="paragraph" w:styleId="31">
    <w:name w:val="Body Text Indent 3"/>
    <w:basedOn w:val="a"/>
    <w:link w:val="3Char0"/>
    <w:qFormat/>
    <w:rsid w:val="009A738D"/>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qFormat/>
    <w:rsid w:val="009A738D"/>
    <w:rPr>
      <w:rFonts w:ascii="Times New Roman" w:hAnsi="Times New Roman"/>
      <w:color w:val="0000FF"/>
      <w:kern w:val="2"/>
      <w:sz w:val="21"/>
    </w:rPr>
  </w:style>
  <w:style w:type="paragraph" w:styleId="21">
    <w:name w:val="toc 2"/>
    <w:basedOn w:val="a"/>
    <w:next w:val="a"/>
    <w:uiPriority w:val="39"/>
    <w:unhideWhenUsed/>
    <w:qFormat/>
    <w:rsid w:val="009A738D"/>
    <w:pPr>
      <w:ind w:leftChars="200" w:left="420"/>
    </w:pPr>
  </w:style>
  <w:style w:type="paragraph" w:styleId="9">
    <w:name w:val="toc 9"/>
    <w:basedOn w:val="a"/>
    <w:next w:val="a"/>
    <w:uiPriority w:val="39"/>
    <w:unhideWhenUsed/>
    <w:qFormat/>
    <w:rsid w:val="009A738D"/>
    <w:pPr>
      <w:ind w:leftChars="1600" w:left="3360"/>
    </w:pPr>
  </w:style>
  <w:style w:type="paragraph" w:styleId="HTML">
    <w:name w:val="HTML Preformatted"/>
    <w:basedOn w:val="a"/>
    <w:link w:val="HTMLChar"/>
    <w:uiPriority w:val="99"/>
    <w:semiHidden/>
    <w:unhideWhenUsed/>
    <w:qFormat/>
    <w:rsid w:val="009A7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character" w:customStyle="1" w:styleId="HTMLChar">
    <w:name w:val="HTML 预设格式 Char"/>
    <w:basedOn w:val="a0"/>
    <w:link w:val="HTML"/>
    <w:uiPriority w:val="99"/>
    <w:semiHidden/>
    <w:qFormat/>
    <w:rsid w:val="009A738D"/>
    <w:rPr>
      <w:rFonts w:ascii="宋体" w:hAnsi="宋体"/>
      <w:sz w:val="24"/>
      <w:szCs w:val="24"/>
      <w:lang w:val="zh-CN"/>
    </w:rPr>
  </w:style>
  <w:style w:type="paragraph" w:styleId="af5">
    <w:name w:val="Normal (Web)"/>
    <w:basedOn w:val="a"/>
    <w:uiPriority w:val="99"/>
    <w:unhideWhenUsed/>
    <w:qFormat/>
    <w:rsid w:val="009A738D"/>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link w:val="Chara"/>
    <w:qFormat/>
    <w:rsid w:val="009A738D"/>
    <w:pPr>
      <w:spacing w:before="240" w:after="60"/>
      <w:jc w:val="center"/>
      <w:outlineLvl w:val="0"/>
    </w:pPr>
    <w:rPr>
      <w:rFonts w:ascii="Cambria" w:hAnsi="Cambria"/>
      <w:b/>
      <w:bCs/>
      <w:sz w:val="32"/>
      <w:szCs w:val="32"/>
      <w:lang w:val="zh-CN"/>
    </w:rPr>
  </w:style>
  <w:style w:type="character" w:customStyle="1" w:styleId="Chara">
    <w:name w:val="标题 Char"/>
    <w:basedOn w:val="a0"/>
    <w:link w:val="af6"/>
    <w:qFormat/>
    <w:rsid w:val="009A738D"/>
    <w:rPr>
      <w:rFonts w:ascii="Cambria" w:hAnsi="Cambria"/>
      <w:b/>
      <w:bCs/>
      <w:kern w:val="2"/>
      <w:sz w:val="32"/>
      <w:szCs w:val="32"/>
      <w:lang w:val="zh-CN"/>
    </w:rPr>
  </w:style>
  <w:style w:type="table" w:customStyle="1" w:styleId="11">
    <w:name w:val="网格型1"/>
    <w:basedOn w:val="a1"/>
    <w:next w:val="a6"/>
    <w:uiPriority w:val="59"/>
    <w:qFormat/>
    <w:locked/>
    <w:rsid w:val="009A738D"/>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rsid w:val="009A738D"/>
  </w:style>
  <w:style w:type="character" w:styleId="af8">
    <w:name w:val="footnote reference"/>
    <w:qFormat/>
    <w:rsid w:val="009A738D"/>
    <w:rPr>
      <w:vertAlign w:val="superscript"/>
    </w:rPr>
  </w:style>
  <w:style w:type="paragraph" w:customStyle="1" w:styleId="-11">
    <w:name w:val="彩色列表 - 强调文字颜色 11"/>
    <w:basedOn w:val="a"/>
    <w:uiPriority w:val="34"/>
    <w:qFormat/>
    <w:rsid w:val="009A738D"/>
    <w:pPr>
      <w:ind w:firstLineChars="200" w:firstLine="420"/>
    </w:pPr>
  </w:style>
  <w:style w:type="paragraph" w:customStyle="1" w:styleId="TOC1">
    <w:name w:val="TOC 标题1"/>
    <w:basedOn w:val="1"/>
    <w:next w:val="a"/>
    <w:uiPriority w:val="99"/>
    <w:qFormat/>
    <w:rsid w:val="009A738D"/>
    <w:pPr>
      <w:widowControl/>
      <w:spacing w:before="480" w:after="0" w:line="276" w:lineRule="auto"/>
      <w:jc w:val="left"/>
      <w:outlineLvl w:val="9"/>
    </w:pPr>
    <w:rPr>
      <w:rFonts w:ascii="Cambria" w:hAnsi="Cambria"/>
      <w:color w:val="365F91"/>
      <w:kern w:val="0"/>
      <w:sz w:val="28"/>
      <w:szCs w:val="28"/>
      <w:lang w:val="zh-CN"/>
    </w:rPr>
  </w:style>
  <w:style w:type="paragraph" w:customStyle="1" w:styleId="CharChar">
    <w:name w:val="Char Char"/>
    <w:basedOn w:val="a"/>
    <w:qFormat/>
    <w:rsid w:val="009A738D"/>
    <w:rPr>
      <w:rFonts w:ascii="Times New Roman" w:hAnsi="Times New Roman"/>
      <w:szCs w:val="20"/>
    </w:rPr>
  </w:style>
  <w:style w:type="paragraph" w:customStyle="1" w:styleId="CharChar1">
    <w:name w:val="Char Char1"/>
    <w:basedOn w:val="a"/>
    <w:qFormat/>
    <w:rsid w:val="009A738D"/>
    <w:rPr>
      <w:rFonts w:ascii="Times New Roman" w:hAnsi="Times New Roman"/>
      <w:szCs w:val="20"/>
    </w:rPr>
  </w:style>
  <w:style w:type="paragraph" w:customStyle="1" w:styleId="CharChar2">
    <w:name w:val="Char Char2"/>
    <w:basedOn w:val="a"/>
    <w:qFormat/>
    <w:rsid w:val="009A738D"/>
    <w:rPr>
      <w:rFonts w:ascii="Times New Roman" w:hAnsi="Times New Roman"/>
      <w:szCs w:val="20"/>
    </w:rPr>
  </w:style>
  <w:style w:type="paragraph" w:customStyle="1" w:styleId="CharCharCharCharCharChar1CharCharChar">
    <w:name w:val="Char Char Char Char Char Char1 Char Char Char"/>
    <w:basedOn w:val="a"/>
    <w:qFormat/>
    <w:rsid w:val="009A738D"/>
    <w:pPr>
      <w:autoSpaceDE w:val="0"/>
      <w:autoSpaceDN w:val="0"/>
      <w:adjustRightInd w:val="0"/>
      <w:jc w:val="left"/>
      <w:textAlignment w:val="baseline"/>
    </w:pPr>
    <w:rPr>
      <w:rFonts w:ascii="Times New Roman" w:eastAsia="方正仿宋简体" w:hAnsi="Times New Roman"/>
      <w:sz w:val="32"/>
      <w:szCs w:val="20"/>
    </w:rPr>
  </w:style>
  <w:style w:type="paragraph" w:customStyle="1" w:styleId="-21">
    <w:name w:val="浅色底纹 - 强调文字颜色 21"/>
    <w:basedOn w:val="a"/>
    <w:next w:val="a"/>
    <w:link w:val="-2Char"/>
    <w:uiPriority w:val="30"/>
    <w:qFormat/>
    <w:rsid w:val="009A738D"/>
    <w:pPr>
      <w:pBdr>
        <w:bottom w:val="single" w:sz="4" w:space="4" w:color="4F81BD"/>
      </w:pBdr>
      <w:spacing w:before="200" w:after="280"/>
      <w:ind w:left="936" w:right="936"/>
    </w:pPr>
    <w:rPr>
      <w:b/>
      <w:bCs/>
      <w:i/>
      <w:iCs/>
      <w:color w:val="4F81BD"/>
      <w:lang w:val="zh-CN"/>
    </w:rPr>
  </w:style>
  <w:style w:type="character" w:customStyle="1" w:styleId="-2Char">
    <w:name w:val="浅色底纹 - 强调文字颜色 2 Char"/>
    <w:link w:val="-21"/>
    <w:uiPriority w:val="30"/>
    <w:qFormat/>
    <w:rsid w:val="009A738D"/>
    <w:rPr>
      <w:b/>
      <w:bCs/>
      <w:i/>
      <w:iCs/>
      <w:color w:val="4F81BD"/>
      <w:kern w:val="2"/>
      <w:sz w:val="21"/>
      <w:szCs w:val="22"/>
      <w:lang w:val="zh-CN"/>
    </w:rPr>
  </w:style>
  <w:style w:type="paragraph" w:customStyle="1" w:styleId="reader-word-layer">
    <w:name w:val="reader-word-layer"/>
    <w:basedOn w:val="a"/>
    <w:qFormat/>
    <w:rsid w:val="009A738D"/>
    <w:pPr>
      <w:widowControl/>
      <w:spacing w:before="100" w:beforeAutospacing="1" w:after="100" w:afterAutospacing="1"/>
      <w:jc w:val="left"/>
    </w:pPr>
    <w:rPr>
      <w:rFonts w:ascii="宋体" w:hAnsi="宋体" w:cs="宋体"/>
      <w:kern w:val="0"/>
      <w:sz w:val="24"/>
      <w:szCs w:val="24"/>
    </w:rPr>
  </w:style>
  <w:style w:type="paragraph" w:customStyle="1" w:styleId="msonormal1">
    <w:name w:val="msonormal1"/>
    <w:qFormat/>
    <w:rsid w:val="009A738D"/>
    <w:pPr>
      <w:widowControl w:val="0"/>
      <w:jc w:val="both"/>
    </w:pPr>
    <w:rPr>
      <w:rFonts w:ascii="Times New Roman" w:hAnsi="Times New Roman"/>
      <w:kern w:val="2"/>
      <w:sz w:val="21"/>
    </w:rPr>
  </w:style>
  <w:style w:type="paragraph" w:customStyle="1" w:styleId="-110">
    <w:name w:val="彩色底纹 - 强调文字颜色 11"/>
    <w:hidden/>
    <w:uiPriority w:val="99"/>
    <w:semiHidden/>
    <w:qFormat/>
    <w:rsid w:val="009A738D"/>
    <w:rPr>
      <w:kern w:val="2"/>
      <w:sz w:val="21"/>
      <w:szCs w:val="22"/>
    </w:rPr>
  </w:style>
  <w:style w:type="paragraph" w:customStyle="1" w:styleId="12">
    <w:name w:val="修订1"/>
    <w:hidden/>
    <w:uiPriority w:val="99"/>
    <w:semiHidden/>
    <w:qFormat/>
    <w:rsid w:val="009A738D"/>
    <w:rPr>
      <w:kern w:val="2"/>
      <w:sz w:val="21"/>
      <w:szCs w:val="22"/>
    </w:rPr>
  </w:style>
  <w:style w:type="character" w:customStyle="1" w:styleId="unnamed11">
    <w:name w:val="unnamed11"/>
    <w:qFormat/>
    <w:rsid w:val="009A738D"/>
    <w:rPr>
      <w:rFonts w:ascii="宋体" w:eastAsia="宋体" w:hAnsi="宋体" w:hint="eastAsia"/>
      <w:sz w:val="18"/>
    </w:rPr>
  </w:style>
  <w:style w:type="character" w:customStyle="1" w:styleId="read">
    <w:name w:val="read"/>
    <w:qFormat/>
    <w:rsid w:val="009A738D"/>
  </w:style>
  <w:style w:type="character" w:customStyle="1" w:styleId="Char10">
    <w:name w:val="正文文本 Char1"/>
    <w:uiPriority w:val="99"/>
    <w:semiHidden/>
    <w:qFormat/>
    <w:rsid w:val="009A738D"/>
    <w:rPr>
      <w:kern w:val="2"/>
      <w:sz w:val="21"/>
      <w:szCs w:val="22"/>
    </w:rPr>
  </w:style>
  <w:style w:type="paragraph" w:customStyle="1" w:styleId="af9">
    <w:name w:val="正文所"/>
    <w:basedOn w:val="a"/>
    <w:qFormat/>
    <w:rsid w:val="009A738D"/>
    <w:pPr>
      <w:spacing w:line="360" w:lineRule="auto"/>
      <w:ind w:firstLineChars="200" w:firstLine="420"/>
    </w:pPr>
    <w:rPr>
      <w:rFonts w:ascii="宋体" w:hAnsi="Times New Roman"/>
      <w:szCs w:val="20"/>
    </w:rPr>
  </w:style>
  <w:style w:type="paragraph" w:customStyle="1" w:styleId="CharCharChar">
    <w:name w:val="Char Char Char"/>
    <w:basedOn w:val="a"/>
    <w:qFormat/>
    <w:rsid w:val="009A738D"/>
    <w:rPr>
      <w:rFonts w:ascii="Times New Roman" w:hAnsi="Times New Roman"/>
      <w:szCs w:val="20"/>
    </w:rPr>
  </w:style>
  <w:style w:type="paragraph" w:customStyle="1" w:styleId="Charb">
    <w:name w:val="Char"/>
    <w:basedOn w:val="a"/>
    <w:qFormat/>
    <w:rsid w:val="009A738D"/>
    <w:rPr>
      <w:rFonts w:ascii="Times New Roman" w:hAnsi="Times New Roman"/>
      <w:szCs w:val="20"/>
    </w:rPr>
  </w:style>
  <w:style w:type="character" w:customStyle="1" w:styleId="Char11">
    <w:name w:val="标题 Char1"/>
    <w:uiPriority w:val="10"/>
    <w:qFormat/>
    <w:rsid w:val="009A738D"/>
    <w:rPr>
      <w:rFonts w:ascii="Cambria" w:eastAsia="宋体" w:hAnsi="Cambria" w:cs="Times New Roman"/>
      <w:b/>
      <w:bCs/>
      <w:sz w:val="32"/>
      <w:szCs w:val="32"/>
    </w:rPr>
  </w:style>
  <w:style w:type="paragraph" w:customStyle="1" w:styleId="unnamed1">
    <w:name w:val="unnamed1"/>
    <w:basedOn w:val="a"/>
    <w:qFormat/>
    <w:rsid w:val="009A738D"/>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9A738D"/>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qFormat/>
    <w:rsid w:val="009A738D"/>
    <w:pPr>
      <w:tabs>
        <w:tab w:val="left" w:pos="360"/>
      </w:tabs>
    </w:pPr>
    <w:rPr>
      <w:rFonts w:ascii="Times New Roman" w:hAnsi="Times New Roman"/>
      <w:szCs w:val="20"/>
    </w:rPr>
  </w:style>
  <w:style w:type="paragraph" w:customStyle="1" w:styleId="afa">
    <w:name w:val="正文正文"/>
    <w:basedOn w:val="a"/>
    <w:qFormat/>
    <w:rsid w:val="009A738D"/>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2"/>
    <w:qFormat/>
    <w:rsid w:val="009A738D"/>
    <w:pPr>
      <w:tabs>
        <w:tab w:val="left" w:pos="420"/>
      </w:tabs>
      <w:spacing w:after="120" w:line="240" w:lineRule="atLeast"/>
      <w:ind w:left="420" w:hanging="420"/>
      <w:jc w:val="left"/>
    </w:pPr>
    <w:rPr>
      <w:rFonts w:ascii="宋体" w:hAnsi="宋体"/>
      <w:szCs w:val="20"/>
    </w:rPr>
  </w:style>
  <w:style w:type="paragraph" w:customStyle="1" w:styleId="CharChar5">
    <w:name w:val="Char Char5"/>
    <w:basedOn w:val="a"/>
    <w:qFormat/>
    <w:rsid w:val="009A738D"/>
    <w:rPr>
      <w:rFonts w:ascii="Times New Roman" w:hAnsi="Times New Roman"/>
      <w:szCs w:val="20"/>
    </w:rPr>
  </w:style>
  <w:style w:type="character" w:customStyle="1" w:styleId="apple-converted-space">
    <w:name w:val="apple-converted-space"/>
    <w:basedOn w:val="a0"/>
    <w:qFormat/>
    <w:rsid w:val="009A738D"/>
  </w:style>
  <w:style w:type="table" w:customStyle="1" w:styleId="110">
    <w:name w:val="网格型11"/>
    <w:basedOn w:val="a1"/>
    <w:uiPriority w:val="59"/>
    <w:qFormat/>
    <w:rsid w:val="009A73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unhideWhenUsed/>
    <w:qFormat/>
    <w:rsid w:val="009A738D"/>
    <w:rPr>
      <w:kern w:val="2"/>
      <w:sz w:val="21"/>
      <w:szCs w:val="22"/>
    </w:rPr>
  </w:style>
  <w:style w:type="numbering" w:customStyle="1" w:styleId="13">
    <w:name w:val="无列表1"/>
    <w:next w:val="a2"/>
    <w:uiPriority w:val="99"/>
    <w:semiHidden/>
    <w:unhideWhenUsed/>
    <w:rsid w:val="00F8109B"/>
  </w:style>
  <w:style w:type="table" w:customStyle="1" w:styleId="23">
    <w:name w:val="网格型2"/>
    <w:basedOn w:val="a1"/>
    <w:next w:val="a6"/>
    <w:uiPriority w:val="59"/>
    <w:qFormat/>
    <w:locked/>
    <w:rsid w:val="00F8109B"/>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59"/>
    <w:qFormat/>
    <w:rsid w:val="00F8109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无列表2"/>
    <w:next w:val="a2"/>
    <w:uiPriority w:val="99"/>
    <w:semiHidden/>
    <w:unhideWhenUsed/>
    <w:rsid w:val="00F42FE1"/>
  </w:style>
  <w:style w:type="table" w:customStyle="1" w:styleId="32">
    <w:name w:val="网格型3"/>
    <w:basedOn w:val="a1"/>
    <w:next w:val="a6"/>
    <w:uiPriority w:val="59"/>
    <w:qFormat/>
    <w:locked/>
    <w:rsid w:val="00F42FE1"/>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uiPriority w:val="59"/>
    <w:qFormat/>
    <w:rsid w:val="00F42F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uiPriority w:val="34"/>
    <w:qFormat/>
    <w:rsid w:val="00F42FE1"/>
    <w:pPr>
      <w:spacing w:line="360" w:lineRule="auto"/>
      <w:ind w:firstLineChars="200" w:firstLine="420"/>
    </w:pPr>
    <w:rPr>
      <w:rFonts w:ascii="Times New Roman" w:eastAsia="仿宋" w:hAnsi="Times New Roman"/>
      <w:sz w:val="24"/>
      <w:szCs w:val="24"/>
    </w:rPr>
  </w:style>
  <w:style w:type="character" w:styleId="afb">
    <w:name w:val="FollowedHyperlink"/>
    <w:basedOn w:val="a0"/>
    <w:uiPriority w:val="99"/>
    <w:semiHidden/>
    <w:unhideWhenUsed/>
    <w:rsid w:val="004D00E1"/>
    <w:rPr>
      <w:color w:val="954F72" w:themeColor="followedHyperlink"/>
      <w:u w:val="single"/>
    </w:rPr>
  </w:style>
  <w:style w:type="paragraph" w:customStyle="1" w:styleId="CharChar3">
    <w:name w:val="Char Char3"/>
    <w:basedOn w:val="a"/>
    <w:qFormat/>
    <w:rsid w:val="00E45E2B"/>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7630254">
      <w:bodyDiv w:val="1"/>
      <w:marLeft w:val="0"/>
      <w:marRight w:val="0"/>
      <w:marTop w:val="0"/>
      <w:marBottom w:val="0"/>
      <w:divBdr>
        <w:top w:val="none" w:sz="0" w:space="0" w:color="auto"/>
        <w:left w:val="none" w:sz="0" w:space="0" w:color="auto"/>
        <w:bottom w:val="none" w:sz="0" w:space="0" w:color="auto"/>
        <w:right w:val="none" w:sz="0" w:space="0" w:color="auto"/>
      </w:divBdr>
    </w:div>
    <w:div w:id="30689590">
      <w:bodyDiv w:val="1"/>
      <w:marLeft w:val="0"/>
      <w:marRight w:val="0"/>
      <w:marTop w:val="0"/>
      <w:marBottom w:val="0"/>
      <w:divBdr>
        <w:top w:val="none" w:sz="0" w:space="0" w:color="auto"/>
        <w:left w:val="none" w:sz="0" w:space="0" w:color="auto"/>
        <w:bottom w:val="none" w:sz="0" w:space="0" w:color="auto"/>
        <w:right w:val="none" w:sz="0" w:space="0" w:color="auto"/>
      </w:divBdr>
    </w:div>
    <w:div w:id="36853937">
      <w:bodyDiv w:val="1"/>
      <w:marLeft w:val="0"/>
      <w:marRight w:val="0"/>
      <w:marTop w:val="0"/>
      <w:marBottom w:val="0"/>
      <w:divBdr>
        <w:top w:val="none" w:sz="0" w:space="0" w:color="auto"/>
        <w:left w:val="none" w:sz="0" w:space="0" w:color="auto"/>
        <w:bottom w:val="none" w:sz="0" w:space="0" w:color="auto"/>
        <w:right w:val="none" w:sz="0" w:space="0" w:color="auto"/>
      </w:divBdr>
    </w:div>
    <w:div w:id="37364801">
      <w:bodyDiv w:val="1"/>
      <w:marLeft w:val="0"/>
      <w:marRight w:val="0"/>
      <w:marTop w:val="0"/>
      <w:marBottom w:val="0"/>
      <w:divBdr>
        <w:top w:val="none" w:sz="0" w:space="0" w:color="auto"/>
        <w:left w:val="none" w:sz="0" w:space="0" w:color="auto"/>
        <w:bottom w:val="none" w:sz="0" w:space="0" w:color="auto"/>
        <w:right w:val="none" w:sz="0" w:space="0" w:color="auto"/>
      </w:divBdr>
    </w:div>
    <w:div w:id="49038911">
      <w:bodyDiv w:val="1"/>
      <w:marLeft w:val="0"/>
      <w:marRight w:val="0"/>
      <w:marTop w:val="0"/>
      <w:marBottom w:val="0"/>
      <w:divBdr>
        <w:top w:val="none" w:sz="0" w:space="0" w:color="auto"/>
        <w:left w:val="none" w:sz="0" w:space="0" w:color="auto"/>
        <w:bottom w:val="none" w:sz="0" w:space="0" w:color="auto"/>
        <w:right w:val="none" w:sz="0" w:space="0" w:color="auto"/>
      </w:divBdr>
    </w:div>
    <w:div w:id="49501583">
      <w:bodyDiv w:val="1"/>
      <w:marLeft w:val="0"/>
      <w:marRight w:val="0"/>
      <w:marTop w:val="0"/>
      <w:marBottom w:val="0"/>
      <w:divBdr>
        <w:top w:val="none" w:sz="0" w:space="0" w:color="auto"/>
        <w:left w:val="none" w:sz="0" w:space="0" w:color="auto"/>
        <w:bottom w:val="none" w:sz="0" w:space="0" w:color="auto"/>
        <w:right w:val="none" w:sz="0" w:space="0" w:color="auto"/>
      </w:divBdr>
    </w:div>
    <w:div w:id="71195663">
      <w:bodyDiv w:val="1"/>
      <w:marLeft w:val="0"/>
      <w:marRight w:val="0"/>
      <w:marTop w:val="0"/>
      <w:marBottom w:val="0"/>
      <w:divBdr>
        <w:top w:val="none" w:sz="0" w:space="0" w:color="auto"/>
        <w:left w:val="none" w:sz="0" w:space="0" w:color="auto"/>
        <w:bottom w:val="none" w:sz="0" w:space="0" w:color="auto"/>
        <w:right w:val="none" w:sz="0" w:space="0" w:color="auto"/>
      </w:divBdr>
    </w:div>
    <w:div w:id="73402636">
      <w:bodyDiv w:val="1"/>
      <w:marLeft w:val="0"/>
      <w:marRight w:val="0"/>
      <w:marTop w:val="0"/>
      <w:marBottom w:val="0"/>
      <w:divBdr>
        <w:top w:val="none" w:sz="0" w:space="0" w:color="auto"/>
        <w:left w:val="none" w:sz="0" w:space="0" w:color="auto"/>
        <w:bottom w:val="none" w:sz="0" w:space="0" w:color="auto"/>
        <w:right w:val="none" w:sz="0" w:space="0" w:color="auto"/>
      </w:divBdr>
    </w:div>
    <w:div w:id="84614305">
      <w:bodyDiv w:val="1"/>
      <w:marLeft w:val="0"/>
      <w:marRight w:val="0"/>
      <w:marTop w:val="0"/>
      <w:marBottom w:val="0"/>
      <w:divBdr>
        <w:top w:val="none" w:sz="0" w:space="0" w:color="auto"/>
        <w:left w:val="none" w:sz="0" w:space="0" w:color="auto"/>
        <w:bottom w:val="none" w:sz="0" w:space="0" w:color="auto"/>
        <w:right w:val="none" w:sz="0" w:space="0" w:color="auto"/>
      </w:divBdr>
    </w:div>
    <w:div w:id="111940580">
      <w:bodyDiv w:val="1"/>
      <w:marLeft w:val="0"/>
      <w:marRight w:val="0"/>
      <w:marTop w:val="0"/>
      <w:marBottom w:val="0"/>
      <w:divBdr>
        <w:top w:val="none" w:sz="0" w:space="0" w:color="auto"/>
        <w:left w:val="none" w:sz="0" w:space="0" w:color="auto"/>
        <w:bottom w:val="none" w:sz="0" w:space="0" w:color="auto"/>
        <w:right w:val="none" w:sz="0" w:space="0" w:color="auto"/>
      </w:divBdr>
    </w:div>
    <w:div w:id="117530134">
      <w:bodyDiv w:val="1"/>
      <w:marLeft w:val="0"/>
      <w:marRight w:val="0"/>
      <w:marTop w:val="0"/>
      <w:marBottom w:val="0"/>
      <w:divBdr>
        <w:top w:val="none" w:sz="0" w:space="0" w:color="auto"/>
        <w:left w:val="none" w:sz="0" w:space="0" w:color="auto"/>
        <w:bottom w:val="none" w:sz="0" w:space="0" w:color="auto"/>
        <w:right w:val="none" w:sz="0" w:space="0" w:color="auto"/>
      </w:divBdr>
    </w:div>
    <w:div w:id="126095962">
      <w:bodyDiv w:val="1"/>
      <w:marLeft w:val="0"/>
      <w:marRight w:val="0"/>
      <w:marTop w:val="0"/>
      <w:marBottom w:val="0"/>
      <w:divBdr>
        <w:top w:val="none" w:sz="0" w:space="0" w:color="auto"/>
        <w:left w:val="none" w:sz="0" w:space="0" w:color="auto"/>
        <w:bottom w:val="none" w:sz="0" w:space="0" w:color="auto"/>
        <w:right w:val="none" w:sz="0" w:space="0" w:color="auto"/>
      </w:divBdr>
    </w:div>
    <w:div w:id="135613130">
      <w:bodyDiv w:val="1"/>
      <w:marLeft w:val="0"/>
      <w:marRight w:val="0"/>
      <w:marTop w:val="0"/>
      <w:marBottom w:val="0"/>
      <w:divBdr>
        <w:top w:val="none" w:sz="0" w:space="0" w:color="auto"/>
        <w:left w:val="none" w:sz="0" w:space="0" w:color="auto"/>
        <w:bottom w:val="none" w:sz="0" w:space="0" w:color="auto"/>
        <w:right w:val="none" w:sz="0" w:space="0" w:color="auto"/>
      </w:divBdr>
    </w:div>
    <w:div w:id="137042175">
      <w:bodyDiv w:val="1"/>
      <w:marLeft w:val="0"/>
      <w:marRight w:val="0"/>
      <w:marTop w:val="0"/>
      <w:marBottom w:val="0"/>
      <w:divBdr>
        <w:top w:val="none" w:sz="0" w:space="0" w:color="auto"/>
        <w:left w:val="none" w:sz="0" w:space="0" w:color="auto"/>
        <w:bottom w:val="none" w:sz="0" w:space="0" w:color="auto"/>
        <w:right w:val="none" w:sz="0" w:space="0" w:color="auto"/>
      </w:divBdr>
    </w:div>
    <w:div w:id="150949655">
      <w:bodyDiv w:val="1"/>
      <w:marLeft w:val="0"/>
      <w:marRight w:val="0"/>
      <w:marTop w:val="0"/>
      <w:marBottom w:val="0"/>
      <w:divBdr>
        <w:top w:val="none" w:sz="0" w:space="0" w:color="auto"/>
        <w:left w:val="none" w:sz="0" w:space="0" w:color="auto"/>
        <w:bottom w:val="none" w:sz="0" w:space="0" w:color="auto"/>
        <w:right w:val="none" w:sz="0" w:space="0" w:color="auto"/>
      </w:divBdr>
    </w:div>
    <w:div w:id="158036386">
      <w:bodyDiv w:val="1"/>
      <w:marLeft w:val="0"/>
      <w:marRight w:val="0"/>
      <w:marTop w:val="0"/>
      <w:marBottom w:val="0"/>
      <w:divBdr>
        <w:top w:val="none" w:sz="0" w:space="0" w:color="auto"/>
        <w:left w:val="none" w:sz="0" w:space="0" w:color="auto"/>
        <w:bottom w:val="none" w:sz="0" w:space="0" w:color="auto"/>
        <w:right w:val="none" w:sz="0" w:space="0" w:color="auto"/>
      </w:divBdr>
    </w:div>
    <w:div w:id="171575436">
      <w:bodyDiv w:val="1"/>
      <w:marLeft w:val="0"/>
      <w:marRight w:val="0"/>
      <w:marTop w:val="0"/>
      <w:marBottom w:val="0"/>
      <w:divBdr>
        <w:top w:val="none" w:sz="0" w:space="0" w:color="auto"/>
        <w:left w:val="none" w:sz="0" w:space="0" w:color="auto"/>
        <w:bottom w:val="none" w:sz="0" w:space="0" w:color="auto"/>
        <w:right w:val="none" w:sz="0" w:space="0" w:color="auto"/>
      </w:divBdr>
    </w:div>
    <w:div w:id="173303955">
      <w:bodyDiv w:val="1"/>
      <w:marLeft w:val="0"/>
      <w:marRight w:val="0"/>
      <w:marTop w:val="0"/>
      <w:marBottom w:val="0"/>
      <w:divBdr>
        <w:top w:val="none" w:sz="0" w:space="0" w:color="auto"/>
        <w:left w:val="none" w:sz="0" w:space="0" w:color="auto"/>
        <w:bottom w:val="none" w:sz="0" w:space="0" w:color="auto"/>
        <w:right w:val="none" w:sz="0" w:space="0" w:color="auto"/>
      </w:divBdr>
    </w:div>
    <w:div w:id="180240977">
      <w:bodyDiv w:val="1"/>
      <w:marLeft w:val="0"/>
      <w:marRight w:val="0"/>
      <w:marTop w:val="0"/>
      <w:marBottom w:val="0"/>
      <w:divBdr>
        <w:top w:val="none" w:sz="0" w:space="0" w:color="auto"/>
        <w:left w:val="none" w:sz="0" w:space="0" w:color="auto"/>
        <w:bottom w:val="none" w:sz="0" w:space="0" w:color="auto"/>
        <w:right w:val="none" w:sz="0" w:space="0" w:color="auto"/>
      </w:divBdr>
    </w:div>
    <w:div w:id="202790880">
      <w:bodyDiv w:val="1"/>
      <w:marLeft w:val="0"/>
      <w:marRight w:val="0"/>
      <w:marTop w:val="0"/>
      <w:marBottom w:val="0"/>
      <w:divBdr>
        <w:top w:val="none" w:sz="0" w:space="0" w:color="auto"/>
        <w:left w:val="none" w:sz="0" w:space="0" w:color="auto"/>
        <w:bottom w:val="none" w:sz="0" w:space="0" w:color="auto"/>
        <w:right w:val="none" w:sz="0" w:space="0" w:color="auto"/>
      </w:divBdr>
    </w:div>
    <w:div w:id="205727710">
      <w:bodyDiv w:val="1"/>
      <w:marLeft w:val="0"/>
      <w:marRight w:val="0"/>
      <w:marTop w:val="0"/>
      <w:marBottom w:val="0"/>
      <w:divBdr>
        <w:top w:val="none" w:sz="0" w:space="0" w:color="auto"/>
        <w:left w:val="none" w:sz="0" w:space="0" w:color="auto"/>
        <w:bottom w:val="none" w:sz="0" w:space="0" w:color="auto"/>
        <w:right w:val="none" w:sz="0" w:space="0" w:color="auto"/>
      </w:divBdr>
    </w:div>
    <w:div w:id="236521497">
      <w:bodyDiv w:val="1"/>
      <w:marLeft w:val="0"/>
      <w:marRight w:val="0"/>
      <w:marTop w:val="0"/>
      <w:marBottom w:val="0"/>
      <w:divBdr>
        <w:top w:val="none" w:sz="0" w:space="0" w:color="auto"/>
        <w:left w:val="none" w:sz="0" w:space="0" w:color="auto"/>
        <w:bottom w:val="none" w:sz="0" w:space="0" w:color="auto"/>
        <w:right w:val="none" w:sz="0" w:space="0" w:color="auto"/>
      </w:divBdr>
    </w:div>
    <w:div w:id="327447659">
      <w:bodyDiv w:val="1"/>
      <w:marLeft w:val="0"/>
      <w:marRight w:val="0"/>
      <w:marTop w:val="0"/>
      <w:marBottom w:val="0"/>
      <w:divBdr>
        <w:top w:val="none" w:sz="0" w:space="0" w:color="auto"/>
        <w:left w:val="none" w:sz="0" w:space="0" w:color="auto"/>
        <w:bottom w:val="none" w:sz="0" w:space="0" w:color="auto"/>
        <w:right w:val="none" w:sz="0" w:space="0" w:color="auto"/>
      </w:divBdr>
    </w:div>
    <w:div w:id="341319575">
      <w:bodyDiv w:val="1"/>
      <w:marLeft w:val="0"/>
      <w:marRight w:val="0"/>
      <w:marTop w:val="0"/>
      <w:marBottom w:val="0"/>
      <w:divBdr>
        <w:top w:val="none" w:sz="0" w:space="0" w:color="auto"/>
        <w:left w:val="none" w:sz="0" w:space="0" w:color="auto"/>
        <w:bottom w:val="none" w:sz="0" w:space="0" w:color="auto"/>
        <w:right w:val="none" w:sz="0" w:space="0" w:color="auto"/>
      </w:divBdr>
    </w:div>
    <w:div w:id="346568389">
      <w:bodyDiv w:val="1"/>
      <w:marLeft w:val="0"/>
      <w:marRight w:val="0"/>
      <w:marTop w:val="0"/>
      <w:marBottom w:val="0"/>
      <w:divBdr>
        <w:top w:val="none" w:sz="0" w:space="0" w:color="auto"/>
        <w:left w:val="none" w:sz="0" w:space="0" w:color="auto"/>
        <w:bottom w:val="none" w:sz="0" w:space="0" w:color="auto"/>
        <w:right w:val="none" w:sz="0" w:space="0" w:color="auto"/>
      </w:divBdr>
    </w:div>
    <w:div w:id="346951060">
      <w:bodyDiv w:val="1"/>
      <w:marLeft w:val="0"/>
      <w:marRight w:val="0"/>
      <w:marTop w:val="0"/>
      <w:marBottom w:val="0"/>
      <w:divBdr>
        <w:top w:val="none" w:sz="0" w:space="0" w:color="auto"/>
        <w:left w:val="none" w:sz="0" w:space="0" w:color="auto"/>
        <w:bottom w:val="none" w:sz="0" w:space="0" w:color="auto"/>
        <w:right w:val="none" w:sz="0" w:space="0" w:color="auto"/>
      </w:divBdr>
    </w:div>
    <w:div w:id="352658363">
      <w:bodyDiv w:val="1"/>
      <w:marLeft w:val="0"/>
      <w:marRight w:val="0"/>
      <w:marTop w:val="0"/>
      <w:marBottom w:val="0"/>
      <w:divBdr>
        <w:top w:val="none" w:sz="0" w:space="0" w:color="auto"/>
        <w:left w:val="none" w:sz="0" w:space="0" w:color="auto"/>
        <w:bottom w:val="none" w:sz="0" w:space="0" w:color="auto"/>
        <w:right w:val="none" w:sz="0" w:space="0" w:color="auto"/>
      </w:divBdr>
    </w:div>
    <w:div w:id="356858258">
      <w:bodyDiv w:val="1"/>
      <w:marLeft w:val="0"/>
      <w:marRight w:val="0"/>
      <w:marTop w:val="0"/>
      <w:marBottom w:val="0"/>
      <w:divBdr>
        <w:top w:val="none" w:sz="0" w:space="0" w:color="auto"/>
        <w:left w:val="none" w:sz="0" w:space="0" w:color="auto"/>
        <w:bottom w:val="none" w:sz="0" w:space="0" w:color="auto"/>
        <w:right w:val="none" w:sz="0" w:space="0" w:color="auto"/>
      </w:divBdr>
    </w:div>
    <w:div w:id="377703260">
      <w:bodyDiv w:val="1"/>
      <w:marLeft w:val="0"/>
      <w:marRight w:val="0"/>
      <w:marTop w:val="0"/>
      <w:marBottom w:val="0"/>
      <w:divBdr>
        <w:top w:val="none" w:sz="0" w:space="0" w:color="auto"/>
        <w:left w:val="none" w:sz="0" w:space="0" w:color="auto"/>
        <w:bottom w:val="none" w:sz="0" w:space="0" w:color="auto"/>
        <w:right w:val="none" w:sz="0" w:space="0" w:color="auto"/>
      </w:divBdr>
    </w:div>
    <w:div w:id="381057166">
      <w:bodyDiv w:val="1"/>
      <w:marLeft w:val="0"/>
      <w:marRight w:val="0"/>
      <w:marTop w:val="0"/>
      <w:marBottom w:val="0"/>
      <w:divBdr>
        <w:top w:val="none" w:sz="0" w:space="0" w:color="auto"/>
        <w:left w:val="none" w:sz="0" w:space="0" w:color="auto"/>
        <w:bottom w:val="none" w:sz="0" w:space="0" w:color="auto"/>
        <w:right w:val="none" w:sz="0" w:space="0" w:color="auto"/>
      </w:divBdr>
    </w:div>
    <w:div w:id="383869281">
      <w:bodyDiv w:val="1"/>
      <w:marLeft w:val="0"/>
      <w:marRight w:val="0"/>
      <w:marTop w:val="0"/>
      <w:marBottom w:val="0"/>
      <w:divBdr>
        <w:top w:val="none" w:sz="0" w:space="0" w:color="auto"/>
        <w:left w:val="none" w:sz="0" w:space="0" w:color="auto"/>
        <w:bottom w:val="none" w:sz="0" w:space="0" w:color="auto"/>
        <w:right w:val="none" w:sz="0" w:space="0" w:color="auto"/>
      </w:divBdr>
    </w:div>
    <w:div w:id="386294764">
      <w:bodyDiv w:val="1"/>
      <w:marLeft w:val="0"/>
      <w:marRight w:val="0"/>
      <w:marTop w:val="0"/>
      <w:marBottom w:val="0"/>
      <w:divBdr>
        <w:top w:val="none" w:sz="0" w:space="0" w:color="auto"/>
        <w:left w:val="none" w:sz="0" w:space="0" w:color="auto"/>
        <w:bottom w:val="none" w:sz="0" w:space="0" w:color="auto"/>
        <w:right w:val="none" w:sz="0" w:space="0" w:color="auto"/>
      </w:divBdr>
    </w:div>
    <w:div w:id="389109563">
      <w:bodyDiv w:val="1"/>
      <w:marLeft w:val="0"/>
      <w:marRight w:val="0"/>
      <w:marTop w:val="0"/>
      <w:marBottom w:val="0"/>
      <w:divBdr>
        <w:top w:val="none" w:sz="0" w:space="0" w:color="auto"/>
        <w:left w:val="none" w:sz="0" w:space="0" w:color="auto"/>
        <w:bottom w:val="none" w:sz="0" w:space="0" w:color="auto"/>
        <w:right w:val="none" w:sz="0" w:space="0" w:color="auto"/>
      </w:divBdr>
    </w:div>
    <w:div w:id="395320636">
      <w:bodyDiv w:val="1"/>
      <w:marLeft w:val="0"/>
      <w:marRight w:val="0"/>
      <w:marTop w:val="0"/>
      <w:marBottom w:val="0"/>
      <w:divBdr>
        <w:top w:val="none" w:sz="0" w:space="0" w:color="auto"/>
        <w:left w:val="none" w:sz="0" w:space="0" w:color="auto"/>
        <w:bottom w:val="none" w:sz="0" w:space="0" w:color="auto"/>
        <w:right w:val="none" w:sz="0" w:space="0" w:color="auto"/>
      </w:divBdr>
    </w:div>
    <w:div w:id="396979038">
      <w:bodyDiv w:val="1"/>
      <w:marLeft w:val="0"/>
      <w:marRight w:val="0"/>
      <w:marTop w:val="0"/>
      <w:marBottom w:val="0"/>
      <w:divBdr>
        <w:top w:val="none" w:sz="0" w:space="0" w:color="auto"/>
        <w:left w:val="none" w:sz="0" w:space="0" w:color="auto"/>
        <w:bottom w:val="none" w:sz="0" w:space="0" w:color="auto"/>
        <w:right w:val="none" w:sz="0" w:space="0" w:color="auto"/>
      </w:divBdr>
    </w:div>
    <w:div w:id="419060037">
      <w:bodyDiv w:val="1"/>
      <w:marLeft w:val="0"/>
      <w:marRight w:val="0"/>
      <w:marTop w:val="0"/>
      <w:marBottom w:val="0"/>
      <w:divBdr>
        <w:top w:val="none" w:sz="0" w:space="0" w:color="auto"/>
        <w:left w:val="none" w:sz="0" w:space="0" w:color="auto"/>
        <w:bottom w:val="none" w:sz="0" w:space="0" w:color="auto"/>
        <w:right w:val="none" w:sz="0" w:space="0" w:color="auto"/>
      </w:divBdr>
    </w:div>
    <w:div w:id="421292729">
      <w:bodyDiv w:val="1"/>
      <w:marLeft w:val="0"/>
      <w:marRight w:val="0"/>
      <w:marTop w:val="0"/>
      <w:marBottom w:val="0"/>
      <w:divBdr>
        <w:top w:val="none" w:sz="0" w:space="0" w:color="auto"/>
        <w:left w:val="none" w:sz="0" w:space="0" w:color="auto"/>
        <w:bottom w:val="none" w:sz="0" w:space="0" w:color="auto"/>
        <w:right w:val="none" w:sz="0" w:space="0" w:color="auto"/>
      </w:divBdr>
    </w:div>
    <w:div w:id="444931320">
      <w:bodyDiv w:val="1"/>
      <w:marLeft w:val="0"/>
      <w:marRight w:val="0"/>
      <w:marTop w:val="0"/>
      <w:marBottom w:val="0"/>
      <w:divBdr>
        <w:top w:val="none" w:sz="0" w:space="0" w:color="auto"/>
        <w:left w:val="none" w:sz="0" w:space="0" w:color="auto"/>
        <w:bottom w:val="none" w:sz="0" w:space="0" w:color="auto"/>
        <w:right w:val="none" w:sz="0" w:space="0" w:color="auto"/>
      </w:divBdr>
    </w:div>
    <w:div w:id="448208791">
      <w:bodyDiv w:val="1"/>
      <w:marLeft w:val="0"/>
      <w:marRight w:val="0"/>
      <w:marTop w:val="0"/>
      <w:marBottom w:val="0"/>
      <w:divBdr>
        <w:top w:val="none" w:sz="0" w:space="0" w:color="auto"/>
        <w:left w:val="none" w:sz="0" w:space="0" w:color="auto"/>
        <w:bottom w:val="none" w:sz="0" w:space="0" w:color="auto"/>
        <w:right w:val="none" w:sz="0" w:space="0" w:color="auto"/>
      </w:divBdr>
    </w:div>
    <w:div w:id="464126587">
      <w:bodyDiv w:val="1"/>
      <w:marLeft w:val="0"/>
      <w:marRight w:val="0"/>
      <w:marTop w:val="0"/>
      <w:marBottom w:val="0"/>
      <w:divBdr>
        <w:top w:val="none" w:sz="0" w:space="0" w:color="auto"/>
        <w:left w:val="none" w:sz="0" w:space="0" w:color="auto"/>
        <w:bottom w:val="none" w:sz="0" w:space="0" w:color="auto"/>
        <w:right w:val="none" w:sz="0" w:space="0" w:color="auto"/>
      </w:divBdr>
    </w:div>
    <w:div w:id="502014005">
      <w:bodyDiv w:val="1"/>
      <w:marLeft w:val="0"/>
      <w:marRight w:val="0"/>
      <w:marTop w:val="0"/>
      <w:marBottom w:val="0"/>
      <w:divBdr>
        <w:top w:val="none" w:sz="0" w:space="0" w:color="auto"/>
        <w:left w:val="none" w:sz="0" w:space="0" w:color="auto"/>
        <w:bottom w:val="none" w:sz="0" w:space="0" w:color="auto"/>
        <w:right w:val="none" w:sz="0" w:space="0" w:color="auto"/>
      </w:divBdr>
    </w:div>
    <w:div w:id="507136881">
      <w:bodyDiv w:val="1"/>
      <w:marLeft w:val="0"/>
      <w:marRight w:val="0"/>
      <w:marTop w:val="0"/>
      <w:marBottom w:val="0"/>
      <w:divBdr>
        <w:top w:val="none" w:sz="0" w:space="0" w:color="auto"/>
        <w:left w:val="none" w:sz="0" w:space="0" w:color="auto"/>
        <w:bottom w:val="none" w:sz="0" w:space="0" w:color="auto"/>
        <w:right w:val="none" w:sz="0" w:space="0" w:color="auto"/>
      </w:divBdr>
    </w:div>
    <w:div w:id="538667083">
      <w:bodyDiv w:val="1"/>
      <w:marLeft w:val="0"/>
      <w:marRight w:val="0"/>
      <w:marTop w:val="0"/>
      <w:marBottom w:val="0"/>
      <w:divBdr>
        <w:top w:val="none" w:sz="0" w:space="0" w:color="auto"/>
        <w:left w:val="none" w:sz="0" w:space="0" w:color="auto"/>
        <w:bottom w:val="none" w:sz="0" w:space="0" w:color="auto"/>
        <w:right w:val="none" w:sz="0" w:space="0" w:color="auto"/>
      </w:divBdr>
    </w:div>
    <w:div w:id="556009506">
      <w:bodyDiv w:val="1"/>
      <w:marLeft w:val="0"/>
      <w:marRight w:val="0"/>
      <w:marTop w:val="0"/>
      <w:marBottom w:val="0"/>
      <w:divBdr>
        <w:top w:val="none" w:sz="0" w:space="0" w:color="auto"/>
        <w:left w:val="none" w:sz="0" w:space="0" w:color="auto"/>
        <w:bottom w:val="none" w:sz="0" w:space="0" w:color="auto"/>
        <w:right w:val="none" w:sz="0" w:space="0" w:color="auto"/>
      </w:divBdr>
    </w:div>
    <w:div w:id="561793047">
      <w:bodyDiv w:val="1"/>
      <w:marLeft w:val="0"/>
      <w:marRight w:val="0"/>
      <w:marTop w:val="0"/>
      <w:marBottom w:val="0"/>
      <w:divBdr>
        <w:top w:val="none" w:sz="0" w:space="0" w:color="auto"/>
        <w:left w:val="none" w:sz="0" w:space="0" w:color="auto"/>
        <w:bottom w:val="none" w:sz="0" w:space="0" w:color="auto"/>
        <w:right w:val="none" w:sz="0" w:space="0" w:color="auto"/>
      </w:divBdr>
    </w:div>
    <w:div w:id="562133128">
      <w:bodyDiv w:val="1"/>
      <w:marLeft w:val="0"/>
      <w:marRight w:val="0"/>
      <w:marTop w:val="0"/>
      <w:marBottom w:val="0"/>
      <w:divBdr>
        <w:top w:val="none" w:sz="0" w:space="0" w:color="auto"/>
        <w:left w:val="none" w:sz="0" w:space="0" w:color="auto"/>
        <w:bottom w:val="none" w:sz="0" w:space="0" w:color="auto"/>
        <w:right w:val="none" w:sz="0" w:space="0" w:color="auto"/>
      </w:divBdr>
    </w:div>
    <w:div w:id="589201132">
      <w:bodyDiv w:val="1"/>
      <w:marLeft w:val="0"/>
      <w:marRight w:val="0"/>
      <w:marTop w:val="0"/>
      <w:marBottom w:val="0"/>
      <w:divBdr>
        <w:top w:val="none" w:sz="0" w:space="0" w:color="auto"/>
        <w:left w:val="none" w:sz="0" w:space="0" w:color="auto"/>
        <w:bottom w:val="none" w:sz="0" w:space="0" w:color="auto"/>
        <w:right w:val="none" w:sz="0" w:space="0" w:color="auto"/>
      </w:divBdr>
    </w:div>
    <w:div w:id="616445184">
      <w:bodyDiv w:val="1"/>
      <w:marLeft w:val="0"/>
      <w:marRight w:val="0"/>
      <w:marTop w:val="0"/>
      <w:marBottom w:val="0"/>
      <w:divBdr>
        <w:top w:val="none" w:sz="0" w:space="0" w:color="auto"/>
        <w:left w:val="none" w:sz="0" w:space="0" w:color="auto"/>
        <w:bottom w:val="none" w:sz="0" w:space="0" w:color="auto"/>
        <w:right w:val="none" w:sz="0" w:space="0" w:color="auto"/>
      </w:divBdr>
    </w:div>
    <w:div w:id="659819448">
      <w:bodyDiv w:val="1"/>
      <w:marLeft w:val="0"/>
      <w:marRight w:val="0"/>
      <w:marTop w:val="0"/>
      <w:marBottom w:val="0"/>
      <w:divBdr>
        <w:top w:val="none" w:sz="0" w:space="0" w:color="auto"/>
        <w:left w:val="none" w:sz="0" w:space="0" w:color="auto"/>
        <w:bottom w:val="none" w:sz="0" w:space="0" w:color="auto"/>
        <w:right w:val="none" w:sz="0" w:space="0" w:color="auto"/>
      </w:divBdr>
    </w:div>
    <w:div w:id="661547801">
      <w:bodyDiv w:val="1"/>
      <w:marLeft w:val="0"/>
      <w:marRight w:val="0"/>
      <w:marTop w:val="0"/>
      <w:marBottom w:val="0"/>
      <w:divBdr>
        <w:top w:val="none" w:sz="0" w:space="0" w:color="auto"/>
        <w:left w:val="none" w:sz="0" w:space="0" w:color="auto"/>
        <w:bottom w:val="none" w:sz="0" w:space="0" w:color="auto"/>
        <w:right w:val="none" w:sz="0" w:space="0" w:color="auto"/>
      </w:divBdr>
    </w:div>
    <w:div w:id="678892777">
      <w:bodyDiv w:val="1"/>
      <w:marLeft w:val="0"/>
      <w:marRight w:val="0"/>
      <w:marTop w:val="0"/>
      <w:marBottom w:val="0"/>
      <w:divBdr>
        <w:top w:val="none" w:sz="0" w:space="0" w:color="auto"/>
        <w:left w:val="none" w:sz="0" w:space="0" w:color="auto"/>
        <w:bottom w:val="none" w:sz="0" w:space="0" w:color="auto"/>
        <w:right w:val="none" w:sz="0" w:space="0" w:color="auto"/>
      </w:divBdr>
    </w:div>
    <w:div w:id="694116046">
      <w:bodyDiv w:val="1"/>
      <w:marLeft w:val="0"/>
      <w:marRight w:val="0"/>
      <w:marTop w:val="0"/>
      <w:marBottom w:val="0"/>
      <w:divBdr>
        <w:top w:val="none" w:sz="0" w:space="0" w:color="auto"/>
        <w:left w:val="none" w:sz="0" w:space="0" w:color="auto"/>
        <w:bottom w:val="none" w:sz="0" w:space="0" w:color="auto"/>
        <w:right w:val="none" w:sz="0" w:space="0" w:color="auto"/>
      </w:divBdr>
    </w:div>
    <w:div w:id="697202670">
      <w:bodyDiv w:val="1"/>
      <w:marLeft w:val="0"/>
      <w:marRight w:val="0"/>
      <w:marTop w:val="0"/>
      <w:marBottom w:val="0"/>
      <w:divBdr>
        <w:top w:val="none" w:sz="0" w:space="0" w:color="auto"/>
        <w:left w:val="none" w:sz="0" w:space="0" w:color="auto"/>
        <w:bottom w:val="none" w:sz="0" w:space="0" w:color="auto"/>
        <w:right w:val="none" w:sz="0" w:space="0" w:color="auto"/>
      </w:divBdr>
    </w:div>
    <w:div w:id="698318591">
      <w:bodyDiv w:val="1"/>
      <w:marLeft w:val="0"/>
      <w:marRight w:val="0"/>
      <w:marTop w:val="0"/>
      <w:marBottom w:val="0"/>
      <w:divBdr>
        <w:top w:val="none" w:sz="0" w:space="0" w:color="auto"/>
        <w:left w:val="none" w:sz="0" w:space="0" w:color="auto"/>
        <w:bottom w:val="none" w:sz="0" w:space="0" w:color="auto"/>
        <w:right w:val="none" w:sz="0" w:space="0" w:color="auto"/>
      </w:divBdr>
    </w:div>
    <w:div w:id="733626993">
      <w:bodyDiv w:val="1"/>
      <w:marLeft w:val="0"/>
      <w:marRight w:val="0"/>
      <w:marTop w:val="0"/>
      <w:marBottom w:val="0"/>
      <w:divBdr>
        <w:top w:val="none" w:sz="0" w:space="0" w:color="auto"/>
        <w:left w:val="none" w:sz="0" w:space="0" w:color="auto"/>
        <w:bottom w:val="none" w:sz="0" w:space="0" w:color="auto"/>
        <w:right w:val="none" w:sz="0" w:space="0" w:color="auto"/>
      </w:divBdr>
    </w:div>
    <w:div w:id="748768956">
      <w:bodyDiv w:val="1"/>
      <w:marLeft w:val="0"/>
      <w:marRight w:val="0"/>
      <w:marTop w:val="0"/>
      <w:marBottom w:val="0"/>
      <w:divBdr>
        <w:top w:val="none" w:sz="0" w:space="0" w:color="auto"/>
        <w:left w:val="none" w:sz="0" w:space="0" w:color="auto"/>
        <w:bottom w:val="none" w:sz="0" w:space="0" w:color="auto"/>
        <w:right w:val="none" w:sz="0" w:space="0" w:color="auto"/>
      </w:divBdr>
    </w:div>
    <w:div w:id="749548151">
      <w:bodyDiv w:val="1"/>
      <w:marLeft w:val="0"/>
      <w:marRight w:val="0"/>
      <w:marTop w:val="0"/>
      <w:marBottom w:val="0"/>
      <w:divBdr>
        <w:top w:val="none" w:sz="0" w:space="0" w:color="auto"/>
        <w:left w:val="none" w:sz="0" w:space="0" w:color="auto"/>
        <w:bottom w:val="none" w:sz="0" w:space="0" w:color="auto"/>
        <w:right w:val="none" w:sz="0" w:space="0" w:color="auto"/>
      </w:divBdr>
    </w:div>
    <w:div w:id="760488776">
      <w:bodyDiv w:val="1"/>
      <w:marLeft w:val="0"/>
      <w:marRight w:val="0"/>
      <w:marTop w:val="0"/>
      <w:marBottom w:val="0"/>
      <w:divBdr>
        <w:top w:val="none" w:sz="0" w:space="0" w:color="auto"/>
        <w:left w:val="none" w:sz="0" w:space="0" w:color="auto"/>
        <w:bottom w:val="none" w:sz="0" w:space="0" w:color="auto"/>
        <w:right w:val="none" w:sz="0" w:space="0" w:color="auto"/>
      </w:divBdr>
    </w:div>
    <w:div w:id="766584201">
      <w:bodyDiv w:val="1"/>
      <w:marLeft w:val="0"/>
      <w:marRight w:val="0"/>
      <w:marTop w:val="0"/>
      <w:marBottom w:val="0"/>
      <w:divBdr>
        <w:top w:val="none" w:sz="0" w:space="0" w:color="auto"/>
        <w:left w:val="none" w:sz="0" w:space="0" w:color="auto"/>
        <w:bottom w:val="none" w:sz="0" w:space="0" w:color="auto"/>
        <w:right w:val="none" w:sz="0" w:space="0" w:color="auto"/>
      </w:divBdr>
    </w:div>
    <w:div w:id="785122855">
      <w:bodyDiv w:val="1"/>
      <w:marLeft w:val="0"/>
      <w:marRight w:val="0"/>
      <w:marTop w:val="0"/>
      <w:marBottom w:val="0"/>
      <w:divBdr>
        <w:top w:val="none" w:sz="0" w:space="0" w:color="auto"/>
        <w:left w:val="none" w:sz="0" w:space="0" w:color="auto"/>
        <w:bottom w:val="none" w:sz="0" w:space="0" w:color="auto"/>
        <w:right w:val="none" w:sz="0" w:space="0" w:color="auto"/>
      </w:divBdr>
    </w:div>
    <w:div w:id="787358475">
      <w:bodyDiv w:val="1"/>
      <w:marLeft w:val="0"/>
      <w:marRight w:val="0"/>
      <w:marTop w:val="0"/>
      <w:marBottom w:val="0"/>
      <w:divBdr>
        <w:top w:val="none" w:sz="0" w:space="0" w:color="auto"/>
        <w:left w:val="none" w:sz="0" w:space="0" w:color="auto"/>
        <w:bottom w:val="none" w:sz="0" w:space="0" w:color="auto"/>
        <w:right w:val="none" w:sz="0" w:space="0" w:color="auto"/>
      </w:divBdr>
    </w:div>
    <w:div w:id="833060563">
      <w:bodyDiv w:val="1"/>
      <w:marLeft w:val="0"/>
      <w:marRight w:val="0"/>
      <w:marTop w:val="0"/>
      <w:marBottom w:val="0"/>
      <w:divBdr>
        <w:top w:val="none" w:sz="0" w:space="0" w:color="auto"/>
        <w:left w:val="none" w:sz="0" w:space="0" w:color="auto"/>
        <w:bottom w:val="none" w:sz="0" w:space="0" w:color="auto"/>
        <w:right w:val="none" w:sz="0" w:space="0" w:color="auto"/>
      </w:divBdr>
    </w:div>
    <w:div w:id="833490909">
      <w:bodyDiv w:val="1"/>
      <w:marLeft w:val="0"/>
      <w:marRight w:val="0"/>
      <w:marTop w:val="0"/>
      <w:marBottom w:val="0"/>
      <w:divBdr>
        <w:top w:val="none" w:sz="0" w:space="0" w:color="auto"/>
        <w:left w:val="none" w:sz="0" w:space="0" w:color="auto"/>
        <w:bottom w:val="none" w:sz="0" w:space="0" w:color="auto"/>
        <w:right w:val="none" w:sz="0" w:space="0" w:color="auto"/>
      </w:divBdr>
    </w:div>
    <w:div w:id="835877167">
      <w:bodyDiv w:val="1"/>
      <w:marLeft w:val="0"/>
      <w:marRight w:val="0"/>
      <w:marTop w:val="0"/>
      <w:marBottom w:val="0"/>
      <w:divBdr>
        <w:top w:val="none" w:sz="0" w:space="0" w:color="auto"/>
        <w:left w:val="none" w:sz="0" w:space="0" w:color="auto"/>
        <w:bottom w:val="none" w:sz="0" w:space="0" w:color="auto"/>
        <w:right w:val="none" w:sz="0" w:space="0" w:color="auto"/>
      </w:divBdr>
    </w:div>
    <w:div w:id="844711783">
      <w:bodyDiv w:val="1"/>
      <w:marLeft w:val="0"/>
      <w:marRight w:val="0"/>
      <w:marTop w:val="0"/>
      <w:marBottom w:val="0"/>
      <w:divBdr>
        <w:top w:val="none" w:sz="0" w:space="0" w:color="auto"/>
        <w:left w:val="none" w:sz="0" w:space="0" w:color="auto"/>
        <w:bottom w:val="none" w:sz="0" w:space="0" w:color="auto"/>
        <w:right w:val="none" w:sz="0" w:space="0" w:color="auto"/>
      </w:divBdr>
    </w:div>
    <w:div w:id="891307052">
      <w:bodyDiv w:val="1"/>
      <w:marLeft w:val="0"/>
      <w:marRight w:val="0"/>
      <w:marTop w:val="0"/>
      <w:marBottom w:val="0"/>
      <w:divBdr>
        <w:top w:val="none" w:sz="0" w:space="0" w:color="auto"/>
        <w:left w:val="none" w:sz="0" w:space="0" w:color="auto"/>
        <w:bottom w:val="none" w:sz="0" w:space="0" w:color="auto"/>
        <w:right w:val="none" w:sz="0" w:space="0" w:color="auto"/>
      </w:divBdr>
    </w:div>
    <w:div w:id="905796398">
      <w:bodyDiv w:val="1"/>
      <w:marLeft w:val="0"/>
      <w:marRight w:val="0"/>
      <w:marTop w:val="0"/>
      <w:marBottom w:val="0"/>
      <w:divBdr>
        <w:top w:val="none" w:sz="0" w:space="0" w:color="auto"/>
        <w:left w:val="none" w:sz="0" w:space="0" w:color="auto"/>
        <w:bottom w:val="none" w:sz="0" w:space="0" w:color="auto"/>
        <w:right w:val="none" w:sz="0" w:space="0" w:color="auto"/>
      </w:divBdr>
    </w:div>
    <w:div w:id="910891420">
      <w:bodyDiv w:val="1"/>
      <w:marLeft w:val="0"/>
      <w:marRight w:val="0"/>
      <w:marTop w:val="0"/>
      <w:marBottom w:val="0"/>
      <w:divBdr>
        <w:top w:val="none" w:sz="0" w:space="0" w:color="auto"/>
        <w:left w:val="none" w:sz="0" w:space="0" w:color="auto"/>
        <w:bottom w:val="none" w:sz="0" w:space="0" w:color="auto"/>
        <w:right w:val="none" w:sz="0" w:space="0" w:color="auto"/>
      </w:divBdr>
    </w:div>
    <w:div w:id="933710034">
      <w:bodyDiv w:val="1"/>
      <w:marLeft w:val="0"/>
      <w:marRight w:val="0"/>
      <w:marTop w:val="0"/>
      <w:marBottom w:val="0"/>
      <w:divBdr>
        <w:top w:val="none" w:sz="0" w:space="0" w:color="auto"/>
        <w:left w:val="none" w:sz="0" w:space="0" w:color="auto"/>
        <w:bottom w:val="none" w:sz="0" w:space="0" w:color="auto"/>
        <w:right w:val="none" w:sz="0" w:space="0" w:color="auto"/>
      </w:divBdr>
    </w:div>
    <w:div w:id="935408874">
      <w:bodyDiv w:val="1"/>
      <w:marLeft w:val="0"/>
      <w:marRight w:val="0"/>
      <w:marTop w:val="0"/>
      <w:marBottom w:val="0"/>
      <w:divBdr>
        <w:top w:val="none" w:sz="0" w:space="0" w:color="auto"/>
        <w:left w:val="none" w:sz="0" w:space="0" w:color="auto"/>
        <w:bottom w:val="none" w:sz="0" w:space="0" w:color="auto"/>
        <w:right w:val="none" w:sz="0" w:space="0" w:color="auto"/>
      </w:divBdr>
    </w:div>
    <w:div w:id="961419651">
      <w:bodyDiv w:val="1"/>
      <w:marLeft w:val="0"/>
      <w:marRight w:val="0"/>
      <w:marTop w:val="0"/>
      <w:marBottom w:val="0"/>
      <w:divBdr>
        <w:top w:val="none" w:sz="0" w:space="0" w:color="auto"/>
        <w:left w:val="none" w:sz="0" w:space="0" w:color="auto"/>
        <w:bottom w:val="none" w:sz="0" w:space="0" w:color="auto"/>
        <w:right w:val="none" w:sz="0" w:space="0" w:color="auto"/>
      </w:divBdr>
    </w:div>
    <w:div w:id="972515124">
      <w:bodyDiv w:val="1"/>
      <w:marLeft w:val="0"/>
      <w:marRight w:val="0"/>
      <w:marTop w:val="0"/>
      <w:marBottom w:val="0"/>
      <w:divBdr>
        <w:top w:val="none" w:sz="0" w:space="0" w:color="auto"/>
        <w:left w:val="none" w:sz="0" w:space="0" w:color="auto"/>
        <w:bottom w:val="none" w:sz="0" w:space="0" w:color="auto"/>
        <w:right w:val="none" w:sz="0" w:space="0" w:color="auto"/>
      </w:divBdr>
    </w:div>
    <w:div w:id="993677634">
      <w:bodyDiv w:val="1"/>
      <w:marLeft w:val="0"/>
      <w:marRight w:val="0"/>
      <w:marTop w:val="0"/>
      <w:marBottom w:val="0"/>
      <w:divBdr>
        <w:top w:val="none" w:sz="0" w:space="0" w:color="auto"/>
        <w:left w:val="none" w:sz="0" w:space="0" w:color="auto"/>
        <w:bottom w:val="none" w:sz="0" w:space="0" w:color="auto"/>
        <w:right w:val="none" w:sz="0" w:space="0" w:color="auto"/>
      </w:divBdr>
    </w:div>
    <w:div w:id="1006589444">
      <w:bodyDiv w:val="1"/>
      <w:marLeft w:val="0"/>
      <w:marRight w:val="0"/>
      <w:marTop w:val="0"/>
      <w:marBottom w:val="0"/>
      <w:divBdr>
        <w:top w:val="none" w:sz="0" w:space="0" w:color="auto"/>
        <w:left w:val="none" w:sz="0" w:space="0" w:color="auto"/>
        <w:bottom w:val="none" w:sz="0" w:space="0" w:color="auto"/>
        <w:right w:val="none" w:sz="0" w:space="0" w:color="auto"/>
      </w:divBdr>
    </w:div>
    <w:div w:id="1013072495">
      <w:bodyDiv w:val="1"/>
      <w:marLeft w:val="0"/>
      <w:marRight w:val="0"/>
      <w:marTop w:val="0"/>
      <w:marBottom w:val="0"/>
      <w:divBdr>
        <w:top w:val="none" w:sz="0" w:space="0" w:color="auto"/>
        <w:left w:val="none" w:sz="0" w:space="0" w:color="auto"/>
        <w:bottom w:val="none" w:sz="0" w:space="0" w:color="auto"/>
        <w:right w:val="none" w:sz="0" w:space="0" w:color="auto"/>
      </w:divBdr>
    </w:div>
    <w:div w:id="1014191242">
      <w:bodyDiv w:val="1"/>
      <w:marLeft w:val="0"/>
      <w:marRight w:val="0"/>
      <w:marTop w:val="0"/>
      <w:marBottom w:val="0"/>
      <w:divBdr>
        <w:top w:val="none" w:sz="0" w:space="0" w:color="auto"/>
        <w:left w:val="none" w:sz="0" w:space="0" w:color="auto"/>
        <w:bottom w:val="none" w:sz="0" w:space="0" w:color="auto"/>
        <w:right w:val="none" w:sz="0" w:space="0" w:color="auto"/>
      </w:divBdr>
    </w:div>
    <w:div w:id="1039016149">
      <w:bodyDiv w:val="1"/>
      <w:marLeft w:val="0"/>
      <w:marRight w:val="0"/>
      <w:marTop w:val="0"/>
      <w:marBottom w:val="0"/>
      <w:divBdr>
        <w:top w:val="none" w:sz="0" w:space="0" w:color="auto"/>
        <w:left w:val="none" w:sz="0" w:space="0" w:color="auto"/>
        <w:bottom w:val="none" w:sz="0" w:space="0" w:color="auto"/>
        <w:right w:val="none" w:sz="0" w:space="0" w:color="auto"/>
      </w:divBdr>
    </w:div>
    <w:div w:id="1040595245">
      <w:bodyDiv w:val="1"/>
      <w:marLeft w:val="0"/>
      <w:marRight w:val="0"/>
      <w:marTop w:val="0"/>
      <w:marBottom w:val="0"/>
      <w:divBdr>
        <w:top w:val="none" w:sz="0" w:space="0" w:color="auto"/>
        <w:left w:val="none" w:sz="0" w:space="0" w:color="auto"/>
        <w:bottom w:val="none" w:sz="0" w:space="0" w:color="auto"/>
        <w:right w:val="none" w:sz="0" w:space="0" w:color="auto"/>
      </w:divBdr>
    </w:div>
    <w:div w:id="1078792876">
      <w:bodyDiv w:val="1"/>
      <w:marLeft w:val="0"/>
      <w:marRight w:val="0"/>
      <w:marTop w:val="0"/>
      <w:marBottom w:val="0"/>
      <w:divBdr>
        <w:top w:val="none" w:sz="0" w:space="0" w:color="auto"/>
        <w:left w:val="none" w:sz="0" w:space="0" w:color="auto"/>
        <w:bottom w:val="none" w:sz="0" w:space="0" w:color="auto"/>
        <w:right w:val="none" w:sz="0" w:space="0" w:color="auto"/>
      </w:divBdr>
    </w:div>
    <w:div w:id="1079711997">
      <w:bodyDiv w:val="1"/>
      <w:marLeft w:val="0"/>
      <w:marRight w:val="0"/>
      <w:marTop w:val="0"/>
      <w:marBottom w:val="0"/>
      <w:divBdr>
        <w:top w:val="none" w:sz="0" w:space="0" w:color="auto"/>
        <w:left w:val="none" w:sz="0" w:space="0" w:color="auto"/>
        <w:bottom w:val="none" w:sz="0" w:space="0" w:color="auto"/>
        <w:right w:val="none" w:sz="0" w:space="0" w:color="auto"/>
      </w:divBdr>
    </w:div>
    <w:div w:id="1081293531">
      <w:bodyDiv w:val="1"/>
      <w:marLeft w:val="0"/>
      <w:marRight w:val="0"/>
      <w:marTop w:val="0"/>
      <w:marBottom w:val="0"/>
      <w:divBdr>
        <w:top w:val="none" w:sz="0" w:space="0" w:color="auto"/>
        <w:left w:val="none" w:sz="0" w:space="0" w:color="auto"/>
        <w:bottom w:val="none" w:sz="0" w:space="0" w:color="auto"/>
        <w:right w:val="none" w:sz="0" w:space="0" w:color="auto"/>
      </w:divBdr>
    </w:div>
    <w:div w:id="1087918053">
      <w:bodyDiv w:val="1"/>
      <w:marLeft w:val="0"/>
      <w:marRight w:val="0"/>
      <w:marTop w:val="0"/>
      <w:marBottom w:val="0"/>
      <w:divBdr>
        <w:top w:val="none" w:sz="0" w:space="0" w:color="auto"/>
        <w:left w:val="none" w:sz="0" w:space="0" w:color="auto"/>
        <w:bottom w:val="none" w:sz="0" w:space="0" w:color="auto"/>
        <w:right w:val="none" w:sz="0" w:space="0" w:color="auto"/>
      </w:divBdr>
    </w:div>
    <w:div w:id="1123156483">
      <w:bodyDiv w:val="1"/>
      <w:marLeft w:val="0"/>
      <w:marRight w:val="0"/>
      <w:marTop w:val="0"/>
      <w:marBottom w:val="0"/>
      <w:divBdr>
        <w:top w:val="none" w:sz="0" w:space="0" w:color="auto"/>
        <w:left w:val="none" w:sz="0" w:space="0" w:color="auto"/>
        <w:bottom w:val="none" w:sz="0" w:space="0" w:color="auto"/>
        <w:right w:val="none" w:sz="0" w:space="0" w:color="auto"/>
      </w:divBdr>
    </w:div>
    <w:div w:id="1123960141">
      <w:bodyDiv w:val="1"/>
      <w:marLeft w:val="0"/>
      <w:marRight w:val="0"/>
      <w:marTop w:val="0"/>
      <w:marBottom w:val="0"/>
      <w:divBdr>
        <w:top w:val="none" w:sz="0" w:space="0" w:color="auto"/>
        <w:left w:val="none" w:sz="0" w:space="0" w:color="auto"/>
        <w:bottom w:val="none" w:sz="0" w:space="0" w:color="auto"/>
        <w:right w:val="none" w:sz="0" w:space="0" w:color="auto"/>
      </w:divBdr>
    </w:div>
    <w:div w:id="1124496374">
      <w:bodyDiv w:val="1"/>
      <w:marLeft w:val="0"/>
      <w:marRight w:val="0"/>
      <w:marTop w:val="0"/>
      <w:marBottom w:val="0"/>
      <w:divBdr>
        <w:top w:val="none" w:sz="0" w:space="0" w:color="auto"/>
        <w:left w:val="none" w:sz="0" w:space="0" w:color="auto"/>
        <w:bottom w:val="none" w:sz="0" w:space="0" w:color="auto"/>
        <w:right w:val="none" w:sz="0" w:space="0" w:color="auto"/>
      </w:divBdr>
    </w:div>
    <w:div w:id="1133912522">
      <w:bodyDiv w:val="1"/>
      <w:marLeft w:val="0"/>
      <w:marRight w:val="0"/>
      <w:marTop w:val="0"/>
      <w:marBottom w:val="0"/>
      <w:divBdr>
        <w:top w:val="none" w:sz="0" w:space="0" w:color="auto"/>
        <w:left w:val="none" w:sz="0" w:space="0" w:color="auto"/>
        <w:bottom w:val="none" w:sz="0" w:space="0" w:color="auto"/>
        <w:right w:val="none" w:sz="0" w:space="0" w:color="auto"/>
      </w:divBdr>
    </w:div>
    <w:div w:id="1138650015">
      <w:bodyDiv w:val="1"/>
      <w:marLeft w:val="0"/>
      <w:marRight w:val="0"/>
      <w:marTop w:val="0"/>
      <w:marBottom w:val="0"/>
      <w:divBdr>
        <w:top w:val="none" w:sz="0" w:space="0" w:color="auto"/>
        <w:left w:val="none" w:sz="0" w:space="0" w:color="auto"/>
        <w:bottom w:val="none" w:sz="0" w:space="0" w:color="auto"/>
        <w:right w:val="none" w:sz="0" w:space="0" w:color="auto"/>
      </w:divBdr>
    </w:div>
    <w:div w:id="1144659721">
      <w:bodyDiv w:val="1"/>
      <w:marLeft w:val="0"/>
      <w:marRight w:val="0"/>
      <w:marTop w:val="0"/>
      <w:marBottom w:val="0"/>
      <w:divBdr>
        <w:top w:val="none" w:sz="0" w:space="0" w:color="auto"/>
        <w:left w:val="none" w:sz="0" w:space="0" w:color="auto"/>
        <w:bottom w:val="none" w:sz="0" w:space="0" w:color="auto"/>
        <w:right w:val="none" w:sz="0" w:space="0" w:color="auto"/>
      </w:divBdr>
    </w:div>
    <w:div w:id="1197936227">
      <w:bodyDiv w:val="1"/>
      <w:marLeft w:val="0"/>
      <w:marRight w:val="0"/>
      <w:marTop w:val="0"/>
      <w:marBottom w:val="0"/>
      <w:divBdr>
        <w:top w:val="none" w:sz="0" w:space="0" w:color="auto"/>
        <w:left w:val="none" w:sz="0" w:space="0" w:color="auto"/>
        <w:bottom w:val="none" w:sz="0" w:space="0" w:color="auto"/>
        <w:right w:val="none" w:sz="0" w:space="0" w:color="auto"/>
      </w:divBdr>
    </w:div>
    <w:div w:id="1208565609">
      <w:bodyDiv w:val="1"/>
      <w:marLeft w:val="0"/>
      <w:marRight w:val="0"/>
      <w:marTop w:val="0"/>
      <w:marBottom w:val="0"/>
      <w:divBdr>
        <w:top w:val="none" w:sz="0" w:space="0" w:color="auto"/>
        <w:left w:val="none" w:sz="0" w:space="0" w:color="auto"/>
        <w:bottom w:val="none" w:sz="0" w:space="0" w:color="auto"/>
        <w:right w:val="none" w:sz="0" w:space="0" w:color="auto"/>
      </w:divBdr>
    </w:div>
    <w:div w:id="1262641935">
      <w:bodyDiv w:val="1"/>
      <w:marLeft w:val="0"/>
      <w:marRight w:val="0"/>
      <w:marTop w:val="0"/>
      <w:marBottom w:val="0"/>
      <w:divBdr>
        <w:top w:val="none" w:sz="0" w:space="0" w:color="auto"/>
        <w:left w:val="none" w:sz="0" w:space="0" w:color="auto"/>
        <w:bottom w:val="none" w:sz="0" w:space="0" w:color="auto"/>
        <w:right w:val="none" w:sz="0" w:space="0" w:color="auto"/>
      </w:divBdr>
    </w:div>
    <w:div w:id="1273513292">
      <w:bodyDiv w:val="1"/>
      <w:marLeft w:val="0"/>
      <w:marRight w:val="0"/>
      <w:marTop w:val="0"/>
      <w:marBottom w:val="0"/>
      <w:divBdr>
        <w:top w:val="none" w:sz="0" w:space="0" w:color="auto"/>
        <w:left w:val="none" w:sz="0" w:space="0" w:color="auto"/>
        <w:bottom w:val="none" w:sz="0" w:space="0" w:color="auto"/>
        <w:right w:val="none" w:sz="0" w:space="0" w:color="auto"/>
      </w:divBdr>
    </w:div>
    <w:div w:id="1276055078">
      <w:bodyDiv w:val="1"/>
      <w:marLeft w:val="0"/>
      <w:marRight w:val="0"/>
      <w:marTop w:val="0"/>
      <w:marBottom w:val="0"/>
      <w:divBdr>
        <w:top w:val="none" w:sz="0" w:space="0" w:color="auto"/>
        <w:left w:val="none" w:sz="0" w:space="0" w:color="auto"/>
        <w:bottom w:val="none" w:sz="0" w:space="0" w:color="auto"/>
        <w:right w:val="none" w:sz="0" w:space="0" w:color="auto"/>
      </w:divBdr>
    </w:div>
    <w:div w:id="1289626703">
      <w:bodyDiv w:val="1"/>
      <w:marLeft w:val="0"/>
      <w:marRight w:val="0"/>
      <w:marTop w:val="0"/>
      <w:marBottom w:val="0"/>
      <w:divBdr>
        <w:top w:val="none" w:sz="0" w:space="0" w:color="auto"/>
        <w:left w:val="none" w:sz="0" w:space="0" w:color="auto"/>
        <w:bottom w:val="none" w:sz="0" w:space="0" w:color="auto"/>
        <w:right w:val="none" w:sz="0" w:space="0" w:color="auto"/>
      </w:divBdr>
    </w:div>
    <w:div w:id="1307322740">
      <w:bodyDiv w:val="1"/>
      <w:marLeft w:val="0"/>
      <w:marRight w:val="0"/>
      <w:marTop w:val="0"/>
      <w:marBottom w:val="0"/>
      <w:divBdr>
        <w:top w:val="none" w:sz="0" w:space="0" w:color="auto"/>
        <w:left w:val="none" w:sz="0" w:space="0" w:color="auto"/>
        <w:bottom w:val="none" w:sz="0" w:space="0" w:color="auto"/>
        <w:right w:val="none" w:sz="0" w:space="0" w:color="auto"/>
      </w:divBdr>
    </w:div>
    <w:div w:id="1315790436">
      <w:bodyDiv w:val="1"/>
      <w:marLeft w:val="0"/>
      <w:marRight w:val="0"/>
      <w:marTop w:val="0"/>
      <w:marBottom w:val="0"/>
      <w:divBdr>
        <w:top w:val="none" w:sz="0" w:space="0" w:color="auto"/>
        <w:left w:val="none" w:sz="0" w:space="0" w:color="auto"/>
        <w:bottom w:val="none" w:sz="0" w:space="0" w:color="auto"/>
        <w:right w:val="none" w:sz="0" w:space="0" w:color="auto"/>
      </w:divBdr>
    </w:div>
    <w:div w:id="1318412392">
      <w:bodyDiv w:val="1"/>
      <w:marLeft w:val="0"/>
      <w:marRight w:val="0"/>
      <w:marTop w:val="0"/>
      <w:marBottom w:val="0"/>
      <w:divBdr>
        <w:top w:val="none" w:sz="0" w:space="0" w:color="auto"/>
        <w:left w:val="none" w:sz="0" w:space="0" w:color="auto"/>
        <w:bottom w:val="none" w:sz="0" w:space="0" w:color="auto"/>
        <w:right w:val="none" w:sz="0" w:space="0" w:color="auto"/>
      </w:divBdr>
    </w:div>
    <w:div w:id="1342969583">
      <w:bodyDiv w:val="1"/>
      <w:marLeft w:val="0"/>
      <w:marRight w:val="0"/>
      <w:marTop w:val="0"/>
      <w:marBottom w:val="0"/>
      <w:divBdr>
        <w:top w:val="none" w:sz="0" w:space="0" w:color="auto"/>
        <w:left w:val="none" w:sz="0" w:space="0" w:color="auto"/>
        <w:bottom w:val="none" w:sz="0" w:space="0" w:color="auto"/>
        <w:right w:val="none" w:sz="0" w:space="0" w:color="auto"/>
      </w:divBdr>
    </w:div>
    <w:div w:id="1344820891">
      <w:bodyDiv w:val="1"/>
      <w:marLeft w:val="0"/>
      <w:marRight w:val="0"/>
      <w:marTop w:val="0"/>
      <w:marBottom w:val="0"/>
      <w:divBdr>
        <w:top w:val="none" w:sz="0" w:space="0" w:color="auto"/>
        <w:left w:val="none" w:sz="0" w:space="0" w:color="auto"/>
        <w:bottom w:val="none" w:sz="0" w:space="0" w:color="auto"/>
        <w:right w:val="none" w:sz="0" w:space="0" w:color="auto"/>
      </w:divBdr>
    </w:div>
    <w:div w:id="1346595868">
      <w:bodyDiv w:val="1"/>
      <w:marLeft w:val="0"/>
      <w:marRight w:val="0"/>
      <w:marTop w:val="0"/>
      <w:marBottom w:val="0"/>
      <w:divBdr>
        <w:top w:val="none" w:sz="0" w:space="0" w:color="auto"/>
        <w:left w:val="none" w:sz="0" w:space="0" w:color="auto"/>
        <w:bottom w:val="none" w:sz="0" w:space="0" w:color="auto"/>
        <w:right w:val="none" w:sz="0" w:space="0" w:color="auto"/>
      </w:divBdr>
    </w:div>
    <w:div w:id="1356227200">
      <w:bodyDiv w:val="1"/>
      <w:marLeft w:val="0"/>
      <w:marRight w:val="0"/>
      <w:marTop w:val="0"/>
      <w:marBottom w:val="0"/>
      <w:divBdr>
        <w:top w:val="none" w:sz="0" w:space="0" w:color="auto"/>
        <w:left w:val="none" w:sz="0" w:space="0" w:color="auto"/>
        <w:bottom w:val="none" w:sz="0" w:space="0" w:color="auto"/>
        <w:right w:val="none" w:sz="0" w:space="0" w:color="auto"/>
      </w:divBdr>
    </w:div>
    <w:div w:id="1363701060">
      <w:bodyDiv w:val="1"/>
      <w:marLeft w:val="0"/>
      <w:marRight w:val="0"/>
      <w:marTop w:val="0"/>
      <w:marBottom w:val="0"/>
      <w:divBdr>
        <w:top w:val="none" w:sz="0" w:space="0" w:color="auto"/>
        <w:left w:val="none" w:sz="0" w:space="0" w:color="auto"/>
        <w:bottom w:val="none" w:sz="0" w:space="0" w:color="auto"/>
        <w:right w:val="none" w:sz="0" w:space="0" w:color="auto"/>
      </w:divBdr>
    </w:div>
    <w:div w:id="1369640438">
      <w:bodyDiv w:val="1"/>
      <w:marLeft w:val="0"/>
      <w:marRight w:val="0"/>
      <w:marTop w:val="0"/>
      <w:marBottom w:val="0"/>
      <w:divBdr>
        <w:top w:val="none" w:sz="0" w:space="0" w:color="auto"/>
        <w:left w:val="none" w:sz="0" w:space="0" w:color="auto"/>
        <w:bottom w:val="none" w:sz="0" w:space="0" w:color="auto"/>
        <w:right w:val="none" w:sz="0" w:space="0" w:color="auto"/>
      </w:divBdr>
    </w:div>
    <w:div w:id="1369991408">
      <w:bodyDiv w:val="1"/>
      <w:marLeft w:val="0"/>
      <w:marRight w:val="0"/>
      <w:marTop w:val="0"/>
      <w:marBottom w:val="0"/>
      <w:divBdr>
        <w:top w:val="none" w:sz="0" w:space="0" w:color="auto"/>
        <w:left w:val="none" w:sz="0" w:space="0" w:color="auto"/>
        <w:bottom w:val="none" w:sz="0" w:space="0" w:color="auto"/>
        <w:right w:val="none" w:sz="0" w:space="0" w:color="auto"/>
      </w:divBdr>
    </w:div>
    <w:div w:id="1390423899">
      <w:bodyDiv w:val="1"/>
      <w:marLeft w:val="0"/>
      <w:marRight w:val="0"/>
      <w:marTop w:val="0"/>
      <w:marBottom w:val="0"/>
      <w:divBdr>
        <w:top w:val="none" w:sz="0" w:space="0" w:color="auto"/>
        <w:left w:val="none" w:sz="0" w:space="0" w:color="auto"/>
        <w:bottom w:val="none" w:sz="0" w:space="0" w:color="auto"/>
        <w:right w:val="none" w:sz="0" w:space="0" w:color="auto"/>
      </w:divBdr>
    </w:div>
    <w:div w:id="1392188471">
      <w:bodyDiv w:val="1"/>
      <w:marLeft w:val="0"/>
      <w:marRight w:val="0"/>
      <w:marTop w:val="0"/>
      <w:marBottom w:val="0"/>
      <w:divBdr>
        <w:top w:val="none" w:sz="0" w:space="0" w:color="auto"/>
        <w:left w:val="none" w:sz="0" w:space="0" w:color="auto"/>
        <w:bottom w:val="none" w:sz="0" w:space="0" w:color="auto"/>
        <w:right w:val="none" w:sz="0" w:space="0" w:color="auto"/>
      </w:divBdr>
    </w:div>
    <w:div w:id="1419060641">
      <w:bodyDiv w:val="1"/>
      <w:marLeft w:val="0"/>
      <w:marRight w:val="0"/>
      <w:marTop w:val="0"/>
      <w:marBottom w:val="0"/>
      <w:divBdr>
        <w:top w:val="none" w:sz="0" w:space="0" w:color="auto"/>
        <w:left w:val="none" w:sz="0" w:space="0" w:color="auto"/>
        <w:bottom w:val="none" w:sz="0" w:space="0" w:color="auto"/>
        <w:right w:val="none" w:sz="0" w:space="0" w:color="auto"/>
      </w:divBdr>
    </w:div>
    <w:div w:id="1424719287">
      <w:bodyDiv w:val="1"/>
      <w:marLeft w:val="0"/>
      <w:marRight w:val="0"/>
      <w:marTop w:val="0"/>
      <w:marBottom w:val="0"/>
      <w:divBdr>
        <w:top w:val="none" w:sz="0" w:space="0" w:color="auto"/>
        <w:left w:val="none" w:sz="0" w:space="0" w:color="auto"/>
        <w:bottom w:val="none" w:sz="0" w:space="0" w:color="auto"/>
        <w:right w:val="none" w:sz="0" w:space="0" w:color="auto"/>
      </w:divBdr>
    </w:div>
    <w:div w:id="1437672566">
      <w:bodyDiv w:val="1"/>
      <w:marLeft w:val="0"/>
      <w:marRight w:val="0"/>
      <w:marTop w:val="0"/>
      <w:marBottom w:val="0"/>
      <w:divBdr>
        <w:top w:val="none" w:sz="0" w:space="0" w:color="auto"/>
        <w:left w:val="none" w:sz="0" w:space="0" w:color="auto"/>
        <w:bottom w:val="none" w:sz="0" w:space="0" w:color="auto"/>
        <w:right w:val="none" w:sz="0" w:space="0" w:color="auto"/>
      </w:divBdr>
    </w:div>
    <w:div w:id="1444303104">
      <w:bodyDiv w:val="1"/>
      <w:marLeft w:val="0"/>
      <w:marRight w:val="0"/>
      <w:marTop w:val="0"/>
      <w:marBottom w:val="0"/>
      <w:divBdr>
        <w:top w:val="none" w:sz="0" w:space="0" w:color="auto"/>
        <w:left w:val="none" w:sz="0" w:space="0" w:color="auto"/>
        <w:bottom w:val="none" w:sz="0" w:space="0" w:color="auto"/>
        <w:right w:val="none" w:sz="0" w:space="0" w:color="auto"/>
      </w:divBdr>
    </w:div>
    <w:div w:id="1456559024">
      <w:bodyDiv w:val="1"/>
      <w:marLeft w:val="0"/>
      <w:marRight w:val="0"/>
      <w:marTop w:val="0"/>
      <w:marBottom w:val="0"/>
      <w:divBdr>
        <w:top w:val="none" w:sz="0" w:space="0" w:color="auto"/>
        <w:left w:val="none" w:sz="0" w:space="0" w:color="auto"/>
        <w:bottom w:val="none" w:sz="0" w:space="0" w:color="auto"/>
        <w:right w:val="none" w:sz="0" w:space="0" w:color="auto"/>
      </w:divBdr>
    </w:div>
    <w:div w:id="1458376465">
      <w:bodyDiv w:val="1"/>
      <w:marLeft w:val="0"/>
      <w:marRight w:val="0"/>
      <w:marTop w:val="0"/>
      <w:marBottom w:val="0"/>
      <w:divBdr>
        <w:top w:val="none" w:sz="0" w:space="0" w:color="auto"/>
        <w:left w:val="none" w:sz="0" w:space="0" w:color="auto"/>
        <w:bottom w:val="none" w:sz="0" w:space="0" w:color="auto"/>
        <w:right w:val="none" w:sz="0" w:space="0" w:color="auto"/>
      </w:divBdr>
    </w:div>
    <w:div w:id="1467897231">
      <w:bodyDiv w:val="1"/>
      <w:marLeft w:val="0"/>
      <w:marRight w:val="0"/>
      <w:marTop w:val="0"/>
      <w:marBottom w:val="0"/>
      <w:divBdr>
        <w:top w:val="none" w:sz="0" w:space="0" w:color="auto"/>
        <w:left w:val="none" w:sz="0" w:space="0" w:color="auto"/>
        <w:bottom w:val="none" w:sz="0" w:space="0" w:color="auto"/>
        <w:right w:val="none" w:sz="0" w:space="0" w:color="auto"/>
      </w:divBdr>
    </w:div>
    <w:div w:id="1468284246">
      <w:bodyDiv w:val="1"/>
      <w:marLeft w:val="0"/>
      <w:marRight w:val="0"/>
      <w:marTop w:val="0"/>
      <w:marBottom w:val="0"/>
      <w:divBdr>
        <w:top w:val="none" w:sz="0" w:space="0" w:color="auto"/>
        <w:left w:val="none" w:sz="0" w:space="0" w:color="auto"/>
        <w:bottom w:val="none" w:sz="0" w:space="0" w:color="auto"/>
        <w:right w:val="none" w:sz="0" w:space="0" w:color="auto"/>
      </w:divBdr>
    </w:div>
    <w:div w:id="1510481197">
      <w:bodyDiv w:val="1"/>
      <w:marLeft w:val="0"/>
      <w:marRight w:val="0"/>
      <w:marTop w:val="0"/>
      <w:marBottom w:val="0"/>
      <w:divBdr>
        <w:top w:val="none" w:sz="0" w:space="0" w:color="auto"/>
        <w:left w:val="none" w:sz="0" w:space="0" w:color="auto"/>
        <w:bottom w:val="none" w:sz="0" w:space="0" w:color="auto"/>
        <w:right w:val="none" w:sz="0" w:space="0" w:color="auto"/>
      </w:divBdr>
    </w:div>
    <w:div w:id="1553804906">
      <w:bodyDiv w:val="1"/>
      <w:marLeft w:val="0"/>
      <w:marRight w:val="0"/>
      <w:marTop w:val="0"/>
      <w:marBottom w:val="0"/>
      <w:divBdr>
        <w:top w:val="none" w:sz="0" w:space="0" w:color="auto"/>
        <w:left w:val="none" w:sz="0" w:space="0" w:color="auto"/>
        <w:bottom w:val="none" w:sz="0" w:space="0" w:color="auto"/>
        <w:right w:val="none" w:sz="0" w:space="0" w:color="auto"/>
      </w:divBdr>
    </w:div>
    <w:div w:id="1554388734">
      <w:bodyDiv w:val="1"/>
      <w:marLeft w:val="0"/>
      <w:marRight w:val="0"/>
      <w:marTop w:val="0"/>
      <w:marBottom w:val="0"/>
      <w:divBdr>
        <w:top w:val="none" w:sz="0" w:space="0" w:color="auto"/>
        <w:left w:val="none" w:sz="0" w:space="0" w:color="auto"/>
        <w:bottom w:val="none" w:sz="0" w:space="0" w:color="auto"/>
        <w:right w:val="none" w:sz="0" w:space="0" w:color="auto"/>
      </w:divBdr>
    </w:div>
    <w:div w:id="1563103194">
      <w:bodyDiv w:val="1"/>
      <w:marLeft w:val="0"/>
      <w:marRight w:val="0"/>
      <w:marTop w:val="0"/>
      <w:marBottom w:val="0"/>
      <w:divBdr>
        <w:top w:val="none" w:sz="0" w:space="0" w:color="auto"/>
        <w:left w:val="none" w:sz="0" w:space="0" w:color="auto"/>
        <w:bottom w:val="none" w:sz="0" w:space="0" w:color="auto"/>
        <w:right w:val="none" w:sz="0" w:space="0" w:color="auto"/>
      </w:divBdr>
    </w:div>
    <w:div w:id="1563981759">
      <w:bodyDiv w:val="1"/>
      <w:marLeft w:val="0"/>
      <w:marRight w:val="0"/>
      <w:marTop w:val="0"/>
      <w:marBottom w:val="0"/>
      <w:divBdr>
        <w:top w:val="none" w:sz="0" w:space="0" w:color="auto"/>
        <w:left w:val="none" w:sz="0" w:space="0" w:color="auto"/>
        <w:bottom w:val="none" w:sz="0" w:space="0" w:color="auto"/>
        <w:right w:val="none" w:sz="0" w:space="0" w:color="auto"/>
      </w:divBdr>
    </w:div>
    <w:div w:id="1601792262">
      <w:bodyDiv w:val="1"/>
      <w:marLeft w:val="0"/>
      <w:marRight w:val="0"/>
      <w:marTop w:val="0"/>
      <w:marBottom w:val="0"/>
      <w:divBdr>
        <w:top w:val="none" w:sz="0" w:space="0" w:color="auto"/>
        <w:left w:val="none" w:sz="0" w:space="0" w:color="auto"/>
        <w:bottom w:val="none" w:sz="0" w:space="0" w:color="auto"/>
        <w:right w:val="none" w:sz="0" w:space="0" w:color="auto"/>
      </w:divBdr>
    </w:div>
    <w:div w:id="1604726904">
      <w:bodyDiv w:val="1"/>
      <w:marLeft w:val="0"/>
      <w:marRight w:val="0"/>
      <w:marTop w:val="0"/>
      <w:marBottom w:val="0"/>
      <w:divBdr>
        <w:top w:val="none" w:sz="0" w:space="0" w:color="auto"/>
        <w:left w:val="none" w:sz="0" w:space="0" w:color="auto"/>
        <w:bottom w:val="none" w:sz="0" w:space="0" w:color="auto"/>
        <w:right w:val="none" w:sz="0" w:space="0" w:color="auto"/>
      </w:divBdr>
    </w:div>
    <w:div w:id="1622611503">
      <w:bodyDiv w:val="1"/>
      <w:marLeft w:val="0"/>
      <w:marRight w:val="0"/>
      <w:marTop w:val="0"/>
      <w:marBottom w:val="0"/>
      <w:divBdr>
        <w:top w:val="none" w:sz="0" w:space="0" w:color="auto"/>
        <w:left w:val="none" w:sz="0" w:space="0" w:color="auto"/>
        <w:bottom w:val="none" w:sz="0" w:space="0" w:color="auto"/>
        <w:right w:val="none" w:sz="0" w:space="0" w:color="auto"/>
      </w:divBdr>
    </w:div>
    <w:div w:id="1623539318">
      <w:bodyDiv w:val="1"/>
      <w:marLeft w:val="0"/>
      <w:marRight w:val="0"/>
      <w:marTop w:val="0"/>
      <w:marBottom w:val="0"/>
      <w:divBdr>
        <w:top w:val="none" w:sz="0" w:space="0" w:color="auto"/>
        <w:left w:val="none" w:sz="0" w:space="0" w:color="auto"/>
        <w:bottom w:val="none" w:sz="0" w:space="0" w:color="auto"/>
        <w:right w:val="none" w:sz="0" w:space="0" w:color="auto"/>
      </w:divBdr>
    </w:div>
    <w:div w:id="1631785657">
      <w:bodyDiv w:val="1"/>
      <w:marLeft w:val="0"/>
      <w:marRight w:val="0"/>
      <w:marTop w:val="0"/>
      <w:marBottom w:val="0"/>
      <w:divBdr>
        <w:top w:val="none" w:sz="0" w:space="0" w:color="auto"/>
        <w:left w:val="none" w:sz="0" w:space="0" w:color="auto"/>
        <w:bottom w:val="none" w:sz="0" w:space="0" w:color="auto"/>
        <w:right w:val="none" w:sz="0" w:space="0" w:color="auto"/>
      </w:divBdr>
    </w:div>
    <w:div w:id="1649356488">
      <w:bodyDiv w:val="1"/>
      <w:marLeft w:val="0"/>
      <w:marRight w:val="0"/>
      <w:marTop w:val="0"/>
      <w:marBottom w:val="0"/>
      <w:divBdr>
        <w:top w:val="none" w:sz="0" w:space="0" w:color="auto"/>
        <w:left w:val="none" w:sz="0" w:space="0" w:color="auto"/>
        <w:bottom w:val="none" w:sz="0" w:space="0" w:color="auto"/>
        <w:right w:val="none" w:sz="0" w:space="0" w:color="auto"/>
      </w:divBdr>
    </w:div>
    <w:div w:id="1669092607">
      <w:bodyDiv w:val="1"/>
      <w:marLeft w:val="0"/>
      <w:marRight w:val="0"/>
      <w:marTop w:val="0"/>
      <w:marBottom w:val="0"/>
      <w:divBdr>
        <w:top w:val="none" w:sz="0" w:space="0" w:color="auto"/>
        <w:left w:val="none" w:sz="0" w:space="0" w:color="auto"/>
        <w:bottom w:val="none" w:sz="0" w:space="0" w:color="auto"/>
        <w:right w:val="none" w:sz="0" w:space="0" w:color="auto"/>
      </w:divBdr>
    </w:div>
    <w:div w:id="1686637599">
      <w:bodyDiv w:val="1"/>
      <w:marLeft w:val="0"/>
      <w:marRight w:val="0"/>
      <w:marTop w:val="0"/>
      <w:marBottom w:val="0"/>
      <w:divBdr>
        <w:top w:val="none" w:sz="0" w:space="0" w:color="auto"/>
        <w:left w:val="none" w:sz="0" w:space="0" w:color="auto"/>
        <w:bottom w:val="none" w:sz="0" w:space="0" w:color="auto"/>
        <w:right w:val="none" w:sz="0" w:space="0" w:color="auto"/>
      </w:divBdr>
    </w:div>
    <w:div w:id="1699621860">
      <w:bodyDiv w:val="1"/>
      <w:marLeft w:val="0"/>
      <w:marRight w:val="0"/>
      <w:marTop w:val="0"/>
      <w:marBottom w:val="0"/>
      <w:divBdr>
        <w:top w:val="none" w:sz="0" w:space="0" w:color="auto"/>
        <w:left w:val="none" w:sz="0" w:space="0" w:color="auto"/>
        <w:bottom w:val="none" w:sz="0" w:space="0" w:color="auto"/>
        <w:right w:val="none" w:sz="0" w:space="0" w:color="auto"/>
      </w:divBdr>
    </w:div>
    <w:div w:id="1730692654">
      <w:bodyDiv w:val="1"/>
      <w:marLeft w:val="0"/>
      <w:marRight w:val="0"/>
      <w:marTop w:val="0"/>
      <w:marBottom w:val="0"/>
      <w:divBdr>
        <w:top w:val="none" w:sz="0" w:space="0" w:color="auto"/>
        <w:left w:val="none" w:sz="0" w:space="0" w:color="auto"/>
        <w:bottom w:val="none" w:sz="0" w:space="0" w:color="auto"/>
        <w:right w:val="none" w:sz="0" w:space="0" w:color="auto"/>
      </w:divBdr>
    </w:div>
    <w:div w:id="1758018140">
      <w:bodyDiv w:val="1"/>
      <w:marLeft w:val="0"/>
      <w:marRight w:val="0"/>
      <w:marTop w:val="0"/>
      <w:marBottom w:val="0"/>
      <w:divBdr>
        <w:top w:val="none" w:sz="0" w:space="0" w:color="auto"/>
        <w:left w:val="none" w:sz="0" w:space="0" w:color="auto"/>
        <w:bottom w:val="none" w:sz="0" w:space="0" w:color="auto"/>
        <w:right w:val="none" w:sz="0" w:space="0" w:color="auto"/>
      </w:divBdr>
    </w:div>
    <w:div w:id="1793132105">
      <w:bodyDiv w:val="1"/>
      <w:marLeft w:val="0"/>
      <w:marRight w:val="0"/>
      <w:marTop w:val="0"/>
      <w:marBottom w:val="0"/>
      <w:divBdr>
        <w:top w:val="none" w:sz="0" w:space="0" w:color="auto"/>
        <w:left w:val="none" w:sz="0" w:space="0" w:color="auto"/>
        <w:bottom w:val="none" w:sz="0" w:space="0" w:color="auto"/>
        <w:right w:val="none" w:sz="0" w:space="0" w:color="auto"/>
      </w:divBdr>
    </w:div>
    <w:div w:id="1802453054">
      <w:bodyDiv w:val="1"/>
      <w:marLeft w:val="0"/>
      <w:marRight w:val="0"/>
      <w:marTop w:val="0"/>
      <w:marBottom w:val="0"/>
      <w:divBdr>
        <w:top w:val="none" w:sz="0" w:space="0" w:color="auto"/>
        <w:left w:val="none" w:sz="0" w:space="0" w:color="auto"/>
        <w:bottom w:val="none" w:sz="0" w:space="0" w:color="auto"/>
        <w:right w:val="none" w:sz="0" w:space="0" w:color="auto"/>
      </w:divBdr>
    </w:div>
    <w:div w:id="1803616590">
      <w:bodyDiv w:val="1"/>
      <w:marLeft w:val="0"/>
      <w:marRight w:val="0"/>
      <w:marTop w:val="0"/>
      <w:marBottom w:val="0"/>
      <w:divBdr>
        <w:top w:val="none" w:sz="0" w:space="0" w:color="auto"/>
        <w:left w:val="none" w:sz="0" w:space="0" w:color="auto"/>
        <w:bottom w:val="none" w:sz="0" w:space="0" w:color="auto"/>
        <w:right w:val="none" w:sz="0" w:space="0" w:color="auto"/>
      </w:divBdr>
    </w:div>
    <w:div w:id="1858304027">
      <w:bodyDiv w:val="1"/>
      <w:marLeft w:val="0"/>
      <w:marRight w:val="0"/>
      <w:marTop w:val="0"/>
      <w:marBottom w:val="0"/>
      <w:divBdr>
        <w:top w:val="none" w:sz="0" w:space="0" w:color="auto"/>
        <w:left w:val="none" w:sz="0" w:space="0" w:color="auto"/>
        <w:bottom w:val="none" w:sz="0" w:space="0" w:color="auto"/>
        <w:right w:val="none" w:sz="0" w:space="0" w:color="auto"/>
      </w:divBdr>
    </w:div>
    <w:div w:id="1874808667">
      <w:bodyDiv w:val="1"/>
      <w:marLeft w:val="0"/>
      <w:marRight w:val="0"/>
      <w:marTop w:val="0"/>
      <w:marBottom w:val="0"/>
      <w:divBdr>
        <w:top w:val="none" w:sz="0" w:space="0" w:color="auto"/>
        <w:left w:val="none" w:sz="0" w:space="0" w:color="auto"/>
        <w:bottom w:val="none" w:sz="0" w:space="0" w:color="auto"/>
        <w:right w:val="none" w:sz="0" w:space="0" w:color="auto"/>
      </w:divBdr>
    </w:div>
    <w:div w:id="1879970098">
      <w:bodyDiv w:val="1"/>
      <w:marLeft w:val="0"/>
      <w:marRight w:val="0"/>
      <w:marTop w:val="0"/>
      <w:marBottom w:val="0"/>
      <w:divBdr>
        <w:top w:val="none" w:sz="0" w:space="0" w:color="auto"/>
        <w:left w:val="none" w:sz="0" w:space="0" w:color="auto"/>
        <w:bottom w:val="none" w:sz="0" w:space="0" w:color="auto"/>
        <w:right w:val="none" w:sz="0" w:space="0" w:color="auto"/>
      </w:divBdr>
    </w:div>
    <w:div w:id="1887912682">
      <w:bodyDiv w:val="1"/>
      <w:marLeft w:val="0"/>
      <w:marRight w:val="0"/>
      <w:marTop w:val="0"/>
      <w:marBottom w:val="0"/>
      <w:divBdr>
        <w:top w:val="none" w:sz="0" w:space="0" w:color="auto"/>
        <w:left w:val="none" w:sz="0" w:space="0" w:color="auto"/>
        <w:bottom w:val="none" w:sz="0" w:space="0" w:color="auto"/>
        <w:right w:val="none" w:sz="0" w:space="0" w:color="auto"/>
      </w:divBdr>
    </w:div>
    <w:div w:id="1912500918">
      <w:bodyDiv w:val="1"/>
      <w:marLeft w:val="0"/>
      <w:marRight w:val="0"/>
      <w:marTop w:val="0"/>
      <w:marBottom w:val="0"/>
      <w:divBdr>
        <w:top w:val="none" w:sz="0" w:space="0" w:color="auto"/>
        <w:left w:val="none" w:sz="0" w:space="0" w:color="auto"/>
        <w:bottom w:val="none" w:sz="0" w:space="0" w:color="auto"/>
        <w:right w:val="none" w:sz="0" w:space="0" w:color="auto"/>
      </w:divBdr>
    </w:div>
    <w:div w:id="1917007278">
      <w:bodyDiv w:val="1"/>
      <w:marLeft w:val="0"/>
      <w:marRight w:val="0"/>
      <w:marTop w:val="0"/>
      <w:marBottom w:val="0"/>
      <w:divBdr>
        <w:top w:val="none" w:sz="0" w:space="0" w:color="auto"/>
        <w:left w:val="none" w:sz="0" w:space="0" w:color="auto"/>
        <w:bottom w:val="none" w:sz="0" w:space="0" w:color="auto"/>
        <w:right w:val="none" w:sz="0" w:space="0" w:color="auto"/>
      </w:divBdr>
    </w:div>
    <w:div w:id="1935480532">
      <w:bodyDiv w:val="1"/>
      <w:marLeft w:val="0"/>
      <w:marRight w:val="0"/>
      <w:marTop w:val="0"/>
      <w:marBottom w:val="0"/>
      <w:divBdr>
        <w:top w:val="none" w:sz="0" w:space="0" w:color="auto"/>
        <w:left w:val="none" w:sz="0" w:space="0" w:color="auto"/>
        <w:bottom w:val="none" w:sz="0" w:space="0" w:color="auto"/>
        <w:right w:val="none" w:sz="0" w:space="0" w:color="auto"/>
      </w:divBdr>
    </w:div>
    <w:div w:id="1937903890">
      <w:bodyDiv w:val="1"/>
      <w:marLeft w:val="0"/>
      <w:marRight w:val="0"/>
      <w:marTop w:val="0"/>
      <w:marBottom w:val="0"/>
      <w:divBdr>
        <w:top w:val="none" w:sz="0" w:space="0" w:color="auto"/>
        <w:left w:val="none" w:sz="0" w:space="0" w:color="auto"/>
        <w:bottom w:val="none" w:sz="0" w:space="0" w:color="auto"/>
        <w:right w:val="none" w:sz="0" w:space="0" w:color="auto"/>
      </w:divBdr>
    </w:div>
    <w:div w:id="1946958408">
      <w:bodyDiv w:val="1"/>
      <w:marLeft w:val="0"/>
      <w:marRight w:val="0"/>
      <w:marTop w:val="0"/>
      <w:marBottom w:val="0"/>
      <w:divBdr>
        <w:top w:val="none" w:sz="0" w:space="0" w:color="auto"/>
        <w:left w:val="none" w:sz="0" w:space="0" w:color="auto"/>
        <w:bottom w:val="none" w:sz="0" w:space="0" w:color="auto"/>
        <w:right w:val="none" w:sz="0" w:space="0" w:color="auto"/>
      </w:divBdr>
    </w:div>
    <w:div w:id="1948200261">
      <w:bodyDiv w:val="1"/>
      <w:marLeft w:val="0"/>
      <w:marRight w:val="0"/>
      <w:marTop w:val="0"/>
      <w:marBottom w:val="0"/>
      <w:divBdr>
        <w:top w:val="none" w:sz="0" w:space="0" w:color="auto"/>
        <w:left w:val="none" w:sz="0" w:space="0" w:color="auto"/>
        <w:bottom w:val="none" w:sz="0" w:space="0" w:color="auto"/>
        <w:right w:val="none" w:sz="0" w:space="0" w:color="auto"/>
      </w:divBdr>
    </w:div>
    <w:div w:id="1952084814">
      <w:bodyDiv w:val="1"/>
      <w:marLeft w:val="0"/>
      <w:marRight w:val="0"/>
      <w:marTop w:val="0"/>
      <w:marBottom w:val="0"/>
      <w:divBdr>
        <w:top w:val="none" w:sz="0" w:space="0" w:color="auto"/>
        <w:left w:val="none" w:sz="0" w:space="0" w:color="auto"/>
        <w:bottom w:val="none" w:sz="0" w:space="0" w:color="auto"/>
        <w:right w:val="none" w:sz="0" w:space="0" w:color="auto"/>
      </w:divBdr>
    </w:div>
    <w:div w:id="1974291372">
      <w:bodyDiv w:val="1"/>
      <w:marLeft w:val="0"/>
      <w:marRight w:val="0"/>
      <w:marTop w:val="0"/>
      <w:marBottom w:val="0"/>
      <w:divBdr>
        <w:top w:val="none" w:sz="0" w:space="0" w:color="auto"/>
        <w:left w:val="none" w:sz="0" w:space="0" w:color="auto"/>
        <w:bottom w:val="none" w:sz="0" w:space="0" w:color="auto"/>
        <w:right w:val="none" w:sz="0" w:space="0" w:color="auto"/>
      </w:divBdr>
    </w:div>
    <w:div w:id="1989749018">
      <w:bodyDiv w:val="1"/>
      <w:marLeft w:val="0"/>
      <w:marRight w:val="0"/>
      <w:marTop w:val="0"/>
      <w:marBottom w:val="0"/>
      <w:divBdr>
        <w:top w:val="none" w:sz="0" w:space="0" w:color="auto"/>
        <w:left w:val="none" w:sz="0" w:space="0" w:color="auto"/>
        <w:bottom w:val="none" w:sz="0" w:space="0" w:color="auto"/>
        <w:right w:val="none" w:sz="0" w:space="0" w:color="auto"/>
      </w:divBdr>
    </w:div>
    <w:div w:id="1991211341">
      <w:bodyDiv w:val="1"/>
      <w:marLeft w:val="0"/>
      <w:marRight w:val="0"/>
      <w:marTop w:val="0"/>
      <w:marBottom w:val="0"/>
      <w:divBdr>
        <w:top w:val="none" w:sz="0" w:space="0" w:color="auto"/>
        <w:left w:val="none" w:sz="0" w:space="0" w:color="auto"/>
        <w:bottom w:val="none" w:sz="0" w:space="0" w:color="auto"/>
        <w:right w:val="none" w:sz="0" w:space="0" w:color="auto"/>
      </w:divBdr>
    </w:div>
    <w:div w:id="2005817361">
      <w:bodyDiv w:val="1"/>
      <w:marLeft w:val="0"/>
      <w:marRight w:val="0"/>
      <w:marTop w:val="0"/>
      <w:marBottom w:val="0"/>
      <w:divBdr>
        <w:top w:val="none" w:sz="0" w:space="0" w:color="auto"/>
        <w:left w:val="none" w:sz="0" w:space="0" w:color="auto"/>
        <w:bottom w:val="none" w:sz="0" w:space="0" w:color="auto"/>
        <w:right w:val="none" w:sz="0" w:space="0" w:color="auto"/>
      </w:divBdr>
    </w:div>
    <w:div w:id="2030452240">
      <w:bodyDiv w:val="1"/>
      <w:marLeft w:val="0"/>
      <w:marRight w:val="0"/>
      <w:marTop w:val="0"/>
      <w:marBottom w:val="0"/>
      <w:divBdr>
        <w:top w:val="none" w:sz="0" w:space="0" w:color="auto"/>
        <w:left w:val="none" w:sz="0" w:space="0" w:color="auto"/>
        <w:bottom w:val="none" w:sz="0" w:space="0" w:color="auto"/>
        <w:right w:val="none" w:sz="0" w:space="0" w:color="auto"/>
      </w:divBdr>
    </w:div>
    <w:div w:id="2036422102">
      <w:bodyDiv w:val="1"/>
      <w:marLeft w:val="0"/>
      <w:marRight w:val="0"/>
      <w:marTop w:val="0"/>
      <w:marBottom w:val="0"/>
      <w:divBdr>
        <w:top w:val="none" w:sz="0" w:space="0" w:color="auto"/>
        <w:left w:val="none" w:sz="0" w:space="0" w:color="auto"/>
        <w:bottom w:val="none" w:sz="0" w:space="0" w:color="auto"/>
        <w:right w:val="none" w:sz="0" w:space="0" w:color="auto"/>
      </w:divBdr>
    </w:div>
    <w:div w:id="2039431906">
      <w:bodyDiv w:val="1"/>
      <w:marLeft w:val="0"/>
      <w:marRight w:val="0"/>
      <w:marTop w:val="0"/>
      <w:marBottom w:val="0"/>
      <w:divBdr>
        <w:top w:val="none" w:sz="0" w:space="0" w:color="auto"/>
        <w:left w:val="none" w:sz="0" w:space="0" w:color="auto"/>
        <w:bottom w:val="none" w:sz="0" w:space="0" w:color="auto"/>
        <w:right w:val="none" w:sz="0" w:space="0" w:color="auto"/>
      </w:divBdr>
    </w:div>
    <w:div w:id="2067021800">
      <w:bodyDiv w:val="1"/>
      <w:marLeft w:val="0"/>
      <w:marRight w:val="0"/>
      <w:marTop w:val="0"/>
      <w:marBottom w:val="0"/>
      <w:divBdr>
        <w:top w:val="none" w:sz="0" w:space="0" w:color="auto"/>
        <w:left w:val="none" w:sz="0" w:space="0" w:color="auto"/>
        <w:bottom w:val="none" w:sz="0" w:space="0" w:color="auto"/>
        <w:right w:val="none" w:sz="0" w:space="0" w:color="auto"/>
      </w:divBdr>
    </w:div>
    <w:div w:id="2081320447">
      <w:bodyDiv w:val="1"/>
      <w:marLeft w:val="0"/>
      <w:marRight w:val="0"/>
      <w:marTop w:val="0"/>
      <w:marBottom w:val="0"/>
      <w:divBdr>
        <w:top w:val="none" w:sz="0" w:space="0" w:color="auto"/>
        <w:left w:val="none" w:sz="0" w:space="0" w:color="auto"/>
        <w:bottom w:val="none" w:sz="0" w:space="0" w:color="auto"/>
        <w:right w:val="none" w:sz="0" w:space="0" w:color="auto"/>
      </w:divBdr>
    </w:div>
    <w:div w:id="2083406134">
      <w:bodyDiv w:val="1"/>
      <w:marLeft w:val="0"/>
      <w:marRight w:val="0"/>
      <w:marTop w:val="0"/>
      <w:marBottom w:val="0"/>
      <w:divBdr>
        <w:top w:val="none" w:sz="0" w:space="0" w:color="auto"/>
        <w:left w:val="none" w:sz="0" w:space="0" w:color="auto"/>
        <w:bottom w:val="none" w:sz="0" w:space="0" w:color="auto"/>
        <w:right w:val="none" w:sz="0" w:space="0" w:color="auto"/>
      </w:divBdr>
    </w:div>
    <w:div w:id="2096852199">
      <w:bodyDiv w:val="1"/>
      <w:marLeft w:val="0"/>
      <w:marRight w:val="0"/>
      <w:marTop w:val="0"/>
      <w:marBottom w:val="0"/>
      <w:divBdr>
        <w:top w:val="none" w:sz="0" w:space="0" w:color="auto"/>
        <w:left w:val="none" w:sz="0" w:space="0" w:color="auto"/>
        <w:bottom w:val="none" w:sz="0" w:space="0" w:color="auto"/>
        <w:right w:val="none" w:sz="0" w:space="0" w:color="auto"/>
      </w:divBdr>
    </w:div>
    <w:div w:id="2099010732">
      <w:bodyDiv w:val="1"/>
      <w:marLeft w:val="0"/>
      <w:marRight w:val="0"/>
      <w:marTop w:val="0"/>
      <w:marBottom w:val="0"/>
      <w:divBdr>
        <w:top w:val="none" w:sz="0" w:space="0" w:color="auto"/>
        <w:left w:val="none" w:sz="0" w:space="0" w:color="auto"/>
        <w:bottom w:val="none" w:sz="0" w:space="0" w:color="auto"/>
        <w:right w:val="none" w:sz="0" w:space="0" w:color="auto"/>
      </w:divBdr>
    </w:div>
    <w:div w:id="2107312487">
      <w:bodyDiv w:val="1"/>
      <w:marLeft w:val="0"/>
      <w:marRight w:val="0"/>
      <w:marTop w:val="0"/>
      <w:marBottom w:val="0"/>
      <w:divBdr>
        <w:top w:val="none" w:sz="0" w:space="0" w:color="auto"/>
        <w:left w:val="none" w:sz="0" w:space="0" w:color="auto"/>
        <w:bottom w:val="none" w:sz="0" w:space="0" w:color="auto"/>
        <w:right w:val="none" w:sz="0" w:space="0" w:color="auto"/>
      </w:divBdr>
    </w:div>
    <w:div w:id="2140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AB0E-16FE-443C-B54A-93342BB2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14003</Words>
  <Characters>79822</Characters>
  <Application>Microsoft Office Word</Application>
  <DocSecurity>4</DocSecurity>
  <Lines>665</Lines>
  <Paragraphs>187</Paragraphs>
  <ScaleCrop>false</ScaleCrop>
  <Company/>
  <LinksUpToDate>false</LinksUpToDate>
  <CharactersWithSpaces>93638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Yang,Jing(杨晶)</dc:creator>
  <cp:keywords/>
  <cp:lastModifiedBy>ZHONGM</cp:lastModifiedBy>
  <cp:revision>2</cp:revision>
  <cp:lastPrinted>2019-01-03T02:06:00Z</cp:lastPrinted>
  <dcterms:created xsi:type="dcterms:W3CDTF">2024-12-05T16:00:00Z</dcterms:created>
  <dcterms:modified xsi:type="dcterms:W3CDTF">2024-12-05T16:00:00Z</dcterms:modified>
</cp:coreProperties>
</file>