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443" w:rsidRDefault="00743BBF">
      <w:pPr>
        <w:widowControl/>
        <w:spacing w:line="450" w:lineRule="atLeast"/>
        <w:jc w:val="center"/>
        <w:rPr>
          <w:rFonts w:ascii="宋体" w:eastAsia="宋体" w:hAnsi="宋体" w:cs="宋体"/>
          <w:b/>
          <w:bCs/>
          <w:kern w:val="0"/>
          <w:sz w:val="28"/>
          <w:szCs w:val="28"/>
        </w:rPr>
      </w:pPr>
      <w:r>
        <w:rPr>
          <w:rFonts w:ascii="宋体" w:eastAsia="宋体" w:hAnsi="宋体" w:cs="宋体" w:hint="eastAsia"/>
          <w:b/>
          <w:bCs/>
          <w:sz w:val="28"/>
          <w:szCs w:val="28"/>
        </w:rPr>
        <w:t>关于</w:t>
      </w:r>
      <w:r>
        <w:rPr>
          <w:rFonts w:ascii="宋体" w:eastAsia="宋体" w:hAnsi="宋体" w:cs="宋体" w:hint="eastAsia"/>
          <w:b/>
          <w:bCs/>
          <w:kern w:val="0"/>
          <w:sz w:val="28"/>
          <w:szCs w:val="28"/>
        </w:rPr>
        <w:t>方正富邦</w:t>
      </w:r>
      <w:r>
        <w:rPr>
          <w:rFonts w:ascii="宋体" w:eastAsia="宋体" w:hAnsi="宋体" w:cs="宋体"/>
          <w:b/>
          <w:bCs/>
          <w:sz w:val="28"/>
          <w:szCs w:val="28"/>
        </w:rPr>
        <w:t>货币市场基金</w:t>
      </w:r>
      <w:r>
        <w:rPr>
          <w:rFonts w:ascii="宋体" w:eastAsia="宋体" w:hAnsi="宋体" w:cs="宋体"/>
          <w:b/>
          <w:bCs/>
          <w:sz w:val="28"/>
          <w:szCs w:val="28"/>
        </w:rPr>
        <w:t>A</w:t>
      </w:r>
      <w:r>
        <w:rPr>
          <w:rFonts w:ascii="宋体" w:eastAsia="宋体" w:hAnsi="宋体" w:cs="宋体"/>
          <w:b/>
          <w:bCs/>
          <w:sz w:val="28"/>
          <w:szCs w:val="28"/>
        </w:rPr>
        <w:t>类</w:t>
      </w:r>
      <w:r>
        <w:rPr>
          <w:rFonts w:ascii="宋体" w:eastAsia="宋体" w:hAnsi="宋体" w:cs="宋体" w:hint="eastAsia"/>
          <w:b/>
          <w:bCs/>
          <w:sz w:val="28"/>
          <w:szCs w:val="28"/>
        </w:rPr>
        <w:t>、</w:t>
      </w:r>
      <w:r>
        <w:rPr>
          <w:rFonts w:ascii="宋体" w:eastAsia="宋体" w:hAnsi="宋体" w:cs="宋体" w:hint="eastAsia"/>
          <w:b/>
          <w:bCs/>
          <w:sz w:val="28"/>
          <w:szCs w:val="28"/>
        </w:rPr>
        <w:t>B</w:t>
      </w:r>
      <w:r>
        <w:rPr>
          <w:rFonts w:ascii="宋体" w:eastAsia="宋体" w:hAnsi="宋体" w:cs="宋体" w:hint="eastAsia"/>
          <w:b/>
          <w:bCs/>
          <w:sz w:val="28"/>
          <w:szCs w:val="28"/>
        </w:rPr>
        <w:t>类</w:t>
      </w:r>
      <w:r>
        <w:rPr>
          <w:rFonts w:ascii="宋体" w:eastAsia="宋体" w:hAnsi="宋体" w:cs="宋体"/>
          <w:b/>
          <w:bCs/>
          <w:sz w:val="28"/>
          <w:szCs w:val="28"/>
        </w:rPr>
        <w:t>份额在</w:t>
      </w:r>
      <w:r>
        <w:rPr>
          <w:rFonts w:ascii="宋体" w:eastAsia="宋体" w:hAnsi="宋体" w:cs="宋体" w:hint="eastAsia"/>
          <w:b/>
          <w:bCs/>
          <w:sz w:val="28"/>
          <w:szCs w:val="28"/>
        </w:rPr>
        <w:t>建设银行</w:t>
      </w:r>
      <w:r>
        <w:rPr>
          <w:rFonts w:ascii="宋体" w:eastAsia="宋体" w:hAnsi="宋体" w:cs="宋体"/>
          <w:b/>
          <w:bCs/>
          <w:sz w:val="28"/>
          <w:szCs w:val="28"/>
        </w:rPr>
        <w:t>渠道</w:t>
      </w:r>
      <w:r>
        <w:rPr>
          <w:rFonts w:ascii="宋体" w:eastAsia="宋体" w:hAnsi="宋体" w:cs="宋体" w:hint="eastAsia"/>
          <w:b/>
          <w:bCs/>
          <w:kern w:val="0"/>
          <w:sz w:val="28"/>
          <w:szCs w:val="28"/>
        </w:rPr>
        <w:t>暂停申购、转换转入及定期定额投资业务的公告</w:t>
      </w:r>
    </w:p>
    <w:p w:rsidR="004D4443" w:rsidRDefault="00743BBF">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公告送出日期：</w:t>
      </w:r>
      <w:r>
        <w:rPr>
          <w:rFonts w:asciiTheme="minorEastAsia" w:hAnsiTheme="minorEastAsia" w:cs="宋体" w:hint="eastAsia"/>
          <w:kern w:val="0"/>
          <w:szCs w:val="21"/>
        </w:rPr>
        <w:t>2024</w:t>
      </w:r>
      <w:r>
        <w:rPr>
          <w:rFonts w:asciiTheme="minorEastAsia" w:hAnsiTheme="minorEastAsia" w:cs="宋体" w:hint="eastAsia"/>
          <w:kern w:val="0"/>
          <w:szCs w:val="21"/>
        </w:rPr>
        <w:t>年</w:t>
      </w:r>
      <w:r>
        <w:rPr>
          <w:rFonts w:asciiTheme="minorEastAsia" w:hAnsiTheme="minorEastAsia" w:cs="宋体" w:hint="eastAsia"/>
          <w:kern w:val="0"/>
          <w:szCs w:val="21"/>
        </w:rPr>
        <w:t>12</w:t>
      </w:r>
      <w:r>
        <w:rPr>
          <w:rFonts w:asciiTheme="minorEastAsia" w:hAnsiTheme="minorEastAsia" w:cs="宋体" w:hint="eastAsia"/>
          <w:kern w:val="0"/>
          <w:szCs w:val="21"/>
        </w:rPr>
        <w:t>月</w:t>
      </w:r>
      <w:r>
        <w:rPr>
          <w:rFonts w:asciiTheme="minorEastAsia" w:hAnsiTheme="minorEastAsia" w:cs="宋体" w:hint="eastAsia"/>
          <w:kern w:val="0"/>
          <w:szCs w:val="21"/>
        </w:rPr>
        <w:t>4</w:t>
      </w:r>
      <w:r>
        <w:rPr>
          <w:rFonts w:asciiTheme="minorEastAsia" w:hAnsiTheme="minorEastAsia" w:cs="宋体" w:hint="eastAsia"/>
          <w:kern w:val="0"/>
          <w:szCs w:val="21"/>
        </w:rPr>
        <w:t>日</w:t>
      </w:r>
    </w:p>
    <w:p w:rsidR="004D4443" w:rsidRDefault="00743BBF">
      <w:pPr>
        <w:widowControl/>
        <w:spacing w:line="360" w:lineRule="auto"/>
        <w:ind w:firstLineChars="200" w:firstLine="422"/>
        <w:jc w:val="left"/>
        <w:rPr>
          <w:rFonts w:asciiTheme="minorEastAsia" w:hAnsiTheme="minorEastAsia" w:cs="宋体"/>
          <w:kern w:val="0"/>
          <w:szCs w:val="21"/>
        </w:rPr>
      </w:pPr>
      <w:r>
        <w:rPr>
          <w:rFonts w:asciiTheme="minorEastAsia" w:hAnsiTheme="minorEastAsia" w:cs="宋体" w:hint="eastAsia"/>
          <w:b/>
          <w:bCs/>
          <w:kern w:val="0"/>
          <w:szCs w:val="21"/>
        </w:rPr>
        <w:t xml:space="preserve">1 </w:t>
      </w:r>
      <w:r>
        <w:rPr>
          <w:rFonts w:asciiTheme="minorEastAsia" w:hAnsiTheme="minorEastAsia" w:cs="宋体" w:hint="eastAsia"/>
          <w:b/>
          <w:bCs/>
          <w:kern w:val="0"/>
          <w:szCs w:val="21"/>
        </w:rPr>
        <w:t>公告基本信息</w:t>
      </w:r>
    </w:p>
    <w:tbl>
      <w:tblPr>
        <w:tblW w:w="0" w:type="auto"/>
        <w:tblCellMar>
          <w:left w:w="0" w:type="dxa"/>
          <w:right w:w="0" w:type="dxa"/>
        </w:tblCellMar>
        <w:tblLook w:val="04A0"/>
      </w:tblPr>
      <w:tblGrid>
        <w:gridCol w:w="3281"/>
        <w:gridCol w:w="2237"/>
        <w:gridCol w:w="2772"/>
      </w:tblGrid>
      <w:tr w:rsidR="004D4443">
        <w:trPr>
          <w:trHeight w:val="300"/>
        </w:trPr>
        <w:tc>
          <w:tcPr>
            <w:tcW w:w="3281"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4D4443" w:rsidRDefault="00743BBF">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基金名称</w:t>
            </w:r>
          </w:p>
        </w:tc>
        <w:tc>
          <w:tcPr>
            <w:tcW w:w="5009" w:type="dxa"/>
            <w:gridSpan w:val="2"/>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4D4443" w:rsidRDefault="00743BBF">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方正富邦货币市场基金</w:t>
            </w:r>
          </w:p>
        </w:tc>
      </w:tr>
      <w:tr w:rsidR="004D4443">
        <w:trPr>
          <w:trHeight w:val="300"/>
        </w:trPr>
        <w:tc>
          <w:tcPr>
            <w:tcW w:w="328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4D4443" w:rsidRDefault="00743BBF">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基金简称</w:t>
            </w:r>
          </w:p>
        </w:tc>
        <w:tc>
          <w:tcPr>
            <w:tcW w:w="5009"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4D4443" w:rsidRDefault="00743BBF">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方正富邦货币</w:t>
            </w:r>
          </w:p>
        </w:tc>
      </w:tr>
      <w:tr w:rsidR="004D4443">
        <w:trPr>
          <w:trHeight w:val="300"/>
        </w:trPr>
        <w:tc>
          <w:tcPr>
            <w:tcW w:w="328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4D4443" w:rsidRDefault="00743BBF">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基金主代码</w:t>
            </w:r>
          </w:p>
        </w:tc>
        <w:tc>
          <w:tcPr>
            <w:tcW w:w="5009"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4D4443" w:rsidRDefault="00743BBF">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730003</w:t>
            </w:r>
          </w:p>
        </w:tc>
      </w:tr>
      <w:tr w:rsidR="004D4443">
        <w:trPr>
          <w:trHeight w:val="300"/>
        </w:trPr>
        <w:tc>
          <w:tcPr>
            <w:tcW w:w="328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4D4443" w:rsidRDefault="00743BBF">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基金管理人名称</w:t>
            </w:r>
          </w:p>
        </w:tc>
        <w:tc>
          <w:tcPr>
            <w:tcW w:w="5009"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4D4443" w:rsidRDefault="00743BBF">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方正富邦基金管理有限公司</w:t>
            </w:r>
          </w:p>
        </w:tc>
      </w:tr>
      <w:tr w:rsidR="004D4443">
        <w:trPr>
          <w:trHeight w:val="300"/>
        </w:trPr>
        <w:tc>
          <w:tcPr>
            <w:tcW w:w="328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4D4443" w:rsidRDefault="00743BBF">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公告依据</w:t>
            </w:r>
          </w:p>
        </w:tc>
        <w:tc>
          <w:tcPr>
            <w:tcW w:w="5009"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4D4443" w:rsidRDefault="00743BBF">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《货币市场基金监督管理办法》</w:t>
            </w:r>
            <w:r>
              <w:rPr>
                <w:rFonts w:asciiTheme="minorEastAsia" w:hAnsiTheme="minorEastAsia" w:cs="宋体" w:hint="eastAsia"/>
                <w:kern w:val="0"/>
                <w:szCs w:val="21"/>
              </w:rPr>
              <w:t>、</w:t>
            </w:r>
            <w:r>
              <w:rPr>
                <w:rFonts w:asciiTheme="minorEastAsia" w:hAnsiTheme="minorEastAsia" w:cs="宋体" w:hint="eastAsia"/>
                <w:kern w:val="0"/>
                <w:szCs w:val="21"/>
              </w:rPr>
              <w:t>《方正富邦货币市场基金基金合同》</w:t>
            </w:r>
            <w:r>
              <w:rPr>
                <w:rFonts w:asciiTheme="minorEastAsia" w:hAnsiTheme="minorEastAsia" w:cs="宋体" w:hint="eastAsia"/>
                <w:kern w:val="0"/>
                <w:szCs w:val="21"/>
              </w:rPr>
              <w:t>、</w:t>
            </w:r>
            <w:r>
              <w:t>《公开募集证券投资基金信息披露管理办法》</w:t>
            </w:r>
            <w:r>
              <w:rPr>
                <w:rFonts w:hint="eastAsia"/>
              </w:rPr>
              <w:t>、</w:t>
            </w:r>
            <w:r>
              <w:t>《公开募集证券投资基金运作管理办法》</w:t>
            </w:r>
            <w:r>
              <w:rPr>
                <w:rFonts w:hint="eastAsia"/>
              </w:rPr>
              <w:t>、</w:t>
            </w:r>
            <w:r>
              <w:t>《中华人民共和国证券投资基金法》</w:t>
            </w:r>
          </w:p>
        </w:tc>
      </w:tr>
      <w:tr w:rsidR="004D4443">
        <w:trPr>
          <w:trHeight w:val="300"/>
        </w:trPr>
        <w:tc>
          <w:tcPr>
            <w:tcW w:w="8290" w:type="dxa"/>
            <w:gridSpan w:val="3"/>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4D4443" w:rsidRDefault="00743BBF">
            <w:pPr>
              <w:widowControl/>
              <w:spacing w:line="360" w:lineRule="auto"/>
              <w:jc w:val="left"/>
              <w:rPr>
                <w:rFonts w:asciiTheme="minorEastAsia" w:hAnsiTheme="minorEastAsia" w:cs="宋体"/>
                <w:kern w:val="0"/>
                <w:szCs w:val="21"/>
              </w:rPr>
            </w:pPr>
            <w:r>
              <w:rPr>
                <w:rFonts w:hint="eastAsia"/>
                <w:szCs w:val="21"/>
              </w:rPr>
              <w:t>暂停</w:t>
            </w:r>
            <w:r>
              <w:rPr>
                <w:rFonts w:asciiTheme="minorEastAsia" w:hAnsiTheme="minorEastAsia" w:cs="宋体" w:hint="eastAsia"/>
                <w:kern w:val="0"/>
                <w:szCs w:val="21"/>
              </w:rPr>
              <w:t>相关业务的起始日、金额及原因说明</w:t>
            </w:r>
          </w:p>
        </w:tc>
      </w:tr>
      <w:tr w:rsidR="004D4443">
        <w:trPr>
          <w:trHeight w:val="300"/>
        </w:trPr>
        <w:tc>
          <w:tcPr>
            <w:tcW w:w="328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4D4443" w:rsidRDefault="00743BBF">
            <w:pPr>
              <w:widowControl/>
              <w:spacing w:line="360" w:lineRule="auto"/>
              <w:jc w:val="left"/>
              <w:rPr>
                <w:rFonts w:asciiTheme="minorEastAsia" w:hAnsiTheme="minorEastAsia" w:cs="宋体"/>
                <w:kern w:val="0"/>
                <w:szCs w:val="21"/>
              </w:rPr>
            </w:pPr>
            <w:r>
              <w:rPr>
                <w:rFonts w:hint="eastAsia"/>
                <w:szCs w:val="21"/>
              </w:rPr>
              <w:t>暂停</w:t>
            </w:r>
            <w:r>
              <w:rPr>
                <w:rFonts w:asciiTheme="minorEastAsia" w:hAnsiTheme="minorEastAsia" w:cs="宋体" w:hint="eastAsia"/>
                <w:kern w:val="0"/>
                <w:szCs w:val="21"/>
              </w:rPr>
              <w:t>申购起始日</w:t>
            </w:r>
          </w:p>
        </w:tc>
        <w:tc>
          <w:tcPr>
            <w:tcW w:w="5009"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4D4443" w:rsidRDefault="00743BBF">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2024-</w:t>
            </w:r>
            <w:r>
              <w:rPr>
                <w:rFonts w:asciiTheme="minorEastAsia" w:hAnsiTheme="minorEastAsia" w:cs="宋体" w:hint="eastAsia"/>
                <w:kern w:val="0"/>
                <w:szCs w:val="21"/>
              </w:rPr>
              <w:t>12</w:t>
            </w:r>
            <w:r>
              <w:rPr>
                <w:rFonts w:asciiTheme="minorEastAsia" w:hAnsiTheme="minorEastAsia" w:cs="宋体" w:hint="eastAsia"/>
                <w:kern w:val="0"/>
                <w:szCs w:val="21"/>
              </w:rPr>
              <w:t>-</w:t>
            </w:r>
            <w:r>
              <w:rPr>
                <w:rFonts w:asciiTheme="minorEastAsia" w:hAnsiTheme="minorEastAsia" w:cs="宋体" w:hint="eastAsia"/>
                <w:kern w:val="0"/>
                <w:szCs w:val="21"/>
              </w:rPr>
              <w:t>5</w:t>
            </w:r>
          </w:p>
        </w:tc>
      </w:tr>
      <w:tr w:rsidR="004D4443">
        <w:trPr>
          <w:trHeight w:val="300"/>
        </w:trPr>
        <w:tc>
          <w:tcPr>
            <w:tcW w:w="328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4D4443" w:rsidRDefault="00743BBF">
            <w:pPr>
              <w:widowControl/>
              <w:spacing w:line="360" w:lineRule="auto"/>
              <w:jc w:val="left"/>
              <w:rPr>
                <w:rFonts w:asciiTheme="minorEastAsia" w:hAnsiTheme="minorEastAsia" w:cs="宋体"/>
                <w:kern w:val="0"/>
                <w:szCs w:val="21"/>
              </w:rPr>
            </w:pPr>
            <w:r>
              <w:rPr>
                <w:rFonts w:hint="eastAsia"/>
                <w:szCs w:val="21"/>
              </w:rPr>
              <w:t>暂停</w:t>
            </w:r>
            <w:r>
              <w:rPr>
                <w:rFonts w:asciiTheme="minorEastAsia" w:hAnsiTheme="minorEastAsia" w:cs="宋体" w:hint="eastAsia"/>
                <w:kern w:val="0"/>
                <w:szCs w:val="21"/>
              </w:rPr>
              <w:t>转换转入起始日</w:t>
            </w:r>
          </w:p>
        </w:tc>
        <w:tc>
          <w:tcPr>
            <w:tcW w:w="5009"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4D4443" w:rsidRDefault="00743BBF">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2024-</w:t>
            </w:r>
            <w:r>
              <w:rPr>
                <w:rFonts w:asciiTheme="minorEastAsia" w:hAnsiTheme="minorEastAsia" w:cs="宋体" w:hint="eastAsia"/>
                <w:kern w:val="0"/>
                <w:szCs w:val="21"/>
              </w:rPr>
              <w:t>12</w:t>
            </w:r>
            <w:r>
              <w:rPr>
                <w:rFonts w:asciiTheme="minorEastAsia" w:hAnsiTheme="minorEastAsia" w:cs="宋体" w:hint="eastAsia"/>
                <w:kern w:val="0"/>
                <w:szCs w:val="21"/>
              </w:rPr>
              <w:t>-</w:t>
            </w:r>
            <w:r>
              <w:rPr>
                <w:rFonts w:asciiTheme="minorEastAsia" w:hAnsiTheme="minorEastAsia" w:cs="宋体" w:hint="eastAsia"/>
                <w:kern w:val="0"/>
                <w:szCs w:val="21"/>
              </w:rPr>
              <w:t>5</w:t>
            </w:r>
          </w:p>
        </w:tc>
      </w:tr>
      <w:tr w:rsidR="004D4443">
        <w:trPr>
          <w:trHeight w:val="300"/>
        </w:trPr>
        <w:tc>
          <w:tcPr>
            <w:tcW w:w="328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4D4443" w:rsidRDefault="00743BBF">
            <w:pPr>
              <w:widowControl/>
              <w:spacing w:line="360" w:lineRule="auto"/>
              <w:jc w:val="left"/>
              <w:rPr>
                <w:szCs w:val="21"/>
              </w:rPr>
            </w:pPr>
            <w:r>
              <w:rPr>
                <w:rFonts w:asciiTheme="minorEastAsia" w:hAnsiTheme="minorEastAsia" w:cs="宋体" w:hint="eastAsia"/>
                <w:kern w:val="0"/>
                <w:szCs w:val="21"/>
              </w:rPr>
              <w:t>暂停定期定额投资起始日</w:t>
            </w:r>
            <w:r>
              <w:rPr>
                <w:rFonts w:ascii="宋体" w:eastAsia="宋体" w:hAnsi="宋体" w:cs="宋体"/>
                <w:sz w:val="24"/>
                <w:szCs w:val="24"/>
              </w:rPr>
              <w:t xml:space="preserve"> </w:t>
            </w:r>
          </w:p>
        </w:tc>
        <w:tc>
          <w:tcPr>
            <w:tcW w:w="5009"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4D4443" w:rsidRDefault="00743BBF">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2024-</w:t>
            </w:r>
            <w:r>
              <w:rPr>
                <w:rFonts w:asciiTheme="minorEastAsia" w:hAnsiTheme="minorEastAsia" w:cs="宋体" w:hint="eastAsia"/>
                <w:kern w:val="0"/>
                <w:szCs w:val="21"/>
              </w:rPr>
              <w:t>12</w:t>
            </w:r>
            <w:r>
              <w:rPr>
                <w:rFonts w:asciiTheme="minorEastAsia" w:hAnsiTheme="minorEastAsia" w:cs="宋体" w:hint="eastAsia"/>
                <w:kern w:val="0"/>
                <w:szCs w:val="21"/>
              </w:rPr>
              <w:t>-</w:t>
            </w:r>
            <w:r>
              <w:rPr>
                <w:rFonts w:asciiTheme="minorEastAsia" w:hAnsiTheme="minorEastAsia" w:cs="宋体" w:hint="eastAsia"/>
                <w:kern w:val="0"/>
                <w:szCs w:val="21"/>
              </w:rPr>
              <w:t>5</w:t>
            </w:r>
          </w:p>
        </w:tc>
      </w:tr>
      <w:tr w:rsidR="004D4443">
        <w:trPr>
          <w:trHeight w:val="913"/>
        </w:trPr>
        <w:tc>
          <w:tcPr>
            <w:tcW w:w="328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4D4443" w:rsidRDefault="00743BBF">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暂停申购、转换转入、定期定额投资的原因说明</w:t>
            </w:r>
          </w:p>
        </w:tc>
        <w:tc>
          <w:tcPr>
            <w:tcW w:w="5009" w:type="dxa"/>
            <w:gridSpan w:val="2"/>
            <w:tcBorders>
              <w:top w:val="nil"/>
              <w:left w:val="nil"/>
              <w:bottom w:val="single" w:sz="6" w:space="0" w:color="000000"/>
              <w:right w:val="single" w:sz="6" w:space="0" w:color="auto"/>
            </w:tcBorders>
            <w:shd w:val="clear" w:color="auto" w:fill="auto"/>
            <w:tcMar>
              <w:top w:w="0" w:type="dxa"/>
              <w:left w:w="105" w:type="dxa"/>
              <w:bottom w:w="0" w:type="dxa"/>
              <w:right w:w="105" w:type="dxa"/>
            </w:tcMar>
            <w:vAlign w:val="center"/>
          </w:tcPr>
          <w:p w:rsidR="004D4443" w:rsidRDefault="00743BBF">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为保护基金份额持有人的利益，自</w:t>
            </w:r>
            <w:r>
              <w:rPr>
                <w:rFonts w:asciiTheme="minorEastAsia" w:hAnsiTheme="minorEastAsia" w:cs="宋体" w:hint="eastAsia"/>
                <w:kern w:val="0"/>
                <w:szCs w:val="21"/>
              </w:rPr>
              <w:t>2024</w:t>
            </w:r>
            <w:r>
              <w:rPr>
                <w:rFonts w:asciiTheme="minorEastAsia" w:hAnsiTheme="minorEastAsia" w:cs="宋体" w:hint="eastAsia"/>
                <w:kern w:val="0"/>
                <w:szCs w:val="21"/>
              </w:rPr>
              <w:t>年</w:t>
            </w:r>
            <w:r>
              <w:rPr>
                <w:rFonts w:asciiTheme="minorEastAsia" w:hAnsiTheme="minorEastAsia" w:cs="宋体" w:hint="eastAsia"/>
                <w:kern w:val="0"/>
                <w:szCs w:val="21"/>
              </w:rPr>
              <w:t>1</w:t>
            </w:r>
            <w:r>
              <w:rPr>
                <w:rFonts w:asciiTheme="minorEastAsia" w:hAnsiTheme="minorEastAsia" w:cs="宋体" w:hint="eastAsia"/>
                <w:kern w:val="0"/>
                <w:szCs w:val="21"/>
              </w:rPr>
              <w:t>2</w:t>
            </w:r>
            <w:r>
              <w:rPr>
                <w:rFonts w:asciiTheme="minorEastAsia" w:hAnsiTheme="minorEastAsia" w:cs="宋体" w:hint="eastAsia"/>
                <w:kern w:val="0"/>
                <w:szCs w:val="21"/>
              </w:rPr>
              <w:t>月</w:t>
            </w:r>
            <w:r>
              <w:rPr>
                <w:rFonts w:asciiTheme="minorEastAsia" w:hAnsiTheme="minorEastAsia" w:cs="宋体" w:hint="eastAsia"/>
                <w:kern w:val="0"/>
                <w:szCs w:val="21"/>
              </w:rPr>
              <w:t>5</w:t>
            </w:r>
            <w:r>
              <w:rPr>
                <w:rFonts w:asciiTheme="minorEastAsia" w:hAnsiTheme="minorEastAsia" w:cs="宋体" w:hint="eastAsia"/>
                <w:kern w:val="0"/>
                <w:szCs w:val="21"/>
              </w:rPr>
              <w:t>日起，方正富邦货币市场基金</w:t>
            </w:r>
            <w:r>
              <w:rPr>
                <w:rFonts w:asciiTheme="minorEastAsia" w:hAnsiTheme="minorEastAsia" w:cs="宋体" w:hint="eastAsia"/>
                <w:kern w:val="0"/>
                <w:szCs w:val="21"/>
              </w:rPr>
              <w:t>A</w:t>
            </w:r>
            <w:r>
              <w:rPr>
                <w:rFonts w:asciiTheme="minorEastAsia" w:hAnsiTheme="minorEastAsia" w:cs="宋体" w:hint="eastAsia"/>
                <w:kern w:val="0"/>
                <w:szCs w:val="21"/>
              </w:rPr>
              <w:t>类、</w:t>
            </w:r>
            <w:r>
              <w:rPr>
                <w:rFonts w:asciiTheme="minorEastAsia" w:hAnsiTheme="minorEastAsia" w:cs="宋体" w:hint="eastAsia"/>
                <w:kern w:val="0"/>
                <w:szCs w:val="21"/>
              </w:rPr>
              <w:t>B</w:t>
            </w:r>
            <w:r>
              <w:rPr>
                <w:rFonts w:asciiTheme="minorEastAsia" w:hAnsiTheme="minorEastAsia" w:cs="宋体" w:hint="eastAsia"/>
                <w:kern w:val="0"/>
                <w:szCs w:val="21"/>
              </w:rPr>
              <w:t>类份额在</w:t>
            </w:r>
            <w:r>
              <w:rPr>
                <w:rFonts w:asciiTheme="minorEastAsia" w:hAnsiTheme="minorEastAsia" w:cs="宋体" w:hint="eastAsia"/>
                <w:kern w:val="0"/>
                <w:szCs w:val="21"/>
              </w:rPr>
              <w:t>建设银行</w:t>
            </w:r>
            <w:r>
              <w:rPr>
                <w:rFonts w:asciiTheme="minorEastAsia" w:hAnsiTheme="minorEastAsia" w:cs="宋体" w:hint="eastAsia"/>
                <w:kern w:val="0"/>
                <w:szCs w:val="21"/>
              </w:rPr>
              <w:t>渠道暂停申购、转换转入及定期定额投资业务。</w:t>
            </w:r>
            <w:r>
              <w:rPr>
                <w:rFonts w:asciiTheme="minorEastAsia" w:hAnsiTheme="minorEastAsia" w:cs="宋体" w:hint="eastAsia"/>
                <w:kern w:val="0"/>
                <w:szCs w:val="21"/>
              </w:rPr>
              <w:t xml:space="preserve"> </w:t>
            </w:r>
          </w:p>
        </w:tc>
      </w:tr>
      <w:tr w:rsidR="004D4443">
        <w:trPr>
          <w:trHeight w:val="563"/>
        </w:trPr>
        <w:tc>
          <w:tcPr>
            <w:tcW w:w="3281"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4D4443" w:rsidRDefault="00743BBF">
            <w:pPr>
              <w:widowControl/>
              <w:spacing w:line="360" w:lineRule="auto"/>
              <w:jc w:val="left"/>
              <w:rPr>
                <w:szCs w:val="21"/>
              </w:rPr>
            </w:pPr>
            <w:r>
              <w:rPr>
                <w:rFonts w:asciiTheme="minorEastAsia" w:hAnsiTheme="minorEastAsia" w:cs="宋体" w:hint="eastAsia"/>
                <w:kern w:val="0"/>
                <w:szCs w:val="21"/>
              </w:rPr>
              <w:t>下属分级基金的基金简称</w:t>
            </w:r>
          </w:p>
        </w:tc>
        <w:tc>
          <w:tcPr>
            <w:tcW w:w="2237"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4D4443" w:rsidRDefault="00743BBF">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方正富邦货币</w:t>
            </w:r>
            <w:r>
              <w:rPr>
                <w:rFonts w:asciiTheme="minorEastAsia" w:hAnsiTheme="minorEastAsia" w:cs="宋体" w:hint="eastAsia"/>
                <w:kern w:val="0"/>
                <w:szCs w:val="21"/>
              </w:rPr>
              <w:t>A</w:t>
            </w:r>
          </w:p>
        </w:tc>
        <w:tc>
          <w:tcPr>
            <w:tcW w:w="2772" w:type="dxa"/>
            <w:tcBorders>
              <w:top w:val="single" w:sz="6" w:space="0" w:color="000000"/>
              <w:left w:val="nil"/>
              <w:bottom w:val="single" w:sz="6" w:space="0" w:color="000000"/>
              <w:right w:val="single" w:sz="6" w:space="0" w:color="000000"/>
            </w:tcBorders>
            <w:shd w:val="clear" w:color="auto" w:fill="auto"/>
            <w:vAlign w:val="center"/>
          </w:tcPr>
          <w:p w:rsidR="004D4443" w:rsidRDefault="00743BBF">
            <w:pPr>
              <w:widowControl/>
              <w:spacing w:line="360" w:lineRule="auto"/>
              <w:ind w:firstLineChars="100" w:firstLine="210"/>
              <w:jc w:val="left"/>
              <w:rPr>
                <w:rFonts w:asciiTheme="minorEastAsia" w:hAnsiTheme="minorEastAsia" w:cs="宋体"/>
                <w:kern w:val="0"/>
                <w:szCs w:val="21"/>
              </w:rPr>
            </w:pPr>
            <w:r>
              <w:rPr>
                <w:rFonts w:asciiTheme="minorEastAsia" w:hAnsiTheme="minorEastAsia" w:cs="宋体" w:hint="eastAsia"/>
                <w:kern w:val="0"/>
                <w:szCs w:val="21"/>
              </w:rPr>
              <w:t>方正富邦货币</w:t>
            </w:r>
            <w:r>
              <w:rPr>
                <w:rFonts w:asciiTheme="minorEastAsia" w:hAnsiTheme="minorEastAsia" w:cs="宋体" w:hint="eastAsia"/>
                <w:kern w:val="0"/>
                <w:szCs w:val="21"/>
              </w:rPr>
              <w:t>B</w:t>
            </w:r>
          </w:p>
        </w:tc>
      </w:tr>
      <w:tr w:rsidR="004D4443">
        <w:trPr>
          <w:trHeight w:val="640"/>
        </w:trPr>
        <w:tc>
          <w:tcPr>
            <w:tcW w:w="3281"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4D4443" w:rsidRDefault="00743BBF">
            <w:pPr>
              <w:widowControl/>
              <w:spacing w:line="360" w:lineRule="auto"/>
              <w:jc w:val="left"/>
              <w:rPr>
                <w:szCs w:val="21"/>
              </w:rPr>
            </w:pPr>
            <w:r>
              <w:rPr>
                <w:rFonts w:asciiTheme="minorEastAsia" w:hAnsiTheme="minorEastAsia" w:cs="宋体" w:hint="eastAsia"/>
                <w:kern w:val="0"/>
                <w:szCs w:val="21"/>
              </w:rPr>
              <w:t>下属分级基金的交易代码</w:t>
            </w:r>
          </w:p>
        </w:tc>
        <w:tc>
          <w:tcPr>
            <w:tcW w:w="2237"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4D4443" w:rsidRDefault="00743BBF">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730003</w:t>
            </w:r>
          </w:p>
        </w:tc>
        <w:tc>
          <w:tcPr>
            <w:tcW w:w="2772" w:type="dxa"/>
            <w:tcBorders>
              <w:top w:val="single" w:sz="6" w:space="0" w:color="000000"/>
              <w:left w:val="nil"/>
              <w:bottom w:val="single" w:sz="6" w:space="0" w:color="000000"/>
              <w:right w:val="single" w:sz="6" w:space="0" w:color="000000"/>
            </w:tcBorders>
            <w:shd w:val="clear" w:color="auto" w:fill="auto"/>
            <w:vAlign w:val="center"/>
          </w:tcPr>
          <w:p w:rsidR="004D4443" w:rsidRDefault="00743BBF">
            <w:pPr>
              <w:widowControl/>
              <w:spacing w:line="360" w:lineRule="auto"/>
              <w:ind w:firstLineChars="100" w:firstLine="210"/>
              <w:jc w:val="left"/>
              <w:rPr>
                <w:rFonts w:asciiTheme="minorEastAsia" w:hAnsiTheme="minorEastAsia" w:cs="宋体"/>
                <w:kern w:val="0"/>
                <w:szCs w:val="21"/>
              </w:rPr>
            </w:pPr>
            <w:r>
              <w:rPr>
                <w:rFonts w:asciiTheme="minorEastAsia" w:hAnsiTheme="minorEastAsia" w:cs="宋体" w:hint="eastAsia"/>
                <w:kern w:val="0"/>
                <w:szCs w:val="21"/>
              </w:rPr>
              <w:t>730103</w:t>
            </w:r>
          </w:p>
        </w:tc>
      </w:tr>
      <w:tr w:rsidR="004D4443">
        <w:trPr>
          <w:trHeight w:val="892"/>
        </w:trPr>
        <w:tc>
          <w:tcPr>
            <w:tcW w:w="3281"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4D4443" w:rsidRDefault="00743BBF">
            <w:pPr>
              <w:widowControl/>
              <w:spacing w:line="360" w:lineRule="auto"/>
              <w:jc w:val="left"/>
              <w:rPr>
                <w:szCs w:val="21"/>
              </w:rPr>
            </w:pPr>
            <w:r>
              <w:rPr>
                <w:rFonts w:asciiTheme="minorEastAsia" w:hAnsiTheme="minorEastAsia" w:cs="宋体" w:hint="eastAsia"/>
                <w:kern w:val="0"/>
                <w:szCs w:val="21"/>
              </w:rPr>
              <w:t>该分级基金在</w:t>
            </w:r>
            <w:r>
              <w:rPr>
                <w:rFonts w:asciiTheme="minorEastAsia" w:hAnsiTheme="minorEastAsia" w:cs="宋体" w:hint="eastAsia"/>
                <w:kern w:val="0"/>
                <w:szCs w:val="21"/>
              </w:rPr>
              <w:t>建设银行</w:t>
            </w:r>
            <w:r>
              <w:rPr>
                <w:rFonts w:asciiTheme="minorEastAsia" w:hAnsiTheme="minorEastAsia" w:cs="宋体" w:hint="eastAsia"/>
                <w:kern w:val="0"/>
                <w:szCs w:val="21"/>
              </w:rPr>
              <w:t>渠道是否暂停申购、转换转入及定期定额投资业务</w:t>
            </w:r>
            <w:r>
              <w:rPr>
                <w:rFonts w:asciiTheme="minorEastAsia" w:hAnsiTheme="minorEastAsia" w:cs="宋体" w:hint="eastAsia"/>
                <w:kern w:val="0"/>
                <w:szCs w:val="21"/>
              </w:rPr>
              <w:t xml:space="preserve"> </w:t>
            </w:r>
          </w:p>
        </w:tc>
        <w:tc>
          <w:tcPr>
            <w:tcW w:w="2237"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4D4443" w:rsidRDefault="00743BBF">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是</w:t>
            </w:r>
          </w:p>
        </w:tc>
        <w:tc>
          <w:tcPr>
            <w:tcW w:w="2772" w:type="dxa"/>
            <w:tcBorders>
              <w:top w:val="single" w:sz="6" w:space="0" w:color="000000"/>
              <w:left w:val="nil"/>
              <w:bottom w:val="single" w:sz="6" w:space="0" w:color="000000"/>
              <w:right w:val="single" w:sz="6" w:space="0" w:color="000000"/>
            </w:tcBorders>
            <w:shd w:val="clear" w:color="auto" w:fill="auto"/>
            <w:vAlign w:val="center"/>
          </w:tcPr>
          <w:p w:rsidR="004D4443" w:rsidRDefault="00743BBF">
            <w:pPr>
              <w:widowControl/>
              <w:spacing w:line="360" w:lineRule="auto"/>
              <w:ind w:firstLineChars="100" w:firstLine="210"/>
              <w:jc w:val="left"/>
              <w:rPr>
                <w:rFonts w:asciiTheme="minorEastAsia" w:hAnsiTheme="minorEastAsia" w:cs="宋体"/>
                <w:kern w:val="0"/>
                <w:szCs w:val="21"/>
              </w:rPr>
            </w:pPr>
            <w:r>
              <w:rPr>
                <w:rFonts w:asciiTheme="minorEastAsia" w:hAnsiTheme="minorEastAsia" w:cs="宋体" w:hint="eastAsia"/>
                <w:kern w:val="0"/>
                <w:szCs w:val="21"/>
              </w:rPr>
              <w:t>是</w:t>
            </w:r>
          </w:p>
        </w:tc>
      </w:tr>
    </w:tbl>
    <w:p w:rsidR="004D4443" w:rsidRDefault="00743BBF">
      <w:pPr>
        <w:widowControl/>
        <w:spacing w:line="360" w:lineRule="auto"/>
        <w:ind w:firstLineChars="200" w:firstLine="422"/>
        <w:jc w:val="left"/>
        <w:rPr>
          <w:rFonts w:asciiTheme="minorEastAsia" w:hAnsiTheme="minorEastAsia" w:cs="宋体"/>
          <w:kern w:val="0"/>
          <w:szCs w:val="21"/>
        </w:rPr>
      </w:pPr>
      <w:r>
        <w:rPr>
          <w:rFonts w:asciiTheme="minorEastAsia" w:hAnsiTheme="minorEastAsia" w:cs="宋体" w:hint="eastAsia"/>
          <w:b/>
          <w:bCs/>
          <w:kern w:val="0"/>
          <w:szCs w:val="21"/>
        </w:rPr>
        <w:t>2</w:t>
      </w:r>
      <w:r>
        <w:rPr>
          <w:rFonts w:asciiTheme="minorEastAsia" w:hAnsiTheme="minorEastAsia" w:cs="宋体" w:hint="eastAsia"/>
          <w:b/>
          <w:bCs/>
          <w:kern w:val="0"/>
          <w:szCs w:val="21"/>
        </w:rPr>
        <w:t xml:space="preserve"> </w:t>
      </w:r>
      <w:r>
        <w:rPr>
          <w:rFonts w:asciiTheme="minorEastAsia" w:hAnsiTheme="minorEastAsia" w:cs="宋体" w:hint="eastAsia"/>
          <w:b/>
          <w:bCs/>
          <w:kern w:val="0"/>
          <w:szCs w:val="21"/>
        </w:rPr>
        <w:t>其他需要提示的事项</w:t>
      </w:r>
    </w:p>
    <w:p w:rsidR="004D4443" w:rsidRDefault="00743BBF">
      <w:pPr>
        <w:widowControl/>
        <w:numPr>
          <w:ilvl w:val="255"/>
          <w:numId w:val="0"/>
        </w:numPr>
        <w:spacing w:line="360" w:lineRule="auto"/>
        <w:ind w:firstLine="420"/>
        <w:jc w:val="left"/>
        <w:rPr>
          <w:rFonts w:asciiTheme="minorEastAsia" w:hAnsiTheme="minorEastAsia" w:cs="宋体"/>
          <w:kern w:val="0"/>
          <w:szCs w:val="21"/>
        </w:rPr>
      </w:pPr>
      <w:r>
        <w:rPr>
          <w:rFonts w:asciiTheme="minorEastAsia" w:hAnsiTheme="minorEastAsia" w:cs="宋体" w:hint="eastAsia"/>
          <w:kern w:val="0"/>
          <w:szCs w:val="21"/>
        </w:rPr>
        <w:t>1</w:t>
      </w:r>
      <w:r>
        <w:rPr>
          <w:rFonts w:asciiTheme="minorEastAsia" w:hAnsiTheme="minorEastAsia" w:cs="宋体" w:hint="eastAsia"/>
          <w:kern w:val="0"/>
          <w:szCs w:val="21"/>
        </w:rPr>
        <w:t>、方正富邦基金管理有限公司（以下简称“本公司”</w:t>
      </w:r>
      <w:r>
        <w:rPr>
          <w:rFonts w:asciiTheme="minorEastAsia" w:hAnsiTheme="minorEastAsia" w:cs="宋体" w:hint="eastAsia"/>
          <w:kern w:val="0"/>
          <w:szCs w:val="21"/>
        </w:rPr>
        <w:t xml:space="preserve"> </w:t>
      </w:r>
      <w:r>
        <w:rPr>
          <w:rFonts w:asciiTheme="minorEastAsia" w:hAnsiTheme="minorEastAsia" w:cs="宋体" w:hint="eastAsia"/>
          <w:kern w:val="0"/>
          <w:szCs w:val="21"/>
        </w:rPr>
        <w:t>）决定自</w:t>
      </w:r>
      <w:r>
        <w:rPr>
          <w:rFonts w:asciiTheme="minorEastAsia" w:hAnsiTheme="minorEastAsia" w:cs="宋体" w:hint="eastAsia"/>
          <w:kern w:val="0"/>
          <w:szCs w:val="21"/>
        </w:rPr>
        <w:t>2024</w:t>
      </w:r>
      <w:r>
        <w:rPr>
          <w:rFonts w:asciiTheme="minorEastAsia" w:hAnsiTheme="minorEastAsia" w:cs="宋体" w:hint="eastAsia"/>
          <w:kern w:val="0"/>
          <w:szCs w:val="21"/>
        </w:rPr>
        <w:t>年</w:t>
      </w:r>
      <w:r>
        <w:rPr>
          <w:rFonts w:asciiTheme="minorEastAsia" w:hAnsiTheme="minorEastAsia" w:cs="宋体" w:hint="eastAsia"/>
          <w:kern w:val="0"/>
          <w:szCs w:val="21"/>
        </w:rPr>
        <w:t>12</w:t>
      </w:r>
      <w:r>
        <w:rPr>
          <w:rFonts w:asciiTheme="minorEastAsia" w:hAnsiTheme="minorEastAsia" w:cs="宋体" w:hint="eastAsia"/>
          <w:kern w:val="0"/>
          <w:szCs w:val="21"/>
        </w:rPr>
        <w:t>月</w:t>
      </w:r>
      <w:r>
        <w:rPr>
          <w:rFonts w:asciiTheme="minorEastAsia" w:hAnsiTheme="minorEastAsia" w:cs="宋体" w:hint="eastAsia"/>
          <w:kern w:val="0"/>
          <w:szCs w:val="21"/>
        </w:rPr>
        <w:t>5</w:t>
      </w:r>
      <w:r>
        <w:rPr>
          <w:rFonts w:asciiTheme="minorEastAsia" w:hAnsiTheme="minorEastAsia" w:cs="宋体" w:hint="eastAsia"/>
          <w:kern w:val="0"/>
          <w:szCs w:val="21"/>
        </w:rPr>
        <w:t>日起，暂停方正富邦货币市场基金</w:t>
      </w:r>
      <w:r>
        <w:rPr>
          <w:rFonts w:asciiTheme="minorEastAsia" w:hAnsiTheme="minorEastAsia" w:cs="宋体" w:hint="eastAsia"/>
          <w:kern w:val="0"/>
          <w:szCs w:val="21"/>
        </w:rPr>
        <w:t>A</w:t>
      </w:r>
      <w:r>
        <w:rPr>
          <w:rFonts w:asciiTheme="minorEastAsia" w:hAnsiTheme="minorEastAsia" w:cs="宋体" w:hint="eastAsia"/>
          <w:kern w:val="0"/>
          <w:szCs w:val="21"/>
        </w:rPr>
        <w:t>类、</w:t>
      </w:r>
      <w:r>
        <w:rPr>
          <w:rFonts w:asciiTheme="minorEastAsia" w:hAnsiTheme="minorEastAsia" w:cs="宋体" w:hint="eastAsia"/>
          <w:kern w:val="0"/>
          <w:szCs w:val="21"/>
        </w:rPr>
        <w:t>B</w:t>
      </w:r>
      <w:r>
        <w:rPr>
          <w:rFonts w:asciiTheme="minorEastAsia" w:hAnsiTheme="minorEastAsia" w:cs="宋体" w:hint="eastAsia"/>
          <w:kern w:val="0"/>
          <w:szCs w:val="21"/>
        </w:rPr>
        <w:t>类份额在</w:t>
      </w:r>
      <w:r>
        <w:rPr>
          <w:rFonts w:asciiTheme="minorEastAsia" w:hAnsiTheme="minorEastAsia" w:cs="宋体" w:hint="eastAsia"/>
          <w:kern w:val="0"/>
          <w:szCs w:val="21"/>
        </w:rPr>
        <w:t>建设银行</w:t>
      </w:r>
      <w:r>
        <w:rPr>
          <w:rFonts w:asciiTheme="minorEastAsia" w:hAnsiTheme="minorEastAsia" w:cs="宋体" w:hint="eastAsia"/>
          <w:kern w:val="0"/>
          <w:szCs w:val="21"/>
        </w:rPr>
        <w:t>渠道的申购、转换转入及定期定额投资业务。本基金</w:t>
      </w:r>
      <w:r>
        <w:rPr>
          <w:rFonts w:asciiTheme="minorEastAsia" w:hAnsiTheme="minorEastAsia" w:cs="宋体" w:hint="eastAsia"/>
          <w:kern w:val="0"/>
          <w:szCs w:val="21"/>
        </w:rPr>
        <w:t>A</w:t>
      </w:r>
      <w:r>
        <w:rPr>
          <w:rFonts w:asciiTheme="minorEastAsia" w:hAnsiTheme="minorEastAsia" w:cs="宋体" w:hint="eastAsia"/>
          <w:kern w:val="0"/>
          <w:szCs w:val="21"/>
        </w:rPr>
        <w:t>类</w:t>
      </w:r>
      <w:bookmarkStart w:id="0" w:name="_GoBack"/>
      <w:bookmarkEnd w:id="0"/>
      <w:r>
        <w:rPr>
          <w:rFonts w:asciiTheme="minorEastAsia" w:hAnsiTheme="minorEastAsia" w:cs="宋体" w:hint="eastAsia"/>
          <w:kern w:val="0"/>
          <w:szCs w:val="21"/>
        </w:rPr>
        <w:t>、</w:t>
      </w:r>
      <w:r>
        <w:rPr>
          <w:rFonts w:asciiTheme="minorEastAsia" w:hAnsiTheme="minorEastAsia" w:cs="宋体" w:hint="eastAsia"/>
          <w:kern w:val="0"/>
          <w:szCs w:val="21"/>
        </w:rPr>
        <w:t>B</w:t>
      </w:r>
      <w:r>
        <w:rPr>
          <w:rFonts w:asciiTheme="minorEastAsia" w:hAnsiTheme="minorEastAsia" w:cs="宋体" w:hint="eastAsia"/>
          <w:kern w:val="0"/>
          <w:szCs w:val="21"/>
        </w:rPr>
        <w:t>类份额在</w:t>
      </w:r>
      <w:r>
        <w:rPr>
          <w:rFonts w:asciiTheme="minorEastAsia" w:hAnsiTheme="minorEastAsia" w:cs="宋体" w:hint="eastAsia"/>
          <w:kern w:val="0"/>
          <w:szCs w:val="21"/>
        </w:rPr>
        <w:t>建设银行</w:t>
      </w:r>
      <w:r>
        <w:rPr>
          <w:rFonts w:asciiTheme="minorEastAsia" w:hAnsiTheme="minorEastAsia" w:cs="宋体" w:hint="eastAsia"/>
          <w:kern w:val="0"/>
          <w:szCs w:val="21"/>
        </w:rPr>
        <w:t>渠道的赎回等其他业务照常办理。</w:t>
      </w:r>
    </w:p>
    <w:p w:rsidR="004D4443" w:rsidRDefault="00743BBF">
      <w:pPr>
        <w:widowControl/>
        <w:numPr>
          <w:ilvl w:val="255"/>
          <w:numId w:val="0"/>
        </w:numPr>
        <w:spacing w:line="360" w:lineRule="auto"/>
        <w:ind w:firstLine="420"/>
        <w:jc w:val="left"/>
        <w:rPr>
          <w:rFonts w:asciiTheme="minorEastAsia" w:hAnsiTheme="minorEastAsia" w:cs="宋体"/>
          <w:kern w:val="0"/>
          <w:szCs w:val="21"/>
        </w:rPr>
      </w:pPr>
      <w:r>
        <w:rPr>
          <w:rFonts w:asciiTheme="minorEastAsia" w:hAnsiTheme="minorEastAsia" w:cs="宋体" w:hint="eastAsia"/>
          <w:kern w:val="0"/>
          <w:szCs w:val="21"/>
        </w:rPr>
        <w:lastRenderedPageBreak/>
        <w:t>2</w:t>
      </w:r>
      <w:r>
        <w:rPr>
          <w:rFonts w:asciiTheme="minorEastAsia" w:hAnsiTheme="minorEastAsia" w:cs="宋体" w:hint="eastAsia"/>
          <w:kern w:val="0"/>
          <w:szCs w:val="21"/>
        </w:rPr>
        <w:t>、关于方正富邦货币市场基金</w:t>
      </w:r>
      <w:r>
        <w:rPr>
          <w:rFonts w:asciiTheme="minorEastAsia" w:hAnsiTheme="minorEastAsia" w:cs="宋体" w:hint="eastAsia"/>
          <w:kern w:val="0"/>
          <w:szCs w:val="21"/>
        </w:rPr>
        <w:t>A</w:t>
      </w:r>
      <w:r>
        <w:rPr>
          <w:rFonts w:asciiTheme="minorEastAsia" w:hAnsiTheme="minorEastAsia" w:cs="宋体" w:hint="eastAsia"/>
          <w:kern w:val="0"/>
          <w:szCs w:val="21"/>
        </w:rPr>
        <w:t>类、</w:t>
      </w:r>
      <w:r>
        <w:rPr>
          <w:rFonts w:asciiTheme="minorEastAsia" w:hAnsiTheme="minorEastAsia" w:cs="宋体" w:hint="eastAsia"/>
          <w:kern w:val="0"/>
          <w:szCs w:val="21"/>
        </w:rPr>
        <w:t>B</w:t>
      </w:r>
      <w:r>
        <w:rPr>
          <w:rFonts w:asciiTheme="minorEastAsia" w:hAnsiTheme="minorEastAsia" w:cs="宋体" w:hint="eastAsia"/>
          <w:kern w:val="0"/>
          <w:szCs w:val="21"/>
        </w:rPr>
        <w:t>类份额在</w:t>
      </w:r>
      <w:r>
        <w:rPr>
          <w:rFonts w:asciiTheme="minorEastAsia" w:hAnsiTheme="minorEastAsia" w:cs="宋体" w:hint="eastAsia"/>
          <w:kern w:val="0"/>
          <w:szCs w:val="21"/>
        </w:rPr>
        <w:t>建设银行</w:t>
      </w:r>
      <w:r>
        <w:rPr>
          <w:rFonts w:asciiTheme="minorEastAsia" w:hAnsiTheme="minorEastAsia" w:cs="宋体" w:hint="eastAsia"/>
          <w:kern w:val="0"/>
          <w:szCs w:val="21"/>
        </w:rPr>
        <w:t>渠道恢复申购、转换转入及定期定额投资业务的时间，本公司将另行公告。</w:t>
      </w:r>
    </w:p>
    <w:p w:rsidR="004D4443" w:rsidRDefault="00743BBF">
      <w:pPr>
        <w:widowControl/>
        <w:spacing w:line="360" w:lineRule="auto"/>
        <w:jc w:val="left"/>
        <w:rPr>
          <w:rFonts w:asciiTheme="minorEastAsia" w:hAnsiTheme="minorEastAsia" w:cs="宋体"/>
          <w:kern w:val="0"/>
          <w:szCs w:val="21"/>
        </w:rPr>
      </w:pPr>
      <w:r>
        <w:rPr>
          <w:rFonts w:ascii="宋体" w:eastAsia="宋体" w:hAnsi="宋体" w:cs="宋体" w:hint="eastAsia"/>
          <w:sz w:val="24"/>
          <w:szCs w:val="24"/>
        </w:rPr>
        <w:t xml:space="preserve"> </w:t>
      </w:r>
      <w:r>
        <w:rPr>
          <w:rFonts w:ascii="宋体" w:eastAsia="宋体" w:hAnsi="宋体" w:cs="宋体"/>
          <w:sz w:val="24"/>
          <w:szCs w:val="24"/>
        </w:rPr>
        <w:t xml:space="preserve"> </w:t>
      </w:r>
      <w:r>
        <w:rPr>
          <w:rFonts w:ascii="宋体" w:eastAsia="宋体" w:hAnsi="宋体" w:cs="宋体" w:hint="eastAsia"/>
          <w:sz w:val="24"/>
          <w:szCs w:val="24"/>
        </w:rPr>
        <w:t xml:space="preserve">  </w:t>
      </w:r>
      <w:r>
        <w:rPr>
          <w:rFonts w:asciiTheme="minorEastAsia" w:hAnsiTheme="minorEastAsia" w:cs="宋体" w:hint="eastAsia"/>
          <w:kern w:val="0"/>
          <w:szCs w:val="21"/>
        </w:rPr>
        <w:t>3</w:t>
      </w:r>
      <w:r>
        <w:rPr>
          <w:rFonts w:asciiTheme="minorEastAsia" w:hAnsiTheme="minorEastAsia" w:cs="宋体" w:hint="eastAsia"/>
          <w:kern w:val="0"/>
          <w:szCs w:val="21"/>
        </w:rPr>
        <w:t>、如有疑问，请拨打本公司客户服务电话</w:t>
      </w:r>
      <w:r>
        <w:rPr>
          <w:rFonts w:asciiTheme="minorEastAsia" w:hAnsiTheme="minorEastAsia" w:cs="宋体" w:hint="eastAsia"/>
          <w:kern w:val="0"/>
          <w:szCs w:val="21"/>
        </w:rPr>
        <w:t>400-818-0990</w:t>
      </w:r>
      <w:r>
        <w:rPr>
          <w:rFonts w:asciiTheme="minorEastAsia" w:hAnsiTheme="minorEastAsia" w:cs="宋体" w:hint="eastAsia"/>
          <w:kern w:val="0"/>
          <w:szCs w:val="21"/>
        </w:rPr>
        <w:t>或登录本公司网站</w:t>
      </w:r>
      <w:r>
        <w:rPr>
          <w:rFonts w:asciiTheme="minorEastAsia" w:hAnsiTheme="minorEastAsia" w:cs="宋体" w:hint="eastAsia"/>
          <w:kern w:val="0"/>
          <w:szCs w:val="21"/>
        </w:rPr>
        <w:t>www.founderff.com</w:t>
      </w:r>
      <w:r>
        <w:rPr>
          <w:rFonts w:asciiTheme="minorEastAsia" w:hAnsiTheme="minorEastAsia" w:cs="宋体" w:hint="eastAsia"/>
          <w:kern w:val="0"/>
          <w:szCs w:val="21"/>
        </w:rPr>
        <w:t>获取相关信息。</w:t>
      </w:r>
    </w:p>
    <w:p w:rsidR="004D4443" w:rsidRDefault="00743BBF">
      <w:pPr>
        <w:widowControl/>
        <w:spacing w:line="360" w:lineRule="auto"/>
        <w:ind w:firstLine="420"/>
        <w:jc w:val="left"/>
        <w:rPr>
          <w:rFonts w:asciiTheme="minorEastAsia" w:hAnsiTheme="minorEastAsia" w:cs="宋体"/>
          <w:kern w:val="0"/>
          <w:szCs w:val="21"/>
        </w:rPr>
      </w:pPr>
      <w:r>
        <w:rPr>
          <w:rFonts w:asciiTheme="minorEastAsia" w:hAnsiTheme="minorEastAsia" w:cs="宋体" w:hint="eastAsia"/>
          <w:kern w:val="0"/>
          <w:szCs w:val="21"/>
        </w:rPr>
        <w:t>风</w:t>
      </w:r>
      <w:r>
        <w:rPr>
          <w:rFonts w:asciiTheme="minorEastAsia" w:hAnsiTheme="minorEastAsia" w:cs="宋体" w:hint="eastAsia"/>
          <w:kern w:val="0"/>
          <w:szCs w:val="21"/>
        </w:rPr>
        <w:t>险提示：基金管理人承诺以恪尽职守、诚实信用、谨慎勤勉的原则管理和运用基金资产，但不保证基金一定盈利，也不保证最低收益。基金的过往业绩并不代表其未来表现。基金管理人管理的其他基金的业绩不构成新基金业绩表现的保证。投资者应当充分了解基金定期定额投资和零存整取等储蓄方式的区别。定期定额投资并不能规避基金投资所固有的风险，且不能保证投资者获得收益，也不是替代储蓄的等效理财方式。基金管理人提醒投资者在做出投资决策前应全面了解基金的产品特性并充分考虑自身的风险承受能力，理性判断市场，投资者自行承担基金运营状况与基金净值</w:t>
      </w:r>
      <w:r>
        <w:rPr>
          <w:rFonts w:asciiTheme="minorEastAsia" w:hAnsiTheme="minorEastAsia" w:cs="宋体" w:hint="eastAsia"/>
          <w:kern w:val="0"/>
          <w:szCs w:val="21"/>
        </w:rPr>
        <w:t>变化引致的投资风险。投资有风险，选择须谨慎。敬请投资者于投资前认真阅读基金的基金合同、最新招募说明书及其他法律文件。</w:t>
      </w:r>
    </w:p>
    <w:p w:rsidR="004D4443" w:rsidRDefault="00743BBF">
      <w:pPr>
        <w:widowControl/>
        <w:spacing w:line="360" w:lineRule="auto"/>
        <w:ind w:firstLine="420"/>
        <w:jc w:val="left"/>
        <w:rPr>
          <w:rFonts w:asciiTheme="minorEastAsia" w:hAnsiTheme="minorEastAsia" w:cs="宋体"/>
          <w:kern w:val="0"/>
          <w:szCs w:val="21"/>
        </w:rPr>
      </w:pPr>
      <w:r>
        <w:rPr>
          <w:rFonts w:asciiTheme="minorEastAsia" w:hAnsiTheme="minorEastAsia" w:cs="宋体" w:hint="eastAsia"/>
          <w:kern w:val="0"/>
          <w:szCs w:val="21"/>
        </w:rPr>
        <w:t>特此公告。</w:t>
      </w:r>
    </w:p>
    <w:p w:rsidR="004D4443" w:rsidRDefault="00743BBF">
      <w:pPr>
        <w:widowControl/>
        <w:spacing w:line="360" w:lineRule="auto"/>
        <w:ind w:firstLine="420"/>
        <w:jc w:val="right"/>
        <w:rPr>
          <w:rFonts w:asciiTheme="minorEastAsia" w:hAnsiTheme="minorEastAsia" w:cs="宋体"/>
          <w:kern w:val="0"/>
          <w:szCs w:val="21"/>
        </w:rPr>
      </w:pPr>
      <w:r>
        <w:rPr>
          <w:rFonts w:asciiTheme="minorEastAsia" w:hAnsiTheme="minorEastAsia" w:cs="宋体" w:hint="eastAsia"/>
          <w:kern w:val="0"/>
          <w:szCs w:val="21"/>
        </w:rPr>
        <w:br/>
      </w:r>
      <w:r>
        <w:rPr>
          <w:rFonts w:asciiTheme="minorEastAsia" w:hAnsiTheme="minorEastAsia" w:cs="宋体" w:hint="eastAsia"/>
          <w:b/>
          <w:bCs/>
          <w:kern w:val="0"/>
          <w:szCs w:val="21"/>
        </w:rPr>
        <w:t>方正富邦基金管理有限公司</w:t>
      </w:r>
    </w:p>
    <w:p w:rsidR="004D4443" w:rsidRDefault="00743BBF">
      <w:pPr>
        <w:widowControl/>
        <w:spacing w:line="360" w:lineRule="auto"/>
        <w:ind w:firstLine="420"/>
        <w:jc w:val="right"/>
        <w:rPr>
          <w:rFonts w:asciiTheme="minorEastAsia" w:hAnsiTheme="minorEastAsia" w:cs="宋体"/>
          <w:kern w:val="0"/>
          <w:szCs w:val="21"/>
        </w:rPr>
      </w:pPr>
      <w:r>
        <w:rPr>
          <w:rFonts w:asciiTheme="minorEastAsia" w:hAnsiTheme="minorEastAsia" w:cs="宋体" w:hint="eastAsia"/>
          <w:b/>
          <w:bCs/>
          <w:kern w:val="0"/>
          <w:szCs w:val="21"/>
        </w:rPr>
        <w:t>2024</w:t>
      </w:r>
      <w:r>
        <w:rPr>
          <w:rFonts w:asciiTheme="minorEastAsia" w:hAnsiTheme="minorEastAsia" w:cs="宋体" w:hint="eastAsia"/>
          <w:b/>
          <w:bCs/>
          <w:kern w:val="0"/>
          <w:szCs w:val="21"/>
        </w:rPr>
        <w:t>年</w:t>
      </w:r>
      <w:r>
        <w:rPr>
          <w:rFonts w:asciiTheme="minorEastAsia" w:hAnsiTheme="minorEastAsia" w:cs="宋体" w:hint="eastAsia"/>
          <w:b/>
          <w:bCs/>
          <w:kern w:val="0"/>
          <w:szCs w:val="21"/>
        </w:rPr>
        <w:t>1</w:t>
      </w:r>
      <w:r>
        <w:rPr>
          <w:rFonts w:asciiTheme="minorEastAsia" w:hAnsiTheme="minorEastAsia" w:cs="宋体" w:hint="eastAsia"/>
          <w:b/>
          <w:bCs/>
          <w:kern w:val="0"/>
          <w:szCs w:val="21"/>
        </w:rPr>
        <w:t>2</w:t>
      </w:r>
      <w:r>
        <w:rPr>
          <w:rFonts w:asciiTheme="minorEastAsia" w:hAnsiTheme="minorEastAsia" w:cs="宋体" w:hint="eastAsia"/>
          <w:b/>
          <w:bCs/>
          <w:kern w:val="0"/>
          <w:szCs w:val="21"/>
        </w:rPr>
        <w:t>月</w:t>
      </w:r>
      <w:r>
        <w:rPr>
          <w:rFonts w:asciiTheme="minorEastAsia" w:hAnsiTheme="minorEastAsia" w:cs="宋体" w:hint="eastAsia"/>
          <w:b/>
          <w:bCs/>
          <w:kern w:val="0"/>
          <w:szCs w:val="21"/>
        </w:rPr>
        <w:t>4</w:t>
      </w:r>
      <w:r>
        <w:rPr>
          <w:rFonts w:asciiTheme="minorEastAsia" w:hAnsiTheme="minorEastAsia" w:cs="宋体" w:hint="eastAsia"/>
          <w:b/>
          <w:bCs/>
          <w:kern w:val="0"/>
          <w:szCs w:val="21"/>
        </w:rPr>
        <w:t>日</w:t>
      </w:r>
    </w:p>
    <w:p w:rsidR="004D4443" w:rsidRDefault="004D4443">
      <w:pPr>
        <w:rPr>
          <w:rFonts w:asciiTheme="minorEastAsia" w:hAnsiTheme="minorEastAsia"/>
          <w:szCs w:val="21"/>
        </w:rPr>
      </w:pPr>
    </w:p>
    <w:sectPr w:rsidR="004D4443" w:rsidSect="004D444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443" w:rsidRDefault="004D4443"/>
  </w:endnote>
  <w:endnote w:type="continuationSeparator" w:id="0">
    <w:p w:rsidR="004D4443" w:rsidRDefault="004D444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443" w:rsidRDefault="004D4443"/>
  </w:footnote>
  <w:footnote w:type="continuationSeparator" w:id="0">
    <w:p w:rsidR="004D4443" w:rsidRDefault="004D4443"/>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jlmNWZhZmRjNDVmYjgxMWVmMTRiNjI5MDk4NWIyY2EifQ=="/>
  </w:docVars>
  <w:rsids>
    <w:rsidRoot w:val="007664B7"/>
    <w:rsid w:val="00010CA9"/>
    <w:rsid w:val="000243C1"/>
    <w:rsid w:val="00142730"/>
    <w:rsid w:val="00156E72"/>
    <w:rsid w:val="001843CA"/>
    <w:rsid w:val="00222B8B"/>
    <w:rsid w:val="00235D73"/>
    <w:rsid w:val="002802AD"/>
    <w:rsid w:val="00297293"/>
    <w:rsid w:val="002E69A3"/>
    <w:rsid w:val="00327CAC"/>
    <w:rsid w:val="0038389E"/>
    <w:rsid w:val="003969B7"/>
    <w:rsid w:val="003F4A55"/>
    <w:rsid w:val="0040283D"/>
    <w:rsid w:val="004623A9"/>
    <w:rsid w:val="004D4443"/>
    <w:rsid w:val="004D6609"/>
    <w:rsid w:val="004F4914"/>
    <w:rsid w:val="00542AFE"/>
    <w:rsid w:val="00587480"/>
    <w:rsid w:val="005D4CD6"/>
    <w:rsid w:val="005E7B4A"/>
    <w:rsid w:val="00602B8C"/>
    <w:rsid w:val="007112C5"/>
    <w:rsid w:val="00743BBF"/>
    <w:rsid w:val="00762518"/>
    <w:rsid w:val="007664B7"/>
    <w:rsid w:val="00766C67"/>
    <w:rsid w:val="00770065"/>
    <w:rsid w:val="007F1AF6"/>
    <w:rsid w:val="00860532"/>
    <w:rsid w:val="0086305C"/>
    <w:rsid w:val="008925D9"/>
    <w:rsid w:val="008B7CEA"/>
    <w:rsid w:val="008D1540"/>
    <w:rsid w:val="008F3720"/>
    <w:rsid w:val="0092317B"/>
    <w:rsid w:val="0093449F"/>
    <w:rsid w:val="00947429"/>
    <w:rsid w:val="0095154B"/>
    <w:rsid w:val="00960665"/>
    <w:rsid w:val="009D65C4"/>
    <w:rsid w:val="009E2082"/>
    <w:rsid w:val="00A40B81"/>
    <w:rsid w:val="00A82BD7"/>
    <w:rsid w:val="00AA4F81"/>
    <w:rsid w:val="00B52600"/>
    <w:rsid w:val="00B62963"/>
    <w:rsid w:val="00BF6579"/>
    <w:rsid w:val="00C6172D"/>
    <w:rsid w:val="00CA1562"/>
    <w:rsid w:val="00CB1052"/>
    <w:rsid w:val="00CE15C6"/>
    <w:rsid w:val="00D9181F"/>
    <w:rsid w:val="00DE66C3"/>
    <w:rsid w:val="00DF2DB6"/>
    <w:rsid w:val="00E30FBA"/>
    <w:rsid w:val="00E42314"/>
    <w:rsid w:val="00EF7C74"/>
    <w:rsid w:val="00FC75A3"/>
    <w:rsid w:val="00FD6AF0"/>
    <w:rsid w:val="00FF5342"/>
    <w:rsid w:val="3108799B"/>
    <w:rsid w:val="319A4BAD"/>
    <w:rsid w:val="33843993"/>
    <w:rsid w:val="387538F1"/>
    <w:rsid w:val="453B0881"/>
    <w:rsid w:val="49AE45FF"/>
    <w:rsid w:val="57EB51CE"/>
    <w:rsid w:val="5A7050E2"/>
    <w:rsid w:val="6613208F"/>
    <w:rsid w:val="6BF941F2"/>
    <w:rsid w:val="7C3150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annotation subject"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4D4443"/>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iPriority w:val="99"/>
    <w:semiHidden/>
    <w:unhideWhenUsed/>
    <w:qFormat/>
    <w:rsid w:val="004D4443"/>
    <w:pPr>
      <w:jc w:val="left"/>
    </w:pPr>
  </w:style>
  <w:style w:type="paragraph" w:styleId="a4">
    <w:name w:val="Balloon Text"/>
    <w:basedOn w:val="a"/>
    <w:link w:val="Char0"/>
    <w:autoRedefine/>
    <w:uiPriority w:val="99"/>
    <w:semiHidden/>
    <w:unhideWhenUsed/>
    <w:qFormat/>
    <w:rsid w:val="004D4443"/>
    <w:rPr>
      <w:sz w:val="18"/>
      <w:szCs w:val="18"/>
    </w:rPr>
  </w:style>
  <w:style w:type="paragraph" w:styleId="a5">
    <w:name w:val="footer"/>
    <w:basedOn w:val="a"/>
    <w:link w:val="Char1"/>
    <w:autoRedefine/>
    <w:uiPriority w:val="99"/>
    <w:unhideWhenUsed/>
    <w:qFormat/>
    <w:rsid w:val="004D4443"/>
    <w:pPr>
      <w:tabs>
        <w:tab w:val="center" w:pos="4153"/>
        <w:tab w:val="right" w:pos="8306"/>
      </w:tabs>
      <w:snapToGrid w:val="0"/>
      <w:jc w:val="left"/>
    </w:pPr>
    <w:rPr>
      <w:sz w:val="18"/>
      <w:szCs w:val="18"/>
    </w:rPr>
  </w:style>
  <w:style w:type="paragraph" w:styleId="a6">
    <w:name w:val="header"/>
    <w:basedOn w:val="a"/>
    <w:link w:val="Char2"/>
    <w:autoRedefine/>
    <w:uiPriority w:val="99"/>
    <w:unhideWhenUsed/>
    <w:qFormat/>
    <w:rsid w:val="004D4443"/>
    <w:pPr>
      <w:pBdr>
        <w:bottom w:val="single" w:sz="6" w:space="1" w:color="auto"/>
      </w:pBdr>
      <w:tabs>
        <w:tab w:val="center" w:pos="4153"/>
        <w:tab w:val="right" w:pos="8306"/>
      </w:tabs>
      <w:snapToGrid w:val="0"/>
      <w:jc w:val="center"/>
    </w:pPr>
    <w:rPr>
      <w:sz w:val="18"/>
      <w:szCs w:val="18"/>
    </w:rPr>
  </w:style>
  <w:style w:type="paragraph" w:styleId="a7">
    <w:name w:val="Normal (Web)"/>
    <w:basedOn w:val="a"/>
    <w:autoRedefine/>
    <w:uiPriority w:val="99"/>
    <w:unhideWhenUsed/>
    <w:qFormat/>
    <w:rsid w:val="004D4443"/>
    <w:pPr>
      <w:widowControl/>
      <w:jc w:val="left"/>
    </w:pPr>
    <w:rPr>
      <w:rFonts w:ascii="微软雅黑" w:eastAsia="微软雅黑" w:hAnsi="微软雅黑" w:cs="宋体"/>
      <w:kern w:val="0"/>
      <w:sz w:val="24"/>
      <w:szCs w:val="24"/>
    </w:rPr>
  </w:style>
  <w:style w:type="paragraph" w:styleId="a8">
    <w:name w:val="annotation subject"/>
    <w:basedOn w:val="a3"/>
    <w:next w:val="a3"/>
    <w:link w:val="Char3"/>
    <w:autoRedefine/>
    <w:uiPriority w:val="99"/>
    <w:semiHidden/>
    <w:unhideWhenUsed/>
    <w:qFormat/>
    <w:rsid w:val="004D4443"/>
    <w:rPr>
      <w:b/>
      <w:bCs/>
    </w:rPr>
  </w:style>
  <w:style w:type="character" w:styleId="a9">
    <w:name w:val="Strong"/>
    <w:basedOn w:val="a0"/>
    <w:autoRedefine/>
    <w:uiPriority w:val="22"/>
    <w:qFormat/>
    <w:rsid w:val="004D4443"/>
    <w:rPr>
      <w:b/>
      <w:bCs/>
    </w:rPr>
  </w:style>
  <w:style w:type="character" w:styleId="aa">
    <w:name w:val="annotation reference"/>
    <w:basedOn w:val="a0"/>
    <w:autoRedefine/>
    <w:uiPriority w:val="99"/>
    <w:semiHidden/>
    <w:unhideWhenUsed/>
    <w:qFormat/>
    <w:rsid w:val="004D4443"/>
    <w:rPr>
      <w:sz w:val="21"/>
      <w:szCs w:val="21"/>
    </w:rPr>
  </w:style>
  <w:style w:type="character" w:customStyle="1" w:styleId="Char2">
    <w:name w:val="页眉 Char"/>
    <w:basedOn w:val="a0"/>
    <w:link w:val="a6"/>
    <w:autoRedefine/>
    <w:uiPriority w:val="99"/>
    <w:qFormat/>
    <w:rsid w:val="004D4443"/>
    <w:rPr>
      <w:sz w:val="18"/>
      <w:szCs w:val="18"/>
    </w:rPr>
  </w:style>
  <w:style w:type="character" w:customStyle="1" w:styleId="Char1">
    <w:name w:val="页脚 Char"/>
    <w:basedOn w:val="a0"/>
    <w:link w:val="a5"/>
    <w:autoRedefine/>
    <w:uiPriority w:val="99"/>
    <w:qFormat/>
    <w:rsid w:val="004D4443"/>
    <w:rPr>
      <w:sz w:val="18"/>
      <w:szCs w:val="18"/>
    </w:rPr>
  </w:style>
  <w:style w:type="character" w:customStyle="1" w:styleId="Char0">
    <w:name w:val="批注框文本 Char"/>
    <w:basedOn w:val="a0"/>
    <w:link w:val="a4"/>
    <w:autoRedefine/>
    <w:uiPriority w:val="99"/>
    <w:semiHidden/>
    <w:qFormat/>
    <w:rsid w:val="004D4443"/>
    <w:rPr>
      <w:sz w:val="18"/>
      <w:szCs w:val="18"/>
    </w:rPr>
  </w:style>
  <w:style w:type="character" w:customStyle="1" w:styleId="Char">
    <w:name w:val="批注文字 Char"/>
    <w:basedOn w:val="a0"/>
    <w:link w:val="a3"/>
    <w:autoRedefine/>
    <w:uiPriority w:val="99"/>
    <w:semiHidden/>
    <w:qFormat/>
    <w:rsid w:val="004D4443"/>
    <w:rPr>
      <w:rFonts w:asciiTheme="minorHAnsi" w:eastAsiaTheme="minorEastAsia" w:hAnsiTheme="minorHAnsi" w:cstheme="minorBidi"/>
      <w:kern w:val="2"/>
      <w:sz w:val="21"/>
      <w:szCs w:val="22"/>
    </w:rPr>
  </w:style>
  <w:style w:type="character" w:customStyle="1" w:styleId="Char3">
    <w:name w:val="批注主题 Char"/>
    <w:basedOn w:val="Char"/>
    <w:link w:val="a8"/>
    <w:autoRedefine/>
    <w:uiPriority w:val="99"/>
    <w:semiHidden/>
    <w:qFormat/>
    <w:rsid w:val="004D4443"/>
    <w:rPr>
      <w:rFonts w:asciiTheme="minorHAnsi" w:eastAsiaTheme="minorEastAsia" w:hAnsiTheme="minorHAnsi" w:cstheme="minorBidi"/>
      <w:b/>
      <w:bCs/>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166</Words>
  <Characters>948</Characters>
  <Application>Microsoft Office Word</Application>
  <DocSecurity>4</DocSecurity>
  <Lines>7</Lines>
  <Paragraphs>2</Paragraphs>
  <ScaleCrop>false</ScaleCrop>
  <Company>Microsoft</Company>
  <LinksUpToDate>false</LinksUpToDate>
  <CharactersWithSpaces>1112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王宏微</dc:creator>
  <cp:lastModifiedBy>ZHONGM</cp:lastModifiedBy>
  <cp:revision>2</cp:revision>
  <dcterms:created xsi:type="dcterms:W3CDTF">2024-12-03T16:01:00Z</dcterms:created>
  <dcterms:modified xsi:type="dcterms:W3CDTF">2024-12-03T16:01:00Z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B006B28E22634F82BACF677B214AD6CE_13</vt:lpwstr>
  </property>
</Properties>
</file>