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5A" w:rsidRPr="00C70F2A" w:rsidRDefault="0047155A" w:rsidP="0047155A">
      <w:pPr>
        <w:spacing w:line="360" w:lineRule="auto"/>
        <w:jc w:val="center"/>
        <w:rPr>
          <w:rFonts w:ascii="宋体" w:eastAsia="宋体" w:hAnsi="宋体" w:cs="Times New Roman"/>
          <w:b/>
          <w:szCs w:val="21"/>
        </w:rPr>
      </w:pPr>
      <w:r w:rsidRPr="00C70F2A">
        <w:rPr>
          <w:rFonts w:ascii="宋体" w:eastAsia="宋体" w:hAnsi="宋体" w:cs="Times New Roman"/>
          <w:b/>
          <w:szCs w:val="21"/>
        </w:rPr>
        <w:t>关于</w:t>
      </w:r>
      <w:r w:rsidR="006F08CD">
        <w:rPr>
          <w:rFonts w:ascii="宋体" w:eastAsia="宋体" w:hAnsi="宋体" w:cs="Times New Roman" w:hint="eastAsia"/>
          <w:b/>
          <w:szCs w:val="21"/>
        </w:rPr>
        <w:t>摩根共同分类目录绿色债券债券型证券投资基</w:t>
      </w:r>
      <w:r w:rsidR="00B45E63" w:rsidRPr="00B45E63">
        <w:rPr>
          <w:rFonts w:ascii="宋体" w:eastAsia="宋体" w:hAnsi="宋体" w:cs="Times New Roman" w:hint="eastAsia"/>
          <w:b/>
          <w:szCs w:val="21"/>
        </w:rPr>
        <w:t>金</w:t>
      </w:r>
      <w:r w:rsidRPr="00C70F2A">
        <w:rPr>
          <w:rFonts w:ascii="宋体" w:eastAsia="宋体" w:hAnsi="宋体" w:cs="Times New Roman"/>
          <w:b/>
          <w:szCs w:val="21"/>
        </w:rPr>
        <w:t>提前结束募集的公告</w:t>
      </w:r>
    </w:p>
    <w:p w:rsidR="0047155A" w:rsidRPr="00C70F2A" w:rsidRDefault="0047155A" w:rsidP="00DB06CF">
      <w:pPr>
        <w:spacing w:line="360" w:lineRule="auto"/>
        <w:jc w:val="center"/>
        <w:rPr>
          <w:rFonts w:ascii="宋体" w:eastAsia="宋体" w:hAnsi="宋体" w:cs="Times New Roman"/>
          <w:b/>
          <w:szCs w:val="21"/>
        </w:rPr>
      </w:pPr>
    </w:p>
    <w:p w:rsidR="007701A3" w:rsidRDefault="006F08CD" w:rsidP="007701A3">
      <w:pPr>
        <w:spacing w:line="360" w:lineRule="auto"/>
        <w:ind w:firstLine="420"/>
        <w:rPr>
          <w:rFonts w:asciiTheme="minorEastAsia" w:hAnsiTheme="minorEastAsia" w:cs="Times New Roman"/>
          <w:szCs w:val="21"/>
        </w:rPr>
      </w:pPr>
      <w:r w:rsidRPr="006F08CD">
        <w:rPr>
          <w:rFonts w:asciiTheme="minorEastAsia" w:hAnsiTheme="minorEastAsia" w:cs="宋体" w:hint="eastAsia"/>
          <w:kern w:val="0"/>
          <w:szCs w:val="21"/>
        </w:rPr>
        <w:t>摩根共同分类目录绿色债券债券型证券投资基金</w:t>
      </w:r>
      <w:r w:rsidR="0047155A" w:rsidRPr="00C70F2A">
        <w:rPr>
          <w:rFonts w:asciiTheme="minorEastAsia" w:hAnsiTheme="minorEastAsia" w:cs="Times New Roman"/>
          <w:szCs w:val="21"/>
        </w:rPr>
        <w:t>（</w:t>
      </w:r>
      <w:r w:rsidR="005A38DD" w:rsidRPr="00C70F2A">
        <w:rPr>
          <w:rFonts w:asciiTheme="minorEastAsia" w:hAnsiTheme="minorEastAsia" w:cs="Times New Roman" w:hint="eastAsia"/>
          <w:szCs w:val="21"/>
        </w:rPr>
        <w:t>基金</w:t>
      </w:r>
      <w:r w:rsidR="00726F5C" w:rsidRPr="00C70F2A">
        <w:rPr>
          <w:rFonts w:asciiTheme="minorEastAsia" w:hAnsiTheme="minorEastAsia" w:cs="Times New Roman" w:hint="eastAsia"/>
          <w:szCs w:val="21"/>
        </w:rPr>
        <w:t>简称</w:t>
      </w:r>
      <w:r w:rsidR="005A38DD" w:rsidRPr="00C70F2A">
        <w:rPr>
          <w:rFonts w:asciiTheme="minorEastAsia" w:hAnsiTheme="minorEastAsia" w:cs="Times New Roman" w:hint="eastAsia"/>
          <w:szCs w:val="21"/>
        </w:rPr>
        <w:t>：</w:t>
      </w:r>
      <w:r w:rsidRPr="006F08CD">
        <w:rPr>
          <w:rFonts w:asciiTheme="minorEastAsia" w:hAnsiTheme="minorEastAsia" w:cs="宋体" w:hint="eastAsia"/>
          <w:kern w:val="0"/>
          <w:szCs w:val="21"/>
        </w:rPr>
        <w:t>摩根共同分类目录绿色债券A</w:t>
      </w:r>
      <w:r w:rsidR="00636473" w:rsidRPr="00636473">
        <w:rPr>
          <w:rFonts w:asciiTheme="minorEastAsia" w:hAnsiTheme="minorEastAsia" w:cs="宋体" w:hint="eastAsia"/>
          <w:kern w:val="0"/>
          <w:szCs w:val="21"/>
        </w:rPr>
        <w:t>：</w:t>
      </w:r>
      <w:r w:rsidRPr="006F08CD">
        <w:rPr>
          <w:rFonts w:asciiTheme="minorEastAsia" w:hAnsiTheme="minorEastAsia" w:cs="宋体"/>
          <w:kern w:val="0"/>
          <w:szCs w:val="21"/>
        </w:rPr>
        <w:t>022617</w:t>
      </w:r>
      <w:r w:rsidR="00636473">
        <w:rPr>
          <w:rFonts w:asciiTheme="minorEastAsia" w:hAnsiTheme="minorEastAsia" w:cs="宋体" w:hint="eastAsia"/>
          <w:kern w:val="0"/>
          <w:szCs w:val="21"/>
        </w:rPr>
        <w:t>；</w:t>
      </w:r>
      <w:r w:rsidRPr="006F08CD">
        <w:rPr>
          <w:rFonts w:asciiTheme="minorEastAsia" w:hAnsiTheme="minorEastAsia" w:cs="宋体" w:hint="eastAsia"/>
          <w:kern w:val="0"/>
          <w:szCs w:val="21"/>
        </w:rPr>
        <w:t>摩根共同分类目录绿色债券C</w:t>
      </w:r>
      <w:r w:rsidR="00636473" w:rsidRPr="00636473">
        <w:rPr>
          <w:rFonts w:asciiTheme="minorEastAsia" w:hAnsiTheme="minorEastAsia" w:cs="宋体" w:hint="eastAsia"/>
          <w:kern w:val="0"/>
          <w:szCs w:val="21"/>
        </w:rPr>
        <w:t>：</w:t>
      </w:r>
      <w:r w:rsidRPr="006F08CD">
        <w:rPr>
          <w:rFonts w:asciiTheme="minorEastAsia" w:hAnsiTheme="minorEastAsia" w:cs="宋体"/>
          <w:kern w:val="0"/>
          <w:szCs w:val="21"/>
        </w:rPr>
        <w:t>022618</w:t>
      </w:r>
      <w:r w:rsidR="004813C5" w:rsidRPr="00C70F2A">
        <w:rPr>
          <w:rFonts w:asciiTheme="minorEastAsia" w:hAnsiTheme="minorEastAsia" w:cs="Times New Roman" w:hint="eastAsia"/>
          <w:szCs w:val="21"/>
        </w:rPr>
        <w:t>，</w:t>
      </w:r>
      <w:r w:rsidR="0047155A" w:rsidRPr="00C70F2A">
        <w:rPr>
          <w:rFonts w:asciiTheme="minorEastAsia" w:hAnsiTheme="minorEastAsia" w:cs="Times New Roman"/>
          <w:szCs w:val="21"/>
        </w:rPr>
        <w:t>以下简称“本基金”）经</w:t>
      </w:r>
      <w:r w:rsidR="000257CE" w:rsidRPr="00C70F2A">
        <w:rPr>
          <w:rFonts w:asciiTheme="minorEastAsia" w:hAnsiTheme="minorEastAsia" w:cs="宋体" w:hint="eastAsia"/>
          <w:kern w:val="0"/>
          <w:szCs w:val="21"/>
        </w:rPr>
        <w:t>中国证监会证监许可</w:t>
      </w:r>
      <w:r w:rsidR="00356E4F" w:rsidRPr="00C70F2A">
        <w:rPr>
          <w:rFonts w:asciiTheme="minorEastAsia" w:hAnsiTheme="minorEastAsia" w:cs="宋体"/>
          <w:kern w:val="0"/>
          <w:szCs w:val="21"/>
        </w:rPr>
        <w:t>[202</w:t>
      </w:r>
      <w:r w:rsidR="00B45E63">
        <w:rPr>
          <w:rFonts w:asciiTheme="minorEastAsia" w:hAnsiTheme="minorEastAsia" w:cs="宋体"/>
          <w:kern w:val="0"/>
          <w:szCs w:val="21"/>
        </w:rPr>
        <w:t>4</w:t>
      </w:r>
      <w:r w:rsidR="00356E4F" w:rsidRPr="00C70F2A">
        <w:rPr>
          <w:rFonts w:asciiTheme="minorEastAsia" w:hAnsiTheme="minorEastAsia" w:cs="宋体"/>
          <w:kern w:val="0"/>
          <w:szCs w:val="21"/>
        </w:rPr>
        <w:t>]</w:t>
      </w:r>
      <w:r>
        <w:rPr>
          <w:rFonts w:asciiTheme="minorEastAsia" w:hAnsiTheme="minorEastAsia" w:cs="宋体"/>
          <w:kern w:val="0"/>
          <w:szCs w:val="21"/>
        </w:rPr>
        <w:t>1545</w:t>
      </w:r>
      <w:r w:rsidR="00356E4F" w:rsidRPr="00C70F2A">
        <w:rPr>
          <w:rFonts w:asciiTheme="minorEastAsia" w:hAnsiTheme="minorEastAsia" w:cs="宋体" w:hint="eastAsia"/>
          <w:kern w:val="0"/>
          <w:szCs w:val="21"/>
        </w:rPr>
        <w:t>号文准予</w:t>
      </w:r>
      <w:r w:rsidR="007B2028" w:rsidRPr="00C70F2A">
        <w:rPr>
          <w:rFonts w:asciiTheme="minorEastAsia" w:hAnsiTheme="minorEastAsia" w:cs="宋体" w:hint="eastAsia"/>
          <w:kern w:val="0"/>
          <w:szCs w:val="21"/>
        </w:rPr>
        <w:t>募集</w:t>
      </w:r>
      <w:r w:rsidR="000257CE" w:rsidRPr="00C70F2A">
        <w:rPr>
          <w:rFonts w:asciiTheme="minorEastAsia" w:hAnsiTheme="minorEastAsia" w:cs="宋体" w:hint="eastAsia"/>
          <w:kern w:val="0"/>
          <w:szCs w:val="21"/>
        </w:rPr>
        <w:t>注册，</w:t>
      </w:r>
      <w:r w:rsidR="0047155A" w:rsidRPr="00C70F2A">
        <w:rPr>
          <w:rFonts w:asciiTheme="minorEastAsia" w:hAnsiTheme="minorEastAsia" w:cs="Times New Roman"/>
          <w:szCs w:val="21"/>
        </w:rPr>
        <w:t>已于</w:t>
      </w:r>
      <w:r w:rsidR="001A229B" w:rsidRPr="00C70F2A">
        <w:rPr>
          <w:rFonts w:asciiTheme="minorEastAsia" w:hAnsiTheme="minorEastAsia" w:cs="宋体" w:hint="eastAsia"/>
          <w:kern w:val="0"/>
          <w:szCs w:val="21"/>
        </w:rPr>
        <w:t>20</w:t>
      </w:r>
      <w:r w:rsidR="001A229B" w:rsidRPr="00C70F2A">
        <w:rPr>
          <w:rFonts w:asciiTheme="minorEastAsia" w:hAnsiTheme="minorEastAsia" w:cs="宋体"/>
          <w:kern w:val="0"/>
          <w:szCs w:val="21"/>
        </w:rPr>
        <w:t>2</w:t>
      </w:r>
      <w:r w:rsidR="00B45E63">
        <w:rPr>
          <w:rFonts w:asciiTheme="minorEastAsia" w:hAnsiTheme="minorEastAsia" w:cs="宋体"/>
          <w:kern w:val="0"/>
          <w:szCs w:val="21"/>
        </w:rPr>
        <w:t>4</w:t>
      </w:r>
      <w:r w:rsidR="001A229B" w:rsidRPr="00C70F2A">
        <w:rPr>
          <w:rFonts w:asciiTheme="minorEastAsia" w:hAnsiTheme="minorEastAsia" w:cs="宋体"/>
          <w:kern w:val="0"/>
          <w:szCs w:val="21"/>
        </w:rPr>
        <w:t>年</w:t>
      </w:r>
      <w:r>
        <w:rPr>
          <w:rFonts w:asciiTheme="minorEastAsia" w:hAnsiTheme="minorEastAsia" w:cs="宋体"/>
          <w:kern w:val="0"/>
          <w:szCs w:val="21"/>
        </w:rPr>
        <w:t>11</w:t>
      </w:r>
      <w:r w:rsidR="001A229B" w:rsidRPr="00C70F2A">
        <w:rPr>
          <w:rFonts w:asciiTheme="minorEastAsia" w:hAnsiTheme="minorEastAsia" w:cs="宋体"/>
          <w:kern w:val="0"/>
          <w:szCs w:val="21"/>
        </w:rPr>
        <w:t>月</w:t>
      </w:r>
      <w:r>
        <w:rPr>
          <w:rFonts w:asciiTheme="minorEastAsia" w:hAnsiTheme="minorEastAsia" w:cs="宋体"/>
          <w:kern w:val="0"/>
          <w:szCs w:val="21"/>
        </w:rPr>
        <w:t>18</w:t>
      </w:r>
      <w:r w:rsidR="001A229B" w:rsidRPr="00C70F2A">
        <w:rPr>
          <w:rFonts w:asciiTheme="minorEastAsia" w:hAnsiTheme="minorEastAsia" w:cs="宋体"/>
          <w:kern w:val="0"/>
          <w:szCs w:val="21"/>
        </w:rPr>
        <w:t>日</w:t>
      </w:r>
      <w:r w:rsidR="0047155A" w:rsidRPr="00C70F2A">
        <w:rPr>
          <w:rFonts w:asciiTheme="minorEastAsia" w:hAnsiTheme="minorEastAsia" w:cs="Times New Roman"/>
          <w:szCs w:val="21"/>
        </w:rPr>
        <w:t>开始募集，原定募集截止日为</w:t>
      </w:r>
      <w:r w:rsidR="001A229B" w:rsidRPr="00C70F2A">
        <w:rPr>
          <w:rFonts w:asciiTheme="minorEastAsia" w:hAnsiTheme="minorEastAsia" w:cs="宋体" w:hint="eastAsia"/>
          <w:kern w:val="0"/>
          <w:szCs w:val="21"/>
        </w:rPr>
        <w:t>20</w:t>
      </w:r>
      <w:r w:rsidR="001A229B" w:rsidRPr="00C70F2A">
        <w:rPr>
          <w:rFonts w:asciiTheme="minorEastAsia" w:hAnsiTheme="minorEastAsia" w:cs="宋体"/>
          <w:kern w:val="0"/>
          <w:szCs w:val="21"/>
        </w:rPr>
        <w:t>2</w:t>
      </w:r>
      <w:r>
        <w:rPr>
          <w:rFonts w:asciiTheme="minorEastAsia" w:hAnsiTheme="minorEastAsia" w:cs="宋体"/>
          <w:kern w:val="0"/>
          <w:szCs w:val="21"/>
        </w:rPr>
        <w:t>5</w:t>
      </w:r>
      <w:r w:rsidR="001A229B" w:rsidRPr="00C70F2A">
        <w:rPr>
          <w:rFonts w:asciiTheme="minorEastAsia" w:hAnsiTheme="minorEastAsia" w:cs="宋体"/>
          <w:kern w:val="0"/>
          <w:szCs w:val="21"/>
        </w:rPr>
        <w:t>年</w:t>
      </w:r>
      <w:r>
        <w:rPr>
          <w:rFonts w:asciiTheme="minorEastAsia" w:hAnsiTheme="minorEastAsia" w:cs="宋体"/>
          <w:kern w:val="0"/>
          <w:szCs w:val="21"/>
        </w:rPr>
        <w:t>2</w:t>
      </w:r>
      <w:r w:rsidR="001A229B" w:rsidRPr="00C70F2A">
        <w:rPr>
          <w:rFonts w:asciiTheme="minorEastAsia" w:hAnsiTheme="minorEastAsia" w:cs="宋体"/>
          <w:kern w:val="0"/>
          <w:szCs w:val="21"/>
        </w:rPr>
        <w:t>月</w:t>
      </w:r>
      <w:r w:rsidR="00B45E63">
        <w:rPr>
          <w:rFonts w:asciiTheme="minorEastAsia" w:hAnsiTheme="minorEastAsia" w:cs="宋体"/>
          <w:kern w:val="0"/>
          <w:szCs w:val="21"/>
        </w:rPr>
        <w:t>1</w:t>
      </w:r>
      <w:r>
        <w:rPr>
          <w:rFonts w:asciiTheme="minorEastAsia" w:hAnsiTheme="minorEastAsia" w:cs="宋体"/>
          <w:kern w:val="0"/>
          <w:szCs w:val="21"/>
        </w:rPr>
        <w:t>8</w:t>
      </w:r>
      <w:r w:rsidR="001A229B" w:rsidRPr="00C70F2A">
        <w:rPr>
          <w:rFonts w:asciiTheme="minorEastAsia" w:hAnsiTheme="minorEastAsia" w:cs="宋体"/>
          <w:kern w:val="0"/>
          <w:szCs w:val="21"/>
        </w:rPr>
        <w:t>日</w:t>
      </w:r>
      <w:r w:rsidR="00F26891" w:rsidRPr="00C70F2A">
        <w:rPr>
          <w:rFonts w:asciiTheme="minorEastAsia" w:hAnsiTheme="minorEastAsia" w:cs="Times New Roman" w:hint="eastAsia"/>
          <w:szCs w:val="21"/>
        </w:rPr>
        <w:t>。</w:t>
      </w:r>
    </w:p>
    <w:p w:rsidR="0047155A" w:rsidRPr="007701A3" w:rsidRDefault="0047155A" w:rsidP="007701A3">
      <w:pPr>
        <w:spacing w:line="360" w:lineRule="auto"/>
        <w:ind w:firstLine="420"/>
        <w:rPr>
          <w:rFonts w:asciiTheme="minorEastAsia" w:hAnsiTheme="minorEastAsia" w:cs="Times New Roman"/>
          <w:szCs w:val="21"/>
        </w:rPr>
      </w:pPr>
      <w:r w:rsidRPr="00C70F2A">
        <w:rPr>
          <w:rFonts w:asciiTheme="minorEastAsia" w:hAnsiTheme="minorEastAsia" w:cs="Times New Roman"/>
          <w:szCs w:val="21"/>
        </w:rPr>
        <w:t>考虑到目前的市场情况，为保护投资者利益</w:t>
      </w:r>
      <w:r w:rsidR="00AC07A1" w:rsidRPr="00C70F2A">
        <w:rPr>
          <w:rFonts w:asciiTheme="minorEastAsia" w:hAnsiTheme="minorEastAsia" w:cs="Times New Roman" w:hint="eastAsia"/>
          <w:szCs w:val="21"/>
        </w:rPr>
        <w:t>，</w:t>
      </w:r>
      <w:r w:rsidRPr="00C70F2A">
        <w:rPr>
          <w:rFonts w:asciiTheme="minorEastAsia" w:hAnsiTheme="minorEastAsia" w:cs="Times New Roman"/>
          <w:szCs w:val="21"/>
        </w:rPr>
        <w:t>根据《中华人民共和国证券投资基金法》、《公开募集证券投资基金运作管理办法》</w:t>
      </w:r>
      <w:r w:rsidR="00D30238" w:rsidRPr="00C70F2A">
        <w:rPr>
          <w:rFonts w:asciiTheme="minorEastAsia" w:hAnsiTheme="minorEastAsia" w:cs="Times New Roman" w:hint="eastAsia"/>
          <w:szCs w:val="21"/>
        </w:rPr>
        <w:t>、《公开募集证券投资基金信息披露管理办法》</w:t>
      </w:r>
      <w:r w:rsidRPr="00C70F2A">
        <w:rPr>
          <w:rFonts w:asciiTheme="minorEastAsia" w:hAnsiTheme="minorEastAsia" w:cs="Times New Roman"/>
          <w:szCs w:val="21"/>
        </w:rPr>
        <w:t>以及《</w:t>
      </w:r>
      <w:r w:rsidR="002F4F2B" w:rsidRPr="006F08CD">
        <w:rPr>
          <w:rFonts w:asciiTheme="minorEastAsia" w:hAnsiTheme="minorEastAsia" w:cs="宋体" w:hint="eastAsia"/>
          <w:kern w:val="0"/>
          <w:szCs w:val="21"/>
        </w:rPr>
        <w:t>摩根共同分类目录绿色债券债券型证券投资基金</w:t>
      </w:r>
      <w:r w:rsidR="00356E4F" w:rsidRPr="00C70F2A">
        <w:rPr>
          <w:rFonts w:asciiTheme="minorEastAsia" w:hAnsiTheme="minorEastAsia" w:cs="宋体" w:hint="eastAsia"/>
          <w:kern w:val="0"/>
          <w:szCs w:val="21"/>
        </w:rPr>
        <w:t>基金合同</w:t>
      </w:r>
      <w:r w:rsidRPr="00C70F2A">
        <w:rPr>
          <w:rFonts w:asciiTheme="minorEastAsia" w:hAnsiTheme="minorEastAsia" w:cs="Times New Roman"/>
          <w:szCs w:val="21"/>
        </w:rPr>
        <w:t>》、《</w:t>
      </w:r>
      <w:r w:rsidR="002F4F2B" w:rsidRPr="006F08CD">
        <w:rPr>
          <w:rFonts w:asciiTheme="minorEastAsia" w:hAnsiTheme="minorEastAsia" w:cs="宋体" w:hint="eastAsia"/>
          <w:kern w:val="0"/>
          <w:szCs w:val="21"/>
        </w:rPr>
        <w:t>摩根共同分类目录绿色债券债券型证券投资基金</w:t>
      </w:r>
      <w:r w:rsidR="00356E4F" w:rsidRPr="00C70F2A">
        <w:rPr>
          <w:rFonts w:asciiTheme="minorEastAsia" w:hAnsiTheme="minorEastAsia" w:cs="宋体" w:hint="eastAsia"/>
          <w:kern w:val="0"/>
          <w:szCs w:val="21"/>
        </w:rPr>
        <w:t>招募说明书</w:t>
      </w:r>
      <w:r w:rsidRPr="00C70F2A">
        <w:rPr>
          <w:rFonts w:asciiTheme="minorEastAsia" w:hAnsiTheme="minorEastAsia" w:cs="Times New Roman"/>
          <w:szCs w:val="21"/>
        </w:rPr>
        <w:t>》的有关规定以及本基金的实际募集情况，本基金的募集截止日由原定</w:t>
      </w:r>
      <w:r w:rsidR="001A229B" w:rsidRPr="00C70F2A">
        <w:rPr>
          <w:rFonts w:asciiTheme="minorEastAsia" w:hAnsiTheme="minorEastAsia" w:cs="宋体" w:hint="eastAsia"/>
          <w:kern w:val="0"/>
          <w:szCs w:val="21"/>
        </w:rPr>
        <w:t>20</w:t>
      </w:r>
      <w:r w:rsidR="001A229B" w:rsidRPr="00C70F2A">
        <w:rPr>
          <w:rFonts w:asciiTheme="minorEastAsia" w:hAnsiTheme="minorEastAsia" w:cs="宋体"/>
          <w:kern w:val="0"/>
          <w:szCs w:val="21"/>
        </w:rPr>
        <w:t>2</w:t>
      </w:r>
      <w:r w:rsidR="006F08CD">
        <w:rPr>
          <w:rFonts w:asciiTheme="minorEastAsia" w:hAnsiTheme="minorEastAsia" w:cs="宋体"/>
          <w:kern w:val="0"/>
          <w:szCs w:val="21"/>
        </w:rPr>
        <w:t>5</w:t>
      </w:r>
      <w:r w:rsidR="001A229B" w:rsidRPr="00C70F2A">
        <w:rPr>
          <w:rFonts w:asciiTheme="minorEastAsia" w:hAnsiTheme="minorEastAsia" w:cs="宋体"/>
          <w:kern w:val="0"/>
          <w:szCs w:val="21"/>
        </w:rPr>
        <w:t>年</w:t>
      </w:r>
      <w:r w:rsidR="006F08CD">
        <w:rPr>
          <w:rFonts w:asciiTheme="minorEastAsia" w:hAnsiTheme="minorEastAsia" w:cs="宋体"/>
          <w:kern w:val="0"/>
          <w:szCs w:val="21"/>
        </w:rPr>
        <w:t>2</w:t>
      </w:r>
      <w:r w:rsidR="001A229B" w:rsidRPr="00C70F2A">
        <w:rPr>
          <w:rFonts w:asciiTheme="minorEastAsia" w:hAnsiTheme="minorEastAsia" w:cs="宋体"/>
          <w:kern w:val="0"/>
          <w:szCs w:val="21"/>
        </w:rPr>
        <w:t>月</w:t>
      </w:r>
      <w:r w:rsidR="00B45E63">
        <w:rPr>
          <w:rFonts w:asciiTheme="minorEastAsia" w:hAnsiTheme="minorEastAsia" w:cs="宋体"/>
          <w:kern w:val="0"/>
          <w:szCs w:val="21"/>
        </w:rPr>
        <w:t>1</w:t>
      </w:r>
      <w:r w:rsidR="006F08CD">
        <w:rPr>
          <w:rFonts w:asciiTheme="minorEastAsia" w:hAnsiTheme="minorEastAsia" w:cs="宋体"/>
          <w:kern w:val="0"/>
          <w:szCs w:val="21"/>
        </w:rPr>
        <w:t>8</w:t>
      </w:r>
      <w:r w:rsidR="001A229B" w:rsidRPr="00C70F2A">
        <w:rPr>
          <w:rFonts w:asciiTheme="minorEastAsia" w:hAnsiTheme="minorEastAsia" w:cs="宋体"/>
          <w:kern w:val="0"/>
          <w:szCs w:val="21"/>
        </w:rPr>
        <w:t>日</w:t>
      </w:r>
      <w:r w:rsidRPr="00C70F2A">
        <w:rPr>
          <w:rFonts w:asciiTheme="minorEastAsia" w:hAnsiTheme="minorEastAsia" w:cs="Times New Roman"/>
          <w:szCs w:val="21"/>
        </w:rPr>
        <w:t>提前至</w:t>
      </w:r>
      <w:r w:rsidR="001A229B" w:rsidRPr="00C70F2A">
        <w:rPr>
          <w:rFonts w:asciiTheme="minorEastAsia" w:hAnsiTheme="minorEastAsia" w:cs="Times New Roman"/>
          <w:szCs w:val="21"/>
        </w:rPr>
        <w:t>202</w:t>
      </w:r>
      <w:r w:rsidR="00B45E63">
        <w:rPr>
          <w:rFonts w:asciiTheme="minorEastAsia" w:hAnsiTheme="minorEastAsia" w:cs="Times New Roman"/>
          <w:szCs w:val="21"/>
        </w:rPr>
        <w:t>4</w:t>
      </w:r>
      <w:r w:rsidRPr="00C70F2A">
        <w:rPr>
          <w:rFonts w:asciiTheme="minorEastAsia" w:hAnsiTheme="minorEastAsia" w:cs="Times New Roman"/>
          <w:szCs w:val="21"/>
        </w:rPr>
        <w:t>年</w:t>
      </w:r>
      <w:r w:rsidR="006F08CD">
        <w:rPr>
          <w:rFonts w:asciiTheme="minorEastAsia" w:hAnsiTheme="minorEastAsia" w:cs="Times New Roman"/>
          <w:szCs w:val="21"/>
        </w:rPr>
        <w:t>12</w:t>
      </w:r>
      <w:r w:rsidRPr="00C70F2A">
        <w:rPr>
          <w:rFonts w:asciiTheme="minorEastAsia" w:hAnsiTheme="minorEastAsia" w:cs="Times New Roman"/>
          <w:szCs w:val="21"/>
        </w:rPr>
        <w:t>月</w:t>
      </w:r>
      <w:r w:rsidR="00D354F9">
        <w:rPr>
          <w:rFonts w:asciiTheme="minorEastAsia" w:hAnsiTheme="minorEastAsia" w:cs="Times New Roman"/>
          <w:szCs w:val="21"/>
        </w:rPr>
        <w:t>3</w:t>
      </w:r>
      <w:r w:rsidRPr="00C70F2A">
        <w:rPr>
          <w:rFonts w:asciiTheme="minorEastAsia" w:hAnsiTheme="minorEastAsia" w:cs="Times New Roman"/>
          <w:szCs w:val="21"/>
        </w:rPr>
        <w:t>日，即</w:t>
      </w:r>
      <w:r w:rsidR="001A229B" w:rsidRPr="00C70F2A">
        <w:rPr>
          <w:rFonts w:asciiTheme="minorEastAsia" w:hAnsiTheme="minorEastAsia" w:cs="Times New Roman"/>
          <w:szCs w:val="21"/>
        </w:rPr>
        <w:t>202</w:t>
      </w:r>
      <w:r w:rsidR="00B45E63">
        <w:rPr>
          <w:rFonts w:asciiTheme="minorEastAsia" w:hAnsiTheme="minorEastAsia" w:cs="Times New Roman"/>
          <w:szCs w:val="21"/>
        </w:rPr>
        <w:t>4</w:t>
      </w:r>
      <w:r w:rsidR="001A229B" w:rsidRPr="00C70F2A">
        <w:rPr>
          <w:rFonts w:asciiTheme="minorEastAsia" w:hAnsiTheme="minorEastAsia" w:cs="Times New Roman"/>
          <w:szCs w:val="21"/>
        </w:rPr>
        <w:t>年</w:t>
      </w:r>
      <w:r w:rsidR="006F08CD">
        <w:rPr>
          <w:rFonts w:asciiTheme="minorEastAsia" w:hAnsiTheme="minorEastAsia" w:cs="Times New Roman"/>
          <w:szCs w:val="21"/>
        </w:rPr>
        <w:t>12</w:t>
      </w:r>
      <w:r w:rsidR="001A229B" w:rsidRPr="00C70F2A">
        <w:rPr>
          <w:rFonts w:asciiTheme="minorEastAsia" w:hAnsiTheme="minorEastAsia" w:cs="Times New Roman"/>
          <w:szCs w:val="21"/>
        </w:rPr>
        <w:t>月</w:t>
      </w:r>
      <w:r w:rsidR="00D354F9">
        <w:rPr>
          <w:rFonts w:asciiTheme="minorEastAsia" w:hAnsiTheme="minorEastAsia" w:cs="Times New Roman"/>
          <w:szCs w:val="21"/>
        </w:rPr>
        <w:t>3</w:t>
      </w:r>
      <w:r w:rsidR="001A229B" w:rsidRPr="00C70F2A">
        <w:rPr>
          <w:rFonts w:asciiTheme="minorEastAsia" w:hAnsiTheme="minorEastAsia" w:cs="Times New Roman"/>
          <w:szCs w:val="21"/>
        </w:rPr>
        <w:t>日</w:t>
      </w:r>
      <w:r w:rsidRPr="00C70F2A">
        <w:rPr>
          <w:rFonts w:asciiTheme="minorEastAsia" w:hAnsiTheme="minorEastAsia" w:cs="Times New Roman"/>
          <w:szCs w:val="21"/>
        </w:rPr>
        <w:t>为本基金的最后一个募集日</w:t>
      </w:r>
      <w:r w:rsidR="001F3B34">
        <w:rPr>
          <w:rFonts w:asciiTheme="minorEastAsia" w:hAnsiTheme="minorEastAsia" w:cs="Times New Roman" w:hint="eastAsia"/>
          <w:szCs w:val="21"/>
        </w:rPr>
        <w:t>。</w:t>
      </w:r>
      <w:r w:rsidR="00D354F9">
        <w:rPr>
          <w:rFonts w:ascii="Times New Roman" w:hAnsi="Times New Roman" w:cs="Times New Roman" w:hint="eastAsia"/>
          <w:szCs w:val="21"/>
        </w:rPr>
        <w:t>如</w:t>
      </w:r>
      <w:r w:rsidR="00D354F9">
        <w:rPr>
          <w:rFonts w:ascii="宋体" w:eastAsia="宋体" w:hAnsi="宋体" w:hint="eastAsia"/>
          <w:color w:val="000000" w:themeColor="text1"/>
          <w:szCs w:val="21"/>
        </w:rPr>
        <w:t>截止至2</w:t>
      </w:r>
      <w:r w:rsidR="00D354F9">
        <w:rPr>
          <w:rFonts w:ascii="宋体" w:eastAsia="宋体" w:hAnsi="宋体"/>
          <w:color w:val="000000" w:themeColor="text1"/>
          <w:szCs w:val="21"/>
        </w:rPr>
        <w:t>024</w:t>
      </w:r>
      <w:r w:rsidR="00D354F9">
        <w:rPr>
          <w:rFonts w:ascii="宋体" w:eastAsia="宋体" w:hAnsi="宋体" w:hint="eastAsia"/>
          <w:color w:val="000000" w:themeColor="text1"/>
          <w:szCs w:val="21"/>
        </w:rPr>
        <w:t>年</w:t>
      </w:r>
      <w:r w:rsidR="00D354F9">
        <w:rPr>
          <w:rFonts w:ascii="宋体" w:eastAsia="宋体" w:hAnsi="宋体"/>
          <w:color w:val="000000" w:themeColor="text1"/>
          <w:szCs w:val="21"/>
        </w:rPr>
        <w:t>12</w:t>
      </w:r>
      <w:r w:rsidR="00D354F9">
        <w:rPr>
          <w:rFonts w:ascii="宋体" w:eastAsia="宋体" w:hAnsi="宋体" w:hint="eastAsia"/>
          <w:color w:val="000000" w:themeColor="text1"/>
          <w:szCs w:val="21"/>
        </w:rPr>
        <w:t>月</w:t>
      </w:r>
      <w:r w:rsidR="00D354F9">
        <w:rPr>
          <w:rFonts w:ascii="宋体" w:eastAsia="宋体" w:hAnsi="宋体"/>
          <w:color w:val="000000" w:themeColor="text1"/>
          <w:szCs w:val="21"/>
        </w:rPr>
        <w:t>3</w:t>
      </w:r>
      <w:r w:rsidR="00D354F9">
        <w:rPr>
          <w:rFonts w:ascii="宋体" w:eastAsia="宋体" w:hAnsi="宋体" w:hint="eastAsia"/>
          <w:color w:val="000000" w:themeColor="text1"/>
          <w:szCs w:val="21"/>
        </w:rPr>
        <w:t>日日终，</w:t>
      </w:r>
      <w:r w:rsidR="00D354F9">
        <w:rPr>
          <w:rFonts w:ascii="Times New Roman" w:hAnsi="Times New Roman" w:cs="Times New Roman" w:hint="eastAsia"/>
          <w:szCs w:val="21"/>
        </w:rPr>
        <w:t>本基金的募集规模未超过</w:t>
      </w:r>
      <w:r w:rsidR="00D354F9">
        <w:rPr>
          <w:rFonts w:ascii="Times New Roman" w:hAnsi="Times New Roman" w:cs="Times New Roman"/>
          <w:szCs w:val="21"/>
        </w:rPr>
        <w:t>6</w:t>
      </w:r>
      <w:r w:rsidR="00D354F9">
        <w:rPr>
          <w:rFonts w:ascii="Times New Roman" w:hAnsi="Times New Roman" w:cs="Times New Roman" w:hint="eastAsia"/>
          <w:szCs w:val="21"/>
        </w:rPr>
        <w:t>0</w:t>
      </w:r>
      <w:r w:rsidR="00D354F9">
        <w:rPr>
          <w:rFonts w:ascii="Times New Roman" w:hAnsi="Times New Roman" w:cs="Times New Roman" w:hint="eastAsia"/>
          <w:szCs w:val="21"/>
        </w:rPr>
        <w:t>亿元人民币（含）</w:t>
      </w:r>
      <w:r w:rsidR="00D354F9" w:rsidRPr="0043410E">
        <w:rPr>
          <w:rFonts w:ascii="Times New Roman" w:hAnsi="Times New Roman" w:cs="Times New Roman" w:hint="eastAsia"/>
          <w:szCs w:val="21"/>
        </w:rPr>
        <w:t>（不包括募集期利息）</w:t>
      </w:r>
      <w:r w:rsidR="00D354F9" w:rsidRPr="007E0DA9">
        <w:rPr>
          <w:rFonts w:ascii="宋体" w:eastAsia="宋体" w:hAnsi="宋体" w:hint="eastAsia"/>
          <w:color w:val="000000" w:themeColor="text1"/>
          <w:szCs w:val="21"/>
        </w:rPr>
        <w:t>，则所有的认购申请予以确认</w:t>
      </w:r>
      <w:r w:rsidR="00D354F9">
        <w:rPr>
          <w:rFonts w:ascii="宋体" w:eastAsia="宋体" w:hAnsi="宋体" w:hint="eastAsia"/>
          <w:color w:val="000000" w:themeColor="text1"/>
          <w:szCs w:val="21"/>
        </w:rPr>
        <w:t>；</w:t>
      </w:r>
      <w:r w:rsidR="00D354F9">
        <w:rPr>
          <w:rFonts w:ascii="Times New Roman" w:hAnsi="Times New Roman" w:cs="Times New Roman" w:hint="eastAsia"/>
          <w:szCs w:val="21"/>
        </w:rPr>
        <w:t>如截止至</w:t>
      </w:r>
      <w:r w:rsidR="00D354F9">
        <w:rPr>
          <w:rFonts w:ascii="Times New Roman" w:hAnsi="Times New Roman" w:cs="Times New Roman" w:hint="eastAsia"/>
          <w:szCs w:val="21"/>
        </w:rPr>
        <w:t>202</w:t>
      </w:r>
      <w:r w:rsidR="00D354F9">
        <w:rPr>
          <w:rFonts w:ascii="Times New Roman" w:hAnsi="Times New Roman" w:cs="Times New Roman"/>
          <w:szCs w:val="21"/>
        </w:rPr>
        <w:t>4</w:t>
      </w:r>
      <w:r w:rsidR="00D354F9">
        <w:rPr>
          <w:rFonts w:ascii="Times New Roman" w:hAnsi="Times New Roman" w:cs="Times New Roman" w:hint="eastAsia"/>
          <w:szCs w:val="21"/>
        </w:rPr>
        <w:t>年</w:t>
      </w:r>
      <w:r w:rsidR="00D354F9">
        <w:rPr>
          <w:rFonts w:ascii="Times New Roman" w:hAnsi="Times New Roman" w:cs="Times New Roman"/>
          <w:szCs w:val="21"/>
        </w:rPr>
        <w:t>12</w:t>
      </w:r>
      <w:r w:rsidR="00D354F9">
        <w:rPr>
          <w:rFonts w:ascii="Times New Roman" w:hAnsi="Times New Roman" w:cs="Times New Roman" w:hint="eastAsia"/>
          <w:szCs w:val="21"/>
        </w:rPr>
        <w:t>月</w:t>
      </w:r>
      <w:r w:rsidR="00D354F9">
        <w:rPr>
          <w:rFonts w:ascii="Times New Roman" w:hAnsi="Times New Roman" w:cs="Times New Roman"/>
          <w:szCs w:val="21"/>
        </w:rPr>
        <w:t>3</w:t>
      </w:r>
      <w:r w:rsidR="00D354F9">
        <w:rPr>
          <w:rFonts w:ascii="Times New Roman" w:hAnsi="Times New Roman" w:cs="Times New Roman" w:hint="eastAsia"/>
          <w:szCs w:val="21"/>
        </w:rPr>
        <w:t>日日终，本基金的募集规模超过</w:t>
      </w:r>
      <w:r w:rsidR="00D354F9">
        <w:rPr>
          <w:rFonts w:ascii="Times New Roman" w:hAnsi="Times New Roman" w:cs="Times New Roman"/>
          <w:szCs w:val="21"/>
        </w:rPr>
        <w:t>6</w:t>
      </w:r>
      <w:r w:rsidR="00D354F9">
        <w:rPr>
          <w:rFonts w:ascii="Times New Roman" w:hAnsi="Times New Roman" w:cs="Times New Roman" w:hint="eastAsia"/>
          <w:szCs w:val="21"/>
        </w:rPr>
        <w:t>0</w:t>
      </w:r>
      <w:r w:rsidR="00D354F9">
        <w:rPr>
          <w:rFonts w:ascii="Times New Roman" w:hAnsi="Times New Roman" w:cs="Times New Roman" w:hint="eastAsia"/>
          <w:szCs w:val="21"/>
        </w:rPr>
        <w:t>亿元人民币</w:t>
      </w:r>
      <w:r w:rsidR="00D354F9" w:rsidRPr="00CC1F5A">
        <w:rPr>
          <w:rFonts w:ascii="Times New Roman" w:hAnsi="Times New Roman" w:cs="Times New Roman" w:hint="eastAsia"/>
          <w:szCs w:val="21"/>
        </w:rPr>
        <w:t>（不包括募集期利息）</w:t>
      </w:r>
      <w:r w:rsidR="00D354F9">
        <w:rPr>
          <w:rFonts w:ascii="Times New Roman" w:hAnsi="Times New Roman" w:cs="Times New Roman" w:hint="eastAsia"/>
          <w:szCs w:val="21"/>
        </w:rPr>
        <w:t>，本基金管理人将采用末日比例确认的方式对</w:t>
      </w:r>
      <w:r w:rsidR="00D354F9">
        <w:rPr>
          <w:rFonts w:ascii="Times New Roman" w:hAnsi="Times New Roman" w:cs="Times New Roman" w:hint="eastAsia"/>
          <w:szCs w:val="21"/>
        </w:rPr>
        <w:t>202</w:t>
      </w:r>
      <w:r w:rsidR="00D354F9">
        <w:rPr>
          <w:rFonts w:ascii="Times New Roman" w:hAnsi="Times New Roman" w:cs="Times New Roman"/>
          <w:szCs w:val="21"/>
        </w:rPr>
        <w:t>4</w:t>
      </w:r>
      <w:r w:rsidR="00D354F9">
        <w:rPr>
          <w:rFonts w:ascii="Times New Roman" w:hAnsi="Times New Roman" w:cs="Times New Roman" w:hint="eastAsia"/>
          <w:szCs w:val="21"/>
        </w:rPr>
        <w:t>年</w:t>
      </w:r>
      <w:r w:rsidR="00D354F9">
        <w:rPr>
          <w:rFonts w:ascii="Times New Roman" w:hAnsi="Times New Roman" w:cs="Times New Roman" w:hint="eastAsia"/>
          <w:szCs w:val="21"/>
        </w:rPr>
        <w:t>12</w:t>
      </w:r>
      <w:r w:rsidR="00D354F9">
        <w:rPr>
          <w:rFonts w:ascii="Times New Roman" w:hAnsi="Times New Roman" w:cs="Times New Roman" w:hint="eastAsia"/>
          <w:szCs w:val="21"/>
        </w:rPr>
        <w:t>月</w:t>
      </w:r>
      <w:r w:rsidR="00D354F9">
        <w:rPr>
          <w:rFonts w:ascii="Times New Roman" w:hAnsi="Times New Roman" w:cs="Times New Roman"/>
          <w:szCs w:val="21"/>
        </w:rPr>
        <w:t>3</w:t>
      </w:r>
      <w:r w:rsidR="00D354F9">
        <w:rPr>
          <w:rFonts w:ascii="Times New Roman" w:hAnsi="Times New Roman" w:cs="Times New Roman" w:hint="eastAsia"/>
          <w:szCs w:val="21"/>
        </w:rPr>
        <w:t>日当日的有效认购申请进行确认</w:t>
      </w:r>
      <w:r w:rsidR="00D354F9" w:rsidRPr="007E0DA9">
        <w:rPr>
          <w:rFonts w:ascii="宋体" w:eastAsia="宋体" w:hAnsi="宋体" w:hint="eastAsia"/>
          <w:color w:val="000000" w:themeColor="text1"/>
          <w:szCs w:val="21"/>
        </w:rPr>
        <w:t>。若投资者的认购申请被部分确认为无效，本基金管理人将无效申请部分对应的认购款项退还给投资者。</w:t>
      </w:r>
    </w:p>
    <w:p w:rsidR="007701A3" w:rsidRPr="00636473" w:rsidRDefault="007701A3" w:rsidP="007701A3">
      <w:pPr>
        <w:spacing w:line="360" w:lineRule="auto"/>
        <w:jc w:val="left"/>
        <w:rPr>
          <w:rFonts w:ascii="宋体" w:eastAsia="宋体" w:hAnsi="宋体" w:cs="Times New Roman"/>
          <w:szCs w:val="21"/>
        </w:rPr>
      </w:pPr>
    </w:p>
    <w:p w:rsidR="0047155A" w:rsidRPr="00C70F2A" w:rsidRDefault="0047155A" w:rsidP="007701A3">
      <w:pPr>
        <w:spacing w:line="360" w:lineRule="auto"/>
        <w:jc w:val="left"/>
        <w:rPr>
          <w:rFonts w:ascii="宋体" w:eastAsia="宋体" w:hAnsi="宋体" w:cs="Times New Roman"/>
          <w:szCs w:val="21"/>
        </w:rPr>
      </w:pPr>
      <w:r w:rsidRPr="00C70F2A">
        <w:rPr>
          <w:rFonts w:ascii="宋体" w:eastAsia="宋体" w:hAnsi="宋体" w:cs="Times New Roman"/>
          <w:szCs w:val="21"/>
        </w:rPr>
        <w:t xml:space="preserve">投资者可以通过以下途径咨询有关详情： </w:t>
      </w:r>
    </w:p>
    <w:p w:rsidR="0047155A" w:rsidRPr="00C70F2A" w:rsidRDefault="0047155A" w:rsidP="0047155A">
      <w:pPr>
        <w:spacing w:line="360" w:lineRule="auto"/>
        <w:jc w:val="left"/>
        <w:rPr>
          <w:rFonts w:ascii="宋体" w:eastAsia="宋体" w:hAnsi="宋体" w:cs="Times New Roman"/>
          <w:szCs w:val="21"/>
        </w:rPr>
      </w:pPr>
      <w:r w:rsidRPr="00C70F2A">
        <w:rPr>
          <w:rFonts w:ascii="宋体" w:eastAsia="宋体" w:hAnsi="宋体" w:cs="Times New Roman"/>
          <w:szCs w:val="21"/>
        </w:rPr>
        <w:t>1</w:t>
      </w:r>
      <w:r w:rsidR="00636473">
        <w:rPr>
          <w:rFonts w:ascii="宋体" w:eastAsia="宋体" w:hAnsi="宋体" w:cs="Times New Roman"/>
          <w:szCs w:val="21"/>
        </w:rPr>
        <w:t>、</w:t>
      </w:r>
      <w:r w:rsidRPr="00C70F2A">
        <w:rPr>
          <w:rFonts w:ascii="宋体" w:eastAsia="宋体" w:hAnsi="宋体" w:cs="Times New Roman"/>
          <w:szCs w:val="21"/>
        </w:rPr>
        <w:t>摩根基金管理</w:t>
      </w:r>
      <w:r w:rsidR="00636473">
        <w:rPr>
          <w:rFonts w:ascii="宋体" w:eastAsia="宋体" w:hAnsi="宋体" w:cs="Times New Roman" w:hint="eastAsia"/>
          <w:szCs w:val="21"/>
        </w:rPr>
        <w:t>（中国）</w:t>
      </w:r>
      <w:r w:rsidRPr="00C70F2A">
        <w:rPr>
          <w:rFonts w:ascii="宋体" w:eastAsia="宋体" w:hAnsi="宋体" w:cs="Times New Roman"/>
          <w:szCs w:val="21"/>
        </w:rPr>
        <w:t>有限公司客户服务电话：400 889 4</w:t>
      </w:r>
      <w:bookmarkStart w:id="0" w:name="_GoBack"/>
      <w:bookmarkEnd w:id="0"/>
      <w:r w:rsidRPr="00C70F2A">
        <w:rPr>
          <w:rFonts w:ascii="宋体" w:eastAsia="宋体" w:hAnsi="宋体" w:cs="Times New Roman"/>
          <w:szCs w:val="21"/>
        </w:rPr>
        <w:t xml:space="preserve">888 </w:t>
      </w:r>
    </w:p>
    <w:p w:rsidR="0047155A" w:rsidRPr="00C70F2A" w:rsidRDefault="0047155A" w:rsidP="0047155A">
      <w:pPr>
        <w:spacing w:line="360" w:lineRule="auto"/>
        <w:jc w:val="left"/>
        <w:rPr>
          <w:rFonts w:ascii="宋体" w:eastAsia="宋体" w:hAnsi="宋体" w:cs="Times New Roman"/>
          <w:szCs w:val="21"/>
        </w:rPr>
      </w:pPr>
      <w:r w:rsidRPr="00C70F2A">
        <w:rPr>
          <w:rFonts w:ascii="宋体" w:eastAsia="宋体" w:hAnsi="宋体" w:cs="Times New Roman"/>
          <w:szCs w:val="21"/>
        </w:rPr>
        <w:t>2</w:t>
      </w:r>
      <w:r w:rsidR="00636473">
        <w:rPr>
          <w:rFonts w:ascii="宋体" w:eastAsia="宋体" w:hAnsi="宋体" w:cs="Times New Roman"/>
          <w:szCs w:val="21"/>
        </w:rPr>
        <w:t>、</w:t>
      </w:r>
      <w:r w:rsidRPr="00C70F2A">
        <w:rPr>
          <w:rFonts w:ascii="宋体" w:eastAsia="宋体" w:hAnsi="宋体" w:cs="Times New Roman"/>
          <w:szCs w:val="21"/>
        </w:rPr>
        <w:t>摩根基金管理</w:t>
      </w:r>
      <w:r w:rsidR="00636473">
        <w:rPr>
          <w:rFonts w:ascii="宋体" w:eastAsia="宋体" w:hAnsi="宋体" w:cs="Times New Roman" w:hint="eastAsia"/>
          <w:szCs w:val="21"/>
        </w:rPr>
        <w:t>（中国）</w:t>
      </w:r>
      <w:r w:rsidRPr="00C70F2A">
        <w:rPr>
          <w:rFonts w:ascii="宋体" w:eastAsia="宋体" w:hAnsi="宋体" w:cs="Times New Roman"/>
          <w:szCs w:val="21"/>
        </w:rPr>
        <w:t>有限公司网站：</w:t>
      </w:r>
      <w:r w:rsidR="00636473" w:rsidRPr="00636473">
        <w:rPr>
          <w:rFonts w:ascii="宋体" w:eastAsia="宋体" w:hAnsi="宋体" w:cs="Times New Roman"/>
          <w:szCs w:val="21"/>
        </w:rPr>
        <w:t>am.jpmorgan.com/cn</w:t>
      </w:r>
      <w:r w:rsidRPr="00C70F2A">
        <w:rPr>
          <w:rFonts w:ascii="宋体" w:eastAsia="宋体" w:hAnsi="宋体" w:cs="Times New Roman"/>
          <w:szCs w:val="21"/>
        </w:rPr>
        <w:t xml:space="preserve"> </w:t>
      </w:r>
    </w:p>
    <w:p w:rsidR="0047155A" w:rsidRPr="00C70F2A" w:rsidRDefault="0047155A" w:rsidP="0047155A">
      <w:pPr>
        <w:spacing w:line="360" w:lineRule="auto"/>
        <w:jc w:val="left"/>
        <w:rPr>
          <w:rFonts w:ascii="宋体" w:eastAsia="宋体" w:hAnsi="宋体" w:cs="Times New Roman"/>
          <w:szCs w:val="21"/>
        </w:rPr>
      </w:pPr>
    </w:p>
    <w:p w:rsidR="0047155A" w:rsidRPr="00C70F2A" w:rsidRDefault="00D10215" w:rsidP="00D10215">
      <w:pPr>
        <w:spacing w:line="360" w:lineRule="auto"/>
        <w:jc w:val="left"/>
        <w:rPr>
          <w:rFonts w:ascii="宋体" w:eastAsia="宋体" w:hAnsi="宋体" w:cs="Times New Roman"/>
          <w:szCs w:val="21"/>
        </w:rPr>
      </w:pPr>
      <w:r w:rsidRPr="00C70F2A">
        <w:rPr>
          <w:rFonts w:ascii="宋体" w:eastAsia="宋体" w:hAnsi="宋体" w:cs="Times New Roman" w:hint="eastAsia"/>
          <w:szCs w:val="21"/>
        </w:rPr>
        <w:t>风险提示：本基金管理人承诺以诚实信用、勤勉尽责的原则管理和运用基金财产，但不保证基金一定盈利，也不保证最低收益。基金的过往业绩并不代表其将来表现，基金管理人所管理的其他基金的业绩并不构成对本基金业绩表现的保证。投资有风险，敬请投资者认真阅读基金的基金合同、招募说明书、产品资料概要等相关法律文件，并选择适合自身风险承受能力的投资品种进行投资。</w:t>
      </w:r>
      <w:r w:rsidR="0047155A" w:rsidRPr="00C70F2A">
        <w:rPr>
          <w:rFonts w:ascii="宋体" w:eastAsia="宋体" w:hAnsi="宋体" w:cs="Times New Roman"/>
          <w:szCs w:val="21"/>
        </w:rPr>
        <w:t xml:space="preserve"> </w:t>
      </w:r>
    </w:p>
    <w:p w:rsidR="0047155A" w:rsidRPr="00C70F2A" w:rsidRDefault="0047155A" w:rsidP="0047155A">
      <w:pPr>
        <w:spacing w:line="360" w:lineRule="auto"/>
        <w:jc w:val="left"/>
        <w:rPr>
          <w:rFonts w:ascii="宋体" w:eastAsia="宋体" w:hAnsi="宋体" w:cs="Times New Roman"/>
          <w:szCs w:val="21"/>
        </w:rPr>
      </w:pPr>
    </w:p>
    <w:p w:rsidR="0047155A" w:rsidRPr="00C70F2A" w:rsidRDefault="0047155A" w:rsidP="0047155A">
      <w:pPr>
        <w:spacing w:line="360" w:lineRule="auto"/>
        <w:jc w:val="left"/>
        <w:rPr>
          <w:rFonts w:ascii="宋体" w:eastAsia="宋体" w:hAnsi="宋体" w:cs="Times New Roman"/>
          <w:szCs w:val="21"/>
        </w:rPr>
      </w:pPr>
      <w:r w:rsidRPr="00C70F2A">
        <w:rPr>
          <w:rFonts w:ascii="宋体" w:eastAsia="宋体" w:hAnsi="宋体" w:cs="Times New Roman"/>
          <w:szCs w:val="21"/>
        </w:rPr>
        <w:t xml:space="preserve">特此公告。 </w:t>
      </w:r>
    </w:p>
    <w:p w:rsidR="0047155A" w:rsidRPr="00C70F2A" w:rsidRDefault="0047155A" w:rsidP="00E27CF1">
      <w:pPr>
        <w:spacing w:line="360" w:lineRule="auto"/>
        <w:jc w:val="right"/>
        <w:rPr>
          <w:rFonts w:ascii="宋体" w:eastAsia="宋体" w:hAnsi="宋体" w:cs="Times New Roman"/>
          <w:szCs w:val="21"/>
        </w:rPr>
      </w:pPr>
      <w:r w:rsidRPr="00C70F2A">
        <w:rPr>
          <w:rFonts w:ascii="宋体" w:eastAsia="宋体" w:hAnsi="宋体" w:cs="Times New Roman"/>
          <w:szCs w:val="21"/>
        </w:rPr>
        <w:t>摩根基金管理</w:t>
      </w:r>
      <w:r w:rsidR="00636473">
        <w:rPr>
          <w:rFonts w:ascii="宋体" w:eastAsia="宋体" w:hAnsi="宋体" w:cs="Times New Roman" w:hint="eastAsia"/>
          <w:szCs w:val="21"/>
        </w:rPr>
        <w:t>（中国）</w:t>
      </w:r>
      <w:r w:rsidRPr="00C70F2A">
        <w:rPr>
          <w:rFonts w:ascii="宋体" w:eastAsia="宋体" w:hAnsi="宋体" w:cs="Times New Roman"/>
          <w:szCs w:val="21"/>
        </w:rPr>
        <w:t xml:space="preserve">有限公司 </w:t>
      </w:r>
    </w:p>
    <w:p w:rsidR="00057DAE" w:rsidRPr="007B2028" w:rsidRDefault="001A229B" w:rsidP="00F94D9F">
      <w:pPr>
        <w:spacing w:line="360" w:lineRule="auto"/>
        <w:jc w:val="right"/>
        <w:rPr>
          <w:rFonts w:ascii="宋体" w:eastAsia="宋体" w:hAnsi="宋体" w:cs="Times New Roman"/>
          <w:szCs w:val="21"/>
        </w:rPr>
      </w:pPr>
      <w:r w:rsidRPr="00C70F2A">
        <w:rPr>
          <w:rFonts w:ascii="宋体" w:eastAsia="宋体" w:hAnsi="宋体" w:cs="Times New Roman"/>
          <w:szCs w:val="21"/>
        </w:rPr>
        <w:t>202</w:t>
      </w:r>
      <w:r w:rsidR="00B45E63">
        <w:rPr>
          <w:rFonts w:ascii="宋体" w:eastAsia="宋体" w:hAnsi="宋体" w:cs="Times New Roman"/>
          <w:szCs w:val="21"/>
        </w:rPr>
        <w:t>4</w:t>
      </w:r>
      <w:r w:rsidR="0047155A" w:rsidRPr="00C70F2A">
        <w:rPr>
          <w:rFonts w:ascii="宋体" w:eastAsia="宋体" w:hAnsi="宋体" w:cs="Times New Roman"/>
          <w:szCs w:val="21"/>
        </w:rPr>
        <w:t>年</w:t>
      </w:r>
      <w:r w:rsidR="006F08CD">
        <w:rPr>
          <w:rFonts w:ascii="宋体" w:eastAsia="宋体" w:hAnsi="宋体" w:cs="Times New Roman"/>
          <w:szCs w:val="21"/>
        </w:rPr>
        <w:t>12</w:t>
      </w:r>
      <w:r w:rsidR="0047155A" w:rsidRPr="00C70F2A">
        <w:rPr>
          <w:rFonts w:ascii="宋体" w:eastAsia="宋体" w:hAnsi="宋体" w:cs="Times New Roman"/>
          <w:szCs w:val="21"/>
        </w:rPr>
        <w:t>月</w:t>
      </w:r>
      <w:r w:rsidR="00D354F9">
        <w:rPr>
          <w:rFonts w:ascii="宋体" w:eastAsia="宋体" w:hAnsi="宋体" w:cs="Times New Roman"/>
          <w:szCs w:val="21"/>
        </w:rPr>
        <w:t>4</w:t>
      </w:r>
      <w:r w:rsidR="0047155A" w:rsidRPr="00C70F2A">
        <w:rPr>
          <w:rFonts w:ascii="宋体" w:eastAsia="宋体" w:hAnsi="宋体" w:cs="Times New Roman"/>
          <w:szCs w:val="21"/>
        </w:rPr>
        <w:t>日</w:t>
      </w:r>
    </w:p>
    <w:sectPr w:rsidR="00057DAE" w:rsidRPr="007B2028" w:rsidSect="00F432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C6E" w:rsidRDefault="00084C6E" w:rsidP="00FE0B71">
      <w:r>
        <w:separator/>
      </w:r>
    </w:p>
  </w:endnote>
  <w:endnote w:type="continuationSeparator" w:id="0">
    <w:p w:rsidR="00084C6E" w:rsidRDefault="00084C6E" w:rsidP="00FE0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C6E" w:rsidRDefault="00084C6E" w:rsidP="00FE0B71">
      <w:r>
        <w:separator/>
      </w:r>
    </w:p>
  </w:footnote>
  <w:footnote w:type="continuationSeparator" w:id="0">
    <w:p w:rsidR="00084C6E" w:rsidRDefault="00084C6E" w:rsidP="00FE0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55A"/>
    <w:rsid w:val="000257CE"/>
    <w:rsid w:val="00057DAE"/>
    <w:rsid w:val="000644F1"/>
    <w:rsid w:val="000720E2"/>
    <w:rsid w:val="00084C6E"/>
    <w:rsid w:val="00084F61"/>
    <w:rsid w:val="00094AD5"/>
    <w:rsid w:val="000C434D"/>
    <w:rsid w:val="001011FF"/>
    <w:rsid w:val="0011142B"/>
    <w:rsid w:val="00130498"/>
    <w:rsid w:val="00155CBD"/>
    <w:rsid w:val="001A229B"/>
    <w:rsid w:val="001F3B34"/>
    <w:rsid w:val="00275D60"/>
    <w:rsid w:val="002D536D"/>
    <w:rsid w:val="002F4F2B"/>
    <w:rsid w:val="00330F86"/>
    <w:rsid w:val="00351DEE"/>
    <w:rsid w:val="00356E4F"/>
    <w:rsid w:val="00360D10"/>
    <w:rsid w:val="00373AED"/>
    <w:rsid w:val="003D2DD3"/>
    <w:rsid w:val="00427539"/>
    <w:rsid w:val="004461E0"/>
    <w:rsid w:val="00462015"/>
    <w:rsid w:val="0047155A"/>
    <w:rsid w:val="004813C5"/>
    <w:rsid w:val="004D0866"/>
    <w:rsid w:val="004D7F70"/>
    <w:rsid w:val="005008AB"/>
    <w:rsid w:val="00540BF2"/>
    <w:rsid w:val="00574409"/>
    <w:rsid w:val="005A38DD"/>
    <w:rsid w:val="005E3E3D"/>
    <w:rsid w:val="005E44EB"/>
    <w:rsid w:val="005F4862"/>
    <w:rsid w:val="006064FD"/>
    <w:rsid w:val="00636473"/>
    <w:rsid w:val="00693DEA"/>
    <w:rsid w:val="006F08CD"/>
    <w:rsid w:val="006F1F6D"/>
    <w:rsid w:val="00717278"/>
    <w:rsid w:val="00726F5C"/>
    <w:rsid w:val="00743E40"/>
    <w:rsid w:val="0074403B"/>
    <w:rsid w:val="007701A3"/>
    <w:rsid w:val="007803A4"/>
    <w:rsid w:val="007965CE"/>
    <w:rsid w:val="007B2028"/>
    <w:rsid w:val="00802F03"/>
    <w:rsid w:val="00881C62"/>
    <w:rsid w:val="008A3573"/>
    <w:rsid w:val="008B2A0B"/>
    <w:rsid w:val="008E2FAA"/>
    <w:rsid w:val="009415F9"/>
    <w:rsid w:val="009B7415"/>
    <w:rsid w:val="00A00CEE"/>
    <w:rsid w:val="00A43D56"/>
    <w:rsid w:val="00A548F5"/>
    <w:rsid w:val="00A75874"/>
    <w:rsid w:val="00AA2F03"/>
    <w:rsid w:val="00AA3B08"/>
    <w:rsid w:val="00AC07A1"/>
    <w:rsid w:val="00B45E63"/>
    <w:rsid w:val="00B74CB5"/>
    <w:rsid w:val="00C30F06"/>
    <w:rsid w:val="00C70F2A"/>
    <w:rsid w:val="00C877E8"/>
    <w:rsid w:val="00CD6448"/>
    <w:rsid w:val="00D026F0"/>
    <w:rsid w:val="00D10215"/>
    <w:rsid w:val="00D12C61"/>
    <w:rsid w:val="00D30238"/>
    <w:rsid w:val="00D354F9"/>
    <w:rsid w:val="00D57F4B"/>
    <w:rsid w:val="00DB06CF"/>
    <w:rsid w:val="00DB66A9"/>
    <w:rsid w:val="00DC0B89"/>
    <w:rsid w:val="00E27CF1"/>
    <w:rsid w:val="00E65F31"/>
    <w:rsid w:val="00E761CB"/>
    <w:rsid w:val="00E94ADB"/>
    <w:rsid w:val="00F26891"/>
    <w:rsid w:val="00F432AA"/>
    <w:rsid w:val="00F532E4"/>
    <w:rsid w:val="00F82089"/>
    <w:rsid w:val="00F94D9F"/>
    <w:rsid w:val="00FC3872"/>
    <w:rsid w:val="00FE0B71"/>
    <w:rsid w:val="00FF2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B71"/>
    <w:rPr>
      <w:sz w:val="18"/>
      <w:szCs w:val="18"/>
    </w:rPr>
  </w:style>
  <w:style w:type="paragraph" w:styleId="a4">
    <w:name w:val="footer"/>
    <w:basedOn w:val="a"/>
    <w:link w:val="Char0"/>
    <w:uiPriority w:val="99"/>
    <w:unhideWhenUsed/>
    <w:rsid w:val="00FE0B71"/>
    <w:pPr>
      <w:tabs>
        <w:tab w:val="center" w:pos="4153"/>
        <w:tab w:val="right" w:pos="8306"/>
      </w:tabs>
      <w:snapToGrid w:val="0"/>
      <w:jc w:val="left"/>
    </w:pPr>
    <w:rPr>
      <w:sz w:val="18"/>
      <w:szCs w:val="18"/>
    </w:rPr>
  </w:style>
  <w:style w:type="character" w:customStyle="1" w:styleId="Char0">
    <w:name w:val="页脚 Char"/>
    <w:basedOn w:val="a0"/>
    <w:link w:val="a4"/>
    <w:uiPriority w:val="99"/>
    <w:rsid w:val="00FE0B71"/>
    <w:rPr>
      <w:sz w:val="18"/>
      <w:szCs w:val="18"/>
    </w:rPr>
  </w:style>
  <w:style w:type="paragraph" w:customStyle="1" w:styleId="CharCharCharChar">
    <w:name w:val="Char Char Char Char"/>
    <w:basedOn w:val="a"/>
    <w:autoRedefine/>
    <w:rsid w:val="000257CE"/>
    <w:pPr>
      <w:tabs>
        <w:tab w:val="num" w:pos="360"/>
      </w:tabs>
    </w:pPr>
    <w:rPr>
      <w:rFonts w:ascii="Times New Roman" w:eastAsia="宋体" w:hAnsi="Times New Roman" w:cs="Times New Roman"/>
      <w:sz w:val="24"/>
      <w:szCs w:val="24"/>
    </w:rPr>
  </w:style>
  <w:style w:type="paragraph" w:styleId="a5">
    <w:name w:val="Balloon Text"/>
    <w:basedOn w:val="a"/>
    <w:link w:val="Char1"/>
    <w:uiPriority w:val="99"/>
    <w:semiHidden/>
    <w:unhideWhenUsed/>
    <w:rsid w:val="00802F03"/>
    <w:rPr>
      <w:sz w:val="18"/>
      <w:szCs w:val="18"/>
    </w:rPr>
  </w:style>
  <w:style w:type="character" w:customStyle="1" w:styleId="Char1">
    <w:name w:val="批注框文本 Char"/>
    <w:basedOn w:val="a0"/>
    <w:link w:val="a5"/>
    <w:uiPriority w:val="99"/>
    <w:semiHidden/>
    <w:rsid w:val="00802F03"/>
    <w:rPr>
      <w:sz w:val="18"/>
      <w:szCs w:val="18"/>
    </w:rPr>
  </w:style>
  <w:style w:type="character" w:styleId="a6">
    <w:name w:val="annotation reference"/>
    <w:basedOn w:val="a0"/>
    <w:uiPriority w:val="99"/>
    <w:semiHidden/>
    <w:unhideWhenUsed/>
    <w:rsid w:val="00094AD5"/>
    <w:rPr>
      <w:sz w:val="21"/>
      <w:szCs w:val="21"/>
    </w:rPr>
  </w:style>
  <w:style w:type="paragraph" w:styleId="a7">
    <w:name w:val="annotation text"/>
    <w:basedOn w:val="a"/>
    <w:link w:val="Char2"/>
    <w:uiPriority w:val="99"/>
    <w:semiHidden/>
    <w:unhideWhenUsed/>
    <w:rsid w:val="00094AD5"/>
    <w:pPr>
      <w:jc w:val="left"/>
    </w:pPr>
  </w:style>
  <w:style w:type="character" w:customStyle="1" w:styleId="Char2">
    <w:name w:val="批注文字 Char"/>
    <w:basedOn w:val="a0"/>
    <w:link w:val="a7"/>
    <w:uiPriority w:val="99"/>
    <w:semiHidden/>
    <w:rsid w:val="00094AD5"/>
  </w:style>
  <w:style w:type="paragraph" w:styleId="a8">
    <w:name w:val="annotation subject"/>
    <w:basedOn w:val="a7"/>
    <w:next w:val="a7"/>
    <w:link w:val="Char3"/>
    <w:uiPriority w:val="99"/>
    <w:semiHidden/>
    <w:unhideWhenUsed/>
    <w:rsid w:val="00094AD5"/>
    <w:rPr>
      <w:b/>
      <w:bCs/>
    </w:rPr>
  </w:style>
  <w:style w:type="character" w:customStyle="1" w:styleId="Char3">
    <w:name w:val="批注主题 Char"/>
    <w:basedOn w:val="Char2"/>
    <w:link w:val="a8"/>
    <w:uiPriority w:val="99"/>
    <w:semiHidden/>
    <w:rsid w:val="00094AD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4</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Patrick.Jin@Risk</dc:creator>
  <cp:lastModifiedBy>ZHONGM</cp:lastModifiedBy>
  <cp:revision>2</cp:revision>
  <dcterms:created xsi:type="dcterms:W3CDTF">2024-12-03T16:01:00Z</dcterms:created>
  <dcterms:modified xsi:type="dcterms:W3CDTF">2024-12-03T16:01:00Z</dcterms:modified>
</cp:coreProperties>
</file>