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36" w:rsidRPr="00812228" w:rsidRDefault="00893436" w:rsidP="00812228">
      <w:pPr>
        <w:widowControl/>
        <w:jc w:val="center"/>
        <w:rPr>
          <w:rFonts w:asciiTheme="minorEastAsia" w:eastAsiaTheme="minorEastAsia" w:hAnsiTheme="minorEastAsia" w:cs="宋体"/>
          <w:b/>
          <w:kern w:val="0"/>
          <w:sz w:val="30"/>
          <w:szCs w:val="30"/>
        </w:rPr>
      </w:pPr>
      <w:r w:rsidRPr="00812228">
        <w:rPr>
          <w:rFonts w:asciiTheme="minorEastAsia" w:eastAsiaTheme="minorEastAsia" w:hAnsiTheme="minorEastAsia" w:cs="宋体" w:hint="eastAsia"/>
          <w:b/>
          <w:kern w:val="0"/>
          <w:sz w:val="30"/>
          <w:szCs w:val="30"/>
        </w:rPr>
        <w:t>广发集富纯债债券型证券投资基金分红公告</w:t>
      </w:r>
    </w:p>
    <w:p w:rsidR="00893436" w:rsidRPr="00D66999" w:rsidRDefault="00893436" w:rsidP="00812228">
      <w:pPr>
        <w:spacing w:line="560" w:lineRule="exact"/>
        <w:jc w:val="center"/>
        <w:rPr>
          <w:rFonts w:asciiTheme="minorEastAsia" w:eastAsiaTheme="minorEastAsia" w:hAnsiTheme="minorEastAsia"/>
          <w:color w:val="000000"/>
          <w:sz w:val="24"/>
          <w:szCs w:val="24"/>
        </w:rPr>
      </w:pPr>
      <w:r w:rsidRPr="00D66999">
        <w:rPr>
          <w:rFonts w:asciiTheme="minorEastAsia" w:eastAsiaTheme="minorEastAsia" w:hAnsiTheme="minorEastAsia"/>
          <w:color w:val="000000"/>
          <w:sz w:val="24"/>
          <w:szCs w:val="24"/>
        </w:rPr>
        <w:t>公告送出日期：2024年12月4日</w:t>
      </w:r>
    </w:p>
    <w:p w:rsidR="00893436" w:rsidRPr="00BD5586" w:rsidRDefault="00893436" w:rsidP="00B14D73">
      <w:pPr>
        <w:jc w:val="center"/>
        <w:rPr>
          <w:color w:val="000000"/>
          <w:sz w:val="24"/>
        </w:rPr>
      </w:pPr>
    </w:p>
    <w:p w:rsidR="00893436" w:rsidRDefault="00812228" w:rsidP="0092384D">
      <w:pPr>
        <w:pStyle w:val="3"/>
        <w:keepNext w:val="0"/>
        <w:keepLines w:val="0"/>
        <w:spacing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sidR="00893436" w:rsidRPr="00812228">
        <w:rPr>
          <w:rFonts w:ascii="宋体" w:hAnsi="宋体"/>
          <w:bCs w:val="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2791"/>
        <w:gridCol w:w="2146"/>
        <w:gridCol w:w="2715"/>
      </w:tblGrid>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基金名称</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广发集富纯债债券型证券投资基金</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基金简称</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广发集富纯债</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基金主代码</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003039</w:t>
            </w:r>
          </w:p>
        </w:tc>
      </w:tr>
      <w:tr w:rsidR="00D82E8A" w:rsidRPr="00025641" w:rsidTr="00885C64">
        <w:trPr>
          <w:jc w:val="center"/>
        </w:trPr>
        <w:tc>
          <w:tcPr>
            <w:tcW w:w="4778" w:type="dxa"/>
            <w:gridSpan w:val="2"/>
            <w:vAlign w:val="center"/>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基金合同生效日</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2017年1月13日</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基金管理人名称</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广发基金管理有限公司</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基金托管人名称</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中国银行股份有限公司</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公告依据</w:t>
            </w:r>
          </w:p>
        </w:tc>
        <w:tc>
          <w:tcPr>
            <w:tcW w:w="4861" w:type="dxa"/>
            <w:gridSpan w:val="2"/>
            <w:vAlign w:val="center"/>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《中华人民共和国证券投资基金法》及其配套法规、《广发集富纯债债券型证券投资基金基金合同》《广发集富纯债债券型证券投资基金招募说明书》</w:t>
            </w:r>
          </w:p>
        </w:tc>
      </w:tr>
      <w:tr w:rsidR="00D82E8A" w:rsidRPr="00025641" w:rsidTr="00885C64">
        <w:trPr>
          <w:jc w:val="center"/>
        </w:trPr>
        <w:tc>
          <w:tcPr>
            <w:tcW w:w="4778" w:type="dxa"/>
            <w:gridSpan w:val="2"/>
          </w:tcPr>
          <w:p w:rsidR="00D82E8A" w:rsidRPr="00025641" w:rsidRDefault="00D82E8A" w:rsidP="00906B54">
            <w:pPr>
              <w:rPr>
                <w:rFonts w:asciiTheme="minorEastAsia" w:eastAsiaTheme="minorEastAsia" w:hAnsiTheme="minorEastAsia"/>
                <w:sz w:val="24"/>
                <w:szCs w:val="24"/>
              </w:rPr>
            </w:pPr>
            <w:r w:rsidRPr="00025641">
              <w:rPr>
                <w:rFonts w:asciiTheme="minorEastAsia" w:eastAsiaTheme="minorEastAsia" w:hAnsiTheme="minorEastAsia"/>
                <w:sz w:val="24"/>
                <w:szCs w:val="24"/>
              </w:rPr>
              <w:t>收益分配基准日</w:t>
            </w:r>
          </w:p>
        </w:tc>
        <w:tc>
          <w:tcPr>
            <w:tcW w:w="4861" w:type="dxa"/>
            <w:gridSpan w:val="2"/>
          </w:tcPr>
          <w:p w:rsidR="00D82E8A" w:rsidRPr="00025641" w:rsidRDefault="00D82E8A" w:rsidP="00906B54">
            <w:pPr>
              <w:jc w:val="left"/>
              <w:rPr>
                <w:rFonts w:asciiTheme="minorEastAsia" w:eastAsiaTheme="minorEastAsia" w:hAnsiTheme="minorEastAsia"/>
                <w:sz w:val="24"/>
                <w:szCs w:val="24"/>
              </w:rPr>
            </w:pPr>
            <w:r w:rsidRPr="00025641">
              <w:rPr>
                <w:rFonts w:asciiTheme="minorEastAsia" w:eastAsiaTheme="minorEastAsia" w:hAnsiTheme="minorEastAsia"/>
                <w:sz w:val="24"/>
                <w:szCs w:val="24"/>
              </w:rPr>
              <w:t>2024年11月28日</w:t>
            </w:r>
          </w:p>
        </w:tc>
      </w:tr>
      <w:tr w:rsidR="00893436" w:rsidRPr="003C2C83" w:rsidTr="004B470A">
        <w:trPr>
          <w:jc w:val="center"/>
        </w:trPr>
        <w:tc>
          <w:tcPr>
            <w:tcW w:w="4778" w:type="dxa"/>
            <w:gridSpan w:val="2"/>
            <w:vAlign w:val="center"/>
          </w:tcPr>
          <w:p w:rsidR="00893436" w:rsidRPr="003C2C83" w:rsidRDefault="00893436"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有关年度分红次数的说明</w:t>
            </w:r>
          </w:p>
        </w:tc>
        <w:tc>
          <w:tcPr>
            <w:tcW w:w="4861" w:type="dxa"/>
            <w:gridSpan w:val="2"/>
            <w:vAlign w:val="center"/>
          </w:tcPr>
          <w:p w:rsidR="00893436" w:rsidRPr="003C2C83" w:rsidRDefault="009732A4"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本次分红为2024年度的第5次分红</w:t>
            </w:r>
          </w:p>
        </w:tc>
      </w:tr>
      <w:tr w:rsidR="00266A99" w:rsidRPr="003C2C83" w:rsidTr="004B470A">
        <w:trPr>
          <w:jc w:val="center"/>
        </w:trPr>
        <w:tc>
          <w:tcPr>
            <w:tcW w:w="4778" w:type="dxa"/>
            <w:gridSpan w:val="2"/>
            <w:vAlign w:val="center"/>
          </w:tcPr>
          <w:p w:rsidR="00266A99" w:rsidRPr="003C2C83" w:rsidRDefault="00266A99"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下属分级基金的基金简称</w:t>
            </w:r>
          </w:p>
        </w:tc>
        <w:tc>
          <w:tcPr>
            <w:tcW w:w="2146" w:type="dxa"/>
          </w:tcPr>
          <w:p w:rsidR="00266A99" w:rsidRPr="003C2C83" w:rsidRDefault="00266A99" w:rsidP="00981A21">
            <w:pPr>
              <w:rPr>
                <w:rFonts w:asciiTheme="minorEastAsia" w:eastAsiaTheme="minorEastAsia" w:hAnsiTheme="minorEastAsia"/>
                <w:sz w:val="24"/>
                <w:szCs w:val="24"/>
              </w:rPr>
            </w:pPr>
            <w:r w:rsidRPr="003C2C83">
              <w:rPr>
                <w:rFonts w:asciiTheme="minorEastAsia" w:eastAsiaTheme="minorEastAsia" w:hAnsiTheme="minorEastAsia"/>
                <w:sz w:val="24"/>
                <w:szCs w:val="24"/>
              </w:rPr>
              <w:t>广发集富纯债A</w:t>
            </w:r>
          </w:p>
        </w:tc>
        <w:tc>
          <w:tcPr>
            <w:tcW w:w="2715" w:type="dxa"/>
          </w:tcPr>
          <w:p w:rsidR="00266A99" w:rsidRPr="003C2C83" w:rsidRDefault="00266A99"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广发集富纯债C</w:t>
            </w:r>
          </w:p>
        </w:tc>
      </w:tr>
      <w:tr w:rsidR="00266A99" w:rsidRPr="003C2C83" w:rsidTr="004B470A">
        <w:trPr>
          <w:jc w:val="center"/>
        </w:trPr>
        <w:tc>
          <w:tcPr>
            <w:tcW w:w="4778" w:type="dxa"/>
            <w:gridSpan w:val="2"/>
            <w:vAlign w:val="center"/>
          </w:tcPr>
          <w:p w:rsidR="00266A99" w:rsidRPr="003C2C83" w:rsidRDefault="00266A99"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下属分级基金的交易代码</w:t>
            </w:r>
          </w:p>
        </w:tc>
        <w:tc>
          <w:tcPr>
            <w:tcW w:w="2146" w:type="dxa"/>
          </w:tcPr>
          <w:p w:rsidR="00266A99" w:rsidRPr="003C2C83" w:rsidRDefault="00266A99" w:rsidP="00981A21">
            <w:pPr>
              <w:rPr>
                <w:rFonts w:asciiTheme="minorEastAsia" w:eastAsiaTheme="minorEastAsia" w:hAnsiTheme="minorEastAsia"/>
                <w:sz w:val="24"/>
                <w:szCs w:val="24"/>
              </w:rPr>
            </w:pPr>
            <w:r w:rsidRPr="003C2C83">
              <w:rPr>
                <w:rFonts w:asciiTheme="minorEastAsia" w:eastAsiaTheme="minorEastAsia" w:hAnsiTheme="minorEastAsia"/>
                <w:sz w:val="24"/>
                <w:szCs w:val="24"/>
              </w:rPr>
              <w:t>003039</w:t>
            </w:r>
          </w:p>
        </w:tc>
        <w:tc>
          <w:tcPr>
            <w:tcW w:w="2715" w:type="dxa"/>
          </w:tcPr>
          <w:p w:rsidR="00266A99" w:rsidRPr="003C2C83" w:rsidRDefault="00266A99"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003040</w:t>
            </w:r>
          </w:p>
        </w:tc>
      </w:tr>
      <w:tr w:rsidR="000C169A" w:rsidRPr="003C2C83" w:rsidTr="004B470A">
        <w:trPr>
          <w:jc w:val="center"/>
        </w:trPr>
        <w:tc>
          <w:tcPr>
            <w:tcW w:w="1987" w:type="dxa"/>
            <w:vMerge w:val="restart"/>
            <w:vAlign w:val="center"/>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截止基准日下属分级基金的相关指标</w:t>
            </w:r>
          </w:p>
        </w:tc>
        <w:tc>
          <w:tcPr>
            <w:tcW w:w="2791" w:type="dxa"/>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基准日下属分级基金份额净值</w:t>
            </w:r>
            <w:r w:rsidRPr="003C2C83">
              <w:rPr>
                <w:rFonts w:asciiTheme="minorEastAsia" w:eastAsiaTheme="minorEastAsia" w:hAnsiTheme="minorEastAsia" w:hint="eastAsia"/>
                <w:sz w:val="24"/>
                <w:szCs w:val="24"/>
              </w:rPr>
              <w:t>（单位：元）</w:t>
            </w:r>
          </w:p>
        </w:tc>
        <w:tc>
          <w:tcPr>
            <w:tcW w:w="2146" w:type="dxa"/>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1.044</w:t>
            </w:r>
          </w:p>
        </w:tc>
        <w:tc>
          <w:tcPr>
            <w:tcW w:w="2715" w:type="dxa"/>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1.041</w:t>
            </w:r>
          </w:p>
        </w:tc>
      </w:tr>
      <w:tr w:rsidR="000C169A" w:rsidRPr="003C2C83" w:rsidTr="004B470A">
        <w:trPr>
          <w:trHeight w:val="405"/>
          <w:jc w:val="center"/>
        </w:trPr>
        <w:tc>
          <w:tcPr>
            <w:tcW w:w="1987" w:type="dxa"/>
            <w:vMerge/>
          </w:tcPr>
          <w:p w:rsidR="000C169A" w:rsidRPr="003C2C83" w:rsidRDefault="000C169A" w:rsidP="003C2C83">
            <w:pPr>
              <w:rPr>
                <w:rFonts w:asciiTheme="minorEastAsia" w:eastAsiaTheme="minorEastAsia" w:hAnsiTheme="minorEastAsia"/>
                <w:sz w:val="24"/>
                <w:szCs w:val="24"/>
              </w:rPr>
            </w:pPr>
          </w:p>
        </w:tc>
        <w:tc>
          <w:tcPr>
            <w:tcW w:w="2791" w:type="dxa"/>
            <w:vAlign w:val="center"/>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基准日下属分级基金可供分配利润</w:t>
            </w:r>
            <w:r w:rsidRPr="003C2C83">
              <w:rPr>
                <w:rFonts w:asciiTheme="minorEastAsia" w:eastAsiaTheme="minorEastAsia" w:hAnsiTheme="minorEastAsia" w:hint="eastAsia"/>
                <w:sz w:val="24"/>
                <w:szCs w:val="24"/>
              </w:rPr>
              <w:t>（单位：元）</w:t>
            </w:r>
          </w:p>
        </w:tc>
        <w:tc>
          <w:tcPr>
            <w:tcW w:w="2146" w:type="dxa"/>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17,349,005.30</w:t>
            </w:r>
          </w:p>
        </w:tc>
        <w:tc>
          <w:tcPr>
            <w:tcW w:w="2715" w:type="dxa"/>
          </w:tcPr>
          <w:p w:rsidR="000C169A" w:rsidRPr="003C2C83" w:rsidRDefault="000C169A" w:rsidP="003C2C83">
            <w:pPr>
              <w:rPr>
                <w:rFonts w:asciiTheme="minorEastAsia" w:eastAsiaTheme="minorEastAsia" w:hAnsiTheme="minorEastAsia"/>
                <w:sz w:val="24"/>
                <w:szCs w:val="24"/>
              </w:rPr>
            </w:pPr>
            <w:r w:rsidRPr="003C2C83">
              <w:rPr>
                <w:rFonts w:asciiTheme="minorEastAsia" w:eastAsiaTheme="minorEastAsia" w:hAnsiTheme="minorEastAsia"/>
                <w:sz w:val="24"/>
                <w:szCs w:val="24"/>
              </w:rPr>
              <w:t>147,276.14</w:t>
            </w:r>
          </w:p>
        </w:tc>
      </w:tr>
      <w:tr w:rsidR="00901C29">
        <w:trPr>
          <w:jc w:val="center"/>
        </w:trPr>
        <w:tc>
          <w:tcPr>
            <w:tcW w:w="1987" w:type="dxa"/>
            <w:vMerge/>
          </w:tcPr>
          <w:p w:rsidR="00901C29" w:rsidRDefault="00901C29"/>
        </w:tc>
        <w:tc>
          <w:tcPr>
            <w:tcW w:w="2791" w:type="dxa"/>
            <w:vAlign w:val="center"/>
          </w:tcPr>
          <w:p w:rsidR="00901C29" w:rsidRDefault="0073142C">
            <w:pPr>
              <w:jc w:val="left"/>
            </w:pPr>
            <w:r>
              <w:rPr>
                <w:rFonts w:asciiTheme="minorEastAsia" w:eastAsiaTheme="minorEastAsia" w:hAnsiTheme="minorEastAsia"/>
                <w:sz w:val="24"/>
                <w:szCs w:val="24"/>
              </w:rPr>
              <w:t>截止基准日按照基金合同约定的分红比例计算的应分配金额（单位：元）</w:t>
            </w:r>
          </w:p>
        </w:tc>
        <w:tc>
          <w:tcPr>
            <w:tcW w:w="2146" w:type="dxa"/>
            <w:vAlign w:val="center"/>
          </w:tcPr>
          <w:p w:rsidR="00901C29" w:rsidRDefault="0073142C">
            <w:pPr>
              <w:jc w:val="left"/>
            </w:pPr>
            <w:r>
              <w:rPr>
                <w:rFonts w:asciiTheme="minorEastAsia" w:eastAsiaTheme="minorEastAsia" w:hAnsiTheme="minorEastAsia"/>
                <w:sz w:val="24"/>
                <w:szCs w:val="24"/>
              </w:rPr>
              <w:t>5,204,701.59</w:t>
            </w:r>
          </w:p>
        </w:tc>
        <w:tc>
          <w:tcPr>
            <w:tcW w:w="2715" w:type="dxa"/>
            <w:vAlign w:val="center"/>
          </w:tcPr>
          <w:p w:rsidR="00901C29" w:rsidRDefault="0073142C">
            <w:pPr>
              <w:jc w:val="left"/>
            </w:pPr>
            <w:r>
              <w:rPr>
                <w:rFonts w:asciiTheme="minorEastAsia" w:eastAsiaTheme="minorEastAsia" w:hAnsiTheme="minorEastAsia"/>
                <w:sz w:val="24"/>
                <w:szCs w:val="24"/>
              </w:rPr>
              <w:t>44,182.85</w:t>
            </w:r>
          </w:p>
        </w:tc>
      </w:tr>
      <w:tr w:rsidR="00266A99" w:rsidRPr="000730CB" w:rsidTr="009544EE">
        <w:trPr>
          <w:jc w:val="center"/>
        </w:trPr>
        <w:tc>
          <w:tcPr>
            <w:tcW w:w="4761" w:type="dxa"/>
            <w:gridSpan w:val="2"/>
          </w:tcPr>
          <w:p w:rsidR="00266A99" w:rsidRPr="000730CB" w:rsidRDefault="00266A99" w:rsidP="000730CB">
            <w:pPr>
              <w:rPr>
                <w:rFonts w:asciiTheme="minorEastAsia" w:eastAsiaTheme="minorEastAsia" w:hAnsiTheme="minorEastAsia"/>
                <w:sz w:val="24"/>
                <w:szCs w:val="24"/>
              </w:rPr>
            </w:pPr>
            <w:r w:rsidRPr="000730CB">
              <w:rPr>
                <w:rFonts w:asciiTheme="minorEastAsia" w:eastAsiaTheme="minorEastAsia" w:hAnsiTheme="minorEastAsia"/>
                <w:sz w:val="24"/>
                <w:szCs w:val="24"/>
              </w:rPr>
              <w:lastRenderedPageBreak/>
              <w:t>本次下属分级基金分红方案（单位：元/10份基金份额）</w:t>
            </w:r>
          </w:p>
        </w:tc>
        <w:tc>
          <w:tcPr>
            <w:tcW w:w="2139" w:type="dxa"/>
          </w:tcPr>
          <w:p w:rsidR="00266A99" w:rsidRPr="000730CB" w:rsidRDefault="00266A99" w:rsidP="000730CB">
            <w:pPr>
              <w:rPr>
                <w:rFonts w:asciiTheme="minorEastAsia" w:eastAsiaTheme="minorEastAsia" w:hAnsiTheme="minorEastAsia"/>
                <w:sz w:val="24"/>
                <w:szCs w:val="24"/>
              </w:rPr>
            </w:pPr>
            <w:r w:rsidRPr="000730CB">
              <w:rPr>
                <w:rFonts w:asciiTheme="minorEastAsia" w:eastAsiaTheme="minorEastAsia" w:hAnsiTheme="minorEastAsia" w:hint="eastAsia"/>
                <w:sz w:val="24"/>
                <w:szCs w:val="24"/>
              </w:rPr>
              <w:t>0.170</w:t>
            </w:r>
          </w:p>
        </w:tc>
        <w:tc>
          <w:tcPr>
            <w:tcW w:w="2706" w:type="dxa"/>
          </w:tcPr>
          <w:p w:rsidR="00266A99" w:rsidRPr="000730CB" w:rsidRDefault="00266A99" w:rsidP="000730CB">
            <w:pPr>
              <w:rPr>
                <w:rFonts w:asciiTheme="minorEastAsia" w:eastAsiaTheme="minorEastAsia" w:hAnsiTheme="minorEastAsia"/>
                <w:sz w:val="24"/>
                <w:szCs w:val="24"/>
              </w:rPr>
            </w:pPr>
            <w:r w:rsidRPr="000730CB">
              <w:rPr>
                <w:rFonts w:asciiTheme="minorEastAsia" w:eastAsiaTheme="minorEastAsia" w:hAnsiTheme="minorEastAsia" w:hint="eastAsia"/>
                <w:sz w:val="24"/>
                <w:szCs w:val="24"/>
              </w:rPr>
              <w:t>0.150</w:t>
            </w:r>
          </w:p>
        </w:tc>
      </w:tr>
    </w:tbl>
    <w:p w:rsidR="00893436" w:rsidRPr="00812228" w:rsidRDefault="00F45E48" w:rsidP="004A5DB0">
      <w:pPr>
        <w:rPr>
          <w:rFonts w:asciiTheme="minorEastAsia" w:eastAsiaTheme="minorEastAsia" w:hAnsiTheme="minorEastAsia"/>
          <w:color w:val="000000"/>
          <w:sz w:val="24"/>
          <w:szCs w:val="24"/>
        </w:rPr>
      </w:pPr>
      <w:r w:rsidRPr="00812228">
        <w:rPr>
          <w:rFonts w:asciiTheme="minorEastAsia" w:eastAsiaTheme="minorEastAsia" w:hAnsiTheme="minorEastAsia"/>
          <w:color w:val="000000"/>
          <w:sz w:val="24"/>
          <w:szCs w:val="24"/>
        </w:rPr>
        <w:t>注：根据本基金基金合同约定，在符合有关基金分红条件的前提下，本基金收益每季度最少分配一次，每年收益分配次数最多为12次，每次收益分配比例不得低于收益分配基准日可供分配利润的30%。</w:t>
      </w:r>
    </w:p>
    <w:p w:rsidR="00893436" w:rsidRPr="000730CB" w:rsidRDefault="00812228" w:rsidP="000730CB">
      <w:pPr>
        <w:pStyle w:val="2"/>
        <w:spacing w:line="360" w:lineRule="auto"/>
        <w:rPr>
          <w:rFonts w:asciiTheme="minorEastAsia" w:eastAsiaTheme="minorEastAsia" w:hAnsiTheme="minorEastAsia"/>
          <w:bCs w:val="0"/>
          <w:color w:val="000000"/>
          <w:sz w:val="24"/>
          <w:szCs w:val="24"/>
        </w:rPr>
      </w:pPr>
      <w:bookmarkStart w:id="1" w:name="_Toc275961419"/>
      <w:r w:rsidRPr="000730CB">
        <w:rPr>
          <w:rFonts w:asciiTheme="minorEastAsia" w:eastAsiaTheme="minorEastAsia" w:hAnsiTheme="minorEastAsia"/>
          <w:bCs w:val="0"/>
          <w:color w:val="000000"/>
          <w:sz w:val="24"/>
          <w:szCs w:val="24"/>
        </w:rPr>
        <w:t>2</w:t>
      </w:r>
      <w:r w:rsidRPr="000730CB">
        <w:rPr>
          <w:rFonts w:asciiTheme="minorEastAsia" w:eastAsiaTheme="minorEastAsia" w:hAnsiTheme="minorEastAsia" w:hint="eastAsia"/>
          <w:bCs w:val="0"/>
          <w:color w:val="000000"/>
          <w:sz w:val="24"/>
          <w:szCs w:val="24"/>
        </w:rPr>
        <w:t>.</w:t>
      </w:r>
      <w:r w:rsidR="00893436" w:rsidRPr="000730CB">
        <w:rPr>
          <w:rFonts w:asciiTheme="minorEastAsia" w:eastAsiaTheme="minorEastAsia" w:hAnsiTheme="minorEastAsia"/>
          <w:bCs w:val="0"/>
          <w:color w:val="00000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2"/>
        <w:gridCol w:w="1"/>
        <w:gridCol w:w="5977"/>
      </w:tblGrid>
      <w:tr w:rsidR="00893436" w:rsidRPr="00890BE3" w:rsidTr="00B14D73">
        <w:trPr>
          <w:jc w:val="center"/>
        </w:trPr>
        <w:tc>
          <w:tcPr>
            <w:tcW w:w="3342" w:type="dxa"/>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权益登记日</w:t>
            </w:r>
          </w:p>
        </w:tc>
        <w:tc>
          <w:tcPr>
            <w:tcW w:w="5978" w:type="dxa"/>
            <w:gridSpan w:val="2"/>
          </w:tcPr>
          <w:p w:rsidR="00893436" w:rsidRPr="00890BE3" w:rsidRDefault="00362297"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2024年12月5日</w:t>
            </w:r>
          </w:p>
        </w:tc>
      </w:tr>
      <w:tr w:rsidR="00566135" w:rsidRPr="00890BE3" w:rsidTr="00B14D73">
        <w:trPr>
          <w:jc w:val="center"/>
        </w:trPr>
        <w:tc>
          <w:tcPr>
            <w:tcW w:w="3342" w:type="dxa"/>
          </w:tcPr>
          <w:p w:rsidR="00566135" w:rsidRPr="00890BE3" w:rsidRDefault="00566135"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除息日</w:t>
            </w:r>
          </w:p>
        </w:tc>
        <w:tc>
          <w:tcPr>
            <w:tcW w:w="2989" w:type="dxa"/>
            <w:hMerge w:val="restart"/>
          </w:tcPr>
          <w:p w:rsidR="00566135" w:rsidRPr="00890BE3" w:rsidRDefault="00566135"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2024年12月5日（场外）</w:t>
            </w:r>
          </w:p>
        </w:tc>
        <w:tc>
          <w:tcPr>
            <w:tcW w:w="2989" w:type="dxa"/>
            <w:hMerge/>
          </w:tcPr>
          <w:p w:rsidR="00566135" w:rsidRPr="00890BE3" w:rsidRDefault="00566135"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2024年12月5日（场外）</w:t>
            </w:r>
          </w:p>
        </w:tc>
      </w:tr>
      <w:tr w:rsidR="00893436" w:rsidRPr="00890BE3" w:rsidTr="00B14D73">
        <w:trPr>
          <w:jc w:val="center"/>
        </w:trPr>
        <w:tc>
          <w:tcPr>
            <w:tcW w:w="3342" w:type="dxa"/>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现金红利发放日</w:t>
            </w:r>
          </w:p>
        </w:tc>
        <w:tc>
          <w:tcPr>
            <w:tcW w:w="5978" w:type="dxa"/>
            <w:gridSpan w:val="2"/>
          </w:tcPr>
          <w:p w:rsidR="00893436" w:rsidRPr="00890BE3" w:rsidRDefault="00BA7F58"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2024年12月6日</w:t>
            </w:r>
          </w:p>
        </w:tc>
      </w:tr>
      <w:tr w:rsidR="00893436" w:rsidRPr="00890BE3" w:rsidTr="00B14D73">
        <w:trPr>
          <w:jc w:val="center"/>
        </w:trPr>
        <w:tc>
          <w:tcPr>
            <w:tcW w:w="3342" w:type="dxa"/>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分红对象</w:t>
            </w:r>
          </w:p>
        </w:tc>
        <w:tc>
          <w:tcPr>
            <w:tcW w:w="5978" w:type="dxa"/>
            <w:gridSpan w:val="2"/>
            <w:shd w:val="clear" w:color="auto" w:fill="auto"/>
          </w:tcPr>
          <w:p w:rsidR="00893436" w:rsidRPr="00890BE3" w:rsidRDefault="00BA7F58"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权益登记日在本公司登记在册的本基金份额的全体持有人</w:t>
            </w:r>
          </w:p>
        </w:tc>
      </w:tr>
      <w:tr w:rsidR="00893436" w:rsidRPr="00890BE3" w:rsidTr="00B14D73">
        <w:trPr>
          <w:jc w:val="center"/>
        </w:trPr>
        <w:tc>
          <w:tcPr>
            <w:tcW w:w="3342" w:type="dxa"/>
            <w:shd w:val="clear" w:color="auto" w:fill="auto"/>
            <w:vAlign w:val="center"/>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红利再投资相关事项的说明</w:t>
            </w:r>
          </w:p>
        </w:tc>
        <w:tc>
          <w:tcPr>
            <w:tcW w:w="5978" w:type="dxa"/>
            <w:gridSpan w:val="2"/>
            <w:shd w:val="clear" w:color="auto" w:fill="auto"/>
          </w:tcPr>
          <w:p w:rsidR="00893436" w:rsidRPr="00890BE3" w:rsidRDefault="00BA7F58"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选择红利再投资方式的投资者由红利转得的基金份额将以2024年12月5日的基金份额净值为计算基准确定。2024年12月9日起投资者可以查询。</w:t>
            </w:r>
          </w:p>
        </w:tc>
      </w:tr>
      <w:tr w:rsidR="00893436" w:rsidRPr="00890BE3" w:rsidTr="00B14D73">
        <w:trPr>
          <w:jc w:val="center"/>
        </w:trPr>
        <w:tc>
          <w:tcPr>
            <w:tcW w:w="3342" w:type="dxa"/>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税收相关事项的说明</w:t>
            </w:r>
          </w:p>
        </w:tc>
        <w:tc>
          <w:tcPr>
            <w:tcW w:w="5978" w:type="dxa"/>
            <w:gridSpan w:val="2"/>
            <w:shd w:val="clear" w:color="auto" w:fill="auto"/>
          </w:tcPr>
          <w:p w:rsidR="00893436" w:rsidRPr="00890BE3" w:rsidRDefault="00BA7F58"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根据相关法律法规规定，基金向投资者分配的基金收益，暂免征收所得税。</w:t>
            </w:r>
          </w:p>
        </w:tc>
      </w:tr>
      <w:tr w:rsidR="00893436" w:rsidRPr="00890BE3" w:rsidTr="00B14D73">
        <w:trPr>
          <w:jc w:val="center"/>
        </w:trPr>
        <w:tc>
          <w:tcPr>
            <w:tcW w:w="3342" w:type="dxa"/>
          </w:tcPr>
          <w:p w:rsidR="00893436" w:rsidRPr="00890BE3" w:rsidRDefault="00893436"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费用相关事项的说明</w:t>
            </w:r>
          </w:p>
        </w:tc>
        <w:tc>
          <w:tcPr>
            <w:tcW w:w="5978" w:type="dxa"/>
            <w:gridSpan w:val="2"/>
            <w:shd w:val="clear" w:color="auto" w:fill="auto"/>
          </w:tcPr>
          <w:p w:rsidR="00893436" w:rsidRPr="00890BE3" w:rsidRDefault="00BA7F58" w:rsidP="00890BE3">
            <w:pPr>
              <w:rPr>
                <w:rFonts w:asciiTheme="minorEastAsia" w:eastAsiaTheme="minorEastAsia" w:hAnsiTheme="minorEastAsia"/>
                <w:sz w:val="24"/>
                <w:szCs w:val="24"/>
              </w:rPr>
            </w:pPr>
            <w:r w:rsidRPr="00890BE3">
              <w:rPr>
                <w:rFonts w:asciiTheme="minorEastAsia" w:eastAsiaTheme="minorEastAsia" w:hAnsiTheme="minorEastAsia"/>
                <w:sz w:val="24"/>
                <w:szCs w:val="24"/>
              </w:rPr>
              <w:t>本基金本次分红免收分红手续费。</w:t>
            </w:r>
          </w:p>
        </w:tc>
      </w:tr>
    </w:tbl>
    <w:p w:rsidR="00893436" w:rsidRPr="00890BE3" w:rsidRDefault="00893436" w:rsidP="00890BE3">
      <w:pPr>
        <w:pStyle w:val="2"/>
        <w:spacing w:line="360" w:lineRule="auto"/>
        <w:rPr>
          <w:rFonts w:asciiTheme="minorEastAsia" w:eastAsiaTheme="minorEastAsia" w:hAnsiTheme="minorEastAsia"/>
          <w:bCs w:val="0"/>
          <w:color w:val="000000"/>
          <w:sz w:val="24"/>
          <w:szCs w:val="24"/>
        </w:rPr>
      </w:pPr>
      <w:bookmarkStart w:id="2" w:name="_Toc275961420"/>
      <w:r w:rsidRPr="00890BE3">
        <w:rPr>
          <w:rFonts w:asciiTheme="minorEastAsia" w:eastAsiaTheme="minorEastAsia" w:hAnsiTheme="minorEastAsia"/>
          <w:bCs w:val="0"/>
          <w:color w:val="000000"/>
          <w:sz w:val="24"/>
          <w:szCs w:val="24"/>
        </w:rPr>
        <w:t>3</w:t>
      </w:r>
      <w:r w:rsidR="00812228" w:rsidRPr="00890BE3">
        <w:rPr>
          <w:rFonts w:asciiTheme="minorEastAsia" w:eastAsiaTheme="minorEastAsia" w:hAnsiTheme="minorEastAsia" w:hint="eastAsia"/>
          <w:bCs w:val="0"/>
          <w:color w:val="000000"/>
          <w:sz w:val="24"/>
          <w:szCs w:val="24"/>
        </w:rPr>
        <w:t>.</w:t>
      </w:r>
      <w:r w:rsidRPr="00890BE3">
        <w:rPr>
          <w:rFonts w:asciiTheme="minorEastAsia" w:eastAsiaTheme="minorEastAsia" w:hAnsiTheme="minorEastAsia"/>
          <w:bCs w:val="0"/>
          <w:color w:val="000000"/>
          <w:sz w:val="24"/>
          <w:szCs w:val="24"/>
        </w:rPr>
        <w:t>其他需要提示的事项</w:t>
      </w:r>
      <w:bookmarkEnd w:id="2"/>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）权益登记日申请申购或转换转入的基金份额不享有本次分红权益，权益登记日申请赎回或转换转出的基金份额享有本次分红权益。</w:t>
      </w:r>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）对于未选择具体分红方式的投资者，本基金默认的分红方式为现金分红。</w:t>
      </w:r>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）投资者可以在工作日的交易时间内到销售网点修改分红方式，本次分红确认的方式将按照投资者在权益登记日之前（不含</w:t>
      </w: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12</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日）最后一次选择的分红方式为准。请投资者到销售网点或通过本公司客户服务电话</w:t>
      </w:r>
      <w:r>
        <w:rPr>
          <w:rFonts w:asciiTheme="minorEastAsia" w:eastAsiaTheme="minorEastAsia" w:hAnsiTheme="minorEastAsia"/>
          <w:color w:val="000000"/>
          <w:sz w:val="24"/>
          <w:szCs w:val="24"/>
        </w:rPr>
        <w:t>95105828</w:t>
      </w:r>
      <w:r>
        <w:rPr>
          <w:rFonts w:asciiTheme="minorEastAsia" w:eastAsiaTheme="minorEastAsia" w:hAnsiTheme="minorEastAsia"/>
          <w:color w:val="000000"/>
          <w:sz w:val="24"/>
          <w:szCs w:val="24"/>
        </w:rPr>
        <w:t>或</w:t>
      </w:r>
      <w:r>
        <w:rPr>
          <w:rFonts w:asciiTheme="minorEastAsia" w:eastAsiaTheme="minorEastAsia" w:hAnsiTheme="minorEastAsia"/>
          <w:color w:val="000000"/>
          <w:sz w:val="24"/>
          <w:szCs w:val="24"/>
        </w:rPr>
        <w:t>020-83936999</w:t>
      </w:r>
      <w:r>
        <w:rPr>
          <w:rFonts w:asciiTheme="minorEastAsia" w:eastAsiaTheme="minorEastAsia" w:hAnsiTheme="minorEastAsia"/>
          <w:color w:val="000000"/>
          <w:sz w:val="24"/>
          <w:szCs w:val="24"/>
        </w:rPr>
        <w:t>确认分红方式是否正确，如不正确或希望修改分红方式的，请务必在规定时间前到</w:t>
      </w:r>
      <w:r>
        <w:rPr>
          <w:rFonts w:asciiTheme="minorEastAsia" w:eastAsiaTheme="minorEastAsia" w:hAnsiTheme="minorEastAsia"/>
          <w:color w:val="000000"/>
          <w:sz w:val="24"/>
          <w:szCs w:val="24"/>
        </w:rPr>
        <w:t>销售网点办理变更手续。</w:t>
      </w:r>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通过某一销售机构指定交易账户按基金代码提交的分红方式变更申请，只对投资者在该销售机构指定交易账户下的基金份额有效，并不改变投资者在该销售机构其他交易账户或其他销售机构下的基金份额的分红方式。如投资者希望变更该销售机构其他交易账户或其他销售机构下的基金份额的分红方式，需分别按基金代码通过各销售机构交易账户逐一提交变更分红方式的业务申请。详见本公司于</w:t>
      </w:r>
      <w:r>
        <w:rPr>
          <w:rFonts w:asciiTheme="minorEastAsia" w:eastAsiaTheme="minorEastAsia" w:hAnsiTheme="minorEastAsia"/>
          <w:color w:val="000000"/>
          <w:sz w:val="24"/>
          <w:szCs w:val="24"/>
        </w:rPr>
        <w:t>2023</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23</w:t>
      </w:r>
      <w:r>
        <w:rPr>
          <w:rFonts w:asciiTheme="minorEastAsia" w:eastAsiaTheme="minorEastAsia" w:hAnsiTheme="minorEastAsia"/>
          <w:color w:val="000000"/>
          <w:sz w:val="24"/>
          <w:szCs w:val="24"/>
        </w:rPr>
        <w:t>日发布的《广发基金管理有限公司关于调整旗下部分开放式基金分红方式变更规则的公告》。</w:t>
      </w:r>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）建议基金份额持有人在</w:t>
      </w:r>
      <w:r>
        <w:rPr>
          <w:rFonts w:asciiTheme="minorEastAsia" w:eastAsiaTheme="minorEastAsia" w:hAnsiTheme="minorEastAsia"/>
          <w:color w:val="000000"/>
          <w:sz w:val="24"/>
          <w:szCs w:val="24"/>
        </w:rPr>
        <w:t>修改分红方式后，在</w:t>
      </w:r>
      <w:r>
        <w:rPr>
          <w:rFonts w:asciiTheme="minorEastAsia" w:eastAsiaTheme="minorEastAsia" w:hAnsiTheme="minorEastAsia"/>
          <w:color w:val="000000"/>
          <w:sz w:val="24"/>
          <w:szCs w:val="24"/>
        </w:rPr>
        <w:t>T+2</w:t>
      </w:r>
      <w:r>
        <w:rPr>
          <w:rFonts w:asciiTheme="minorEastAsia" w:eastAsiaTheme="minorEastAsia" w:hAnsiTheme="minorEastAsia"/>
          <w:color w:val="000000"/>
          <w:sz w:val="24"/>
          <w:szCs w:val="24"/>
        </w:rPr>
        <w:t>日（申请修改分红方式之日为</w:t>
      </w:r>
      <w:r>
        <w:rPr>
          <w:rFonts w:asciiTheme="minorEastAsia" w:eastAsiaTheme="minorEastAsia" w:hAnsiTheme="minorEastAsia"/>
          <w:color w:val="000000"/>
          <w:sz w:val="24"/>
          <w:szCs w:val="24"/>
        </w:rPr>
        <w:t>T</w:t>
      </w:r>
      <w:r>
        <w:rPr>
          <w:rFonts w:asciiTheme="minorEastAsia" w:eastAsiaTheme="minorEastAsia" w:hAnsiTheme="minorEastAsia"/>
          <w:color w:val="000000"/>
          <w:sz w:val="24"/>
          <w:szCs w:val="24"/>
        </w:rPr>
        <w:t>日）后（含</w:t>
      </w:r>
      <w:r>
        <w:rPr>
          <w:rFonts w:asciiTheme="minorEastAsia" w:eastAsiaTheme="minorEastAsia" w:hAnsiTheme="minorEastAsia"/>
          <w:color w:val="000000"/>
          <w:sz w:val="24"/>
          <w:szCs w:val="24"/>
        </w:rPr>
        <w:t>T+2</w:t>
      </w:r>
      <w:r>
        <w:rPr>
          <w:rFonts w:asciiTheme="minorEastAsia" w:eastAsiaTheme="minorEastAsia" w:hAnsiTheme="minorEastAsia"/>
          <w:color w:val="000000"/>
          <w:sz w:val="24"/>
          <w:szCs w:val="24"/>
        </w:rPr>
        <w:t>日）向销售网点或本公司确认分红方式的修改是否成功。</w:t>
      </w:r>
    </w:p>
    <w:p w:rsidR="00901C29" w:rsidRDefault="0073142C">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风险提示：本基金分红并不改变本基金的风险收益特征，也不会因此降低基金投资风险或提高基金投资收益。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w:t>
      </w:r>
      <w:r>
        <w:rPr>
          <w:rFonts w:asciiTheme="minorEastAsia" w:eastAsiaTheme="minorEastAsia" w:hAnsiTheme="minorEastAsia"/>
          <w:color w:val="000000"/>
          <w:sz w:val="24"/>
          <w:szCs w:val="24"/>
        </w:rPr>
        <w:t>认识基金产品的风险收益特征，在了解产品情况及销售机构适当性意见的基础上，根据自身的风险承受能力、投资期限和投资目标，对基金投资作出独立决策，选择合适的基金产品。基金管理人提醒投资者基金投资的</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买者自负</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原则，在投资者作出投资决策后，基金运营状况与基金净值变化引致的投资风险，由投资者自行负责。投资者欲了解有关分红的情况，可到办理业务的当地销售网点查询，也可以登录本公司网站（</w:t>
      </w:r>
      <w:r>
        <w:rPr>
          <w:rFonts w:asciiTheme="minorEastAsia" w:eastAsiaTheme="minorEastAsia" w:hAnsiTheme="minorEastAsia"/>
          <w:color w:val="000000"/>
          <w:sz w:val="24"/>
          <w:szCs w:val="24"/>
        </w:rPr>
        <w:t>www.gffunds.com.cn</w:t>
      </w:r>
      <w:r>
        <w:rPr>
          <w:rFonts w:asciiTheme="minorEastAsia" w:eastAsiaTheme="minorEastAsia" w:hAnsiTheme="minorEastAsia"/>
          <w:color w:val="000000"/>
          <w:sz w:val="24"/>
          <w:szCs w:val="24"/>
        </w:rPr>
        <w:t>）或拨打本公司客户服务电话</w:t>
      </w:r>
      <w:r>
        <w:rPr>
          <w:rFonts w:asciiTheme="minorEastAsia" w:eastAsiaTheme="minorEastAsia" w:hAnsiTheme="minorEastAsia"/>
          <w:color w:val="000000"/>
          <w:sz w:val="24"/>
          <w:szCs w:val="24"/>
        </w:rPr>
        <w:t>95105828</w:t>
      </w:r>
      <w:r>
        <w:rPr>
          <w:rFonts w:asciiTheme="minorEastAsia" w:eastAsiaTheme="minorEastAsia" w:hAnsiTheme="minorEastAsia"/>
          <w:color w:val="000000"/>
          <w:sz w:val="24"/>
          <w:szCs w:val="24"/>
        </w:rPr>
        <w:t>或</w:t>
      </w:r>
      <w:r>
        <w:rPr>
          <w:rFonts w:asciiTheme="minorEastAsia" w:eastAsiaTheme="minorEastAsia" w:hAnsiTheme="minorEastAsia"/>
          <w:color w:val="000000"/>
          <w:sz w:val="24"/>
          <w:szCs w:val="24"/>
        </w:rPr>
        <w:t>020-83936999</w:t>
      </w:r>
      <w:r>
        <w:rPr>
          <w:rFonts w:asciiTheme="minorEastAsia" w:eastAsiaTheme="minorEastAsia" w:hAnsiTheme="minorEastAsia"/>
          <w:color w:val="000000"/>
          <w:sz w:val="24"/>
          <w:szCs w:val="24"/>
        </w:rPr>
        <w:t>咨询相关事宜。</w:t>
      </w:r>
    </w:p>
    <w:p w:rsidR="00364C2A" w:rsidRDefault="00284B1B" w:rsidP="007E13BE">
      <w:pPr>
        <w:ind w:firstLineChars="200" w:firstLine="480"/>
        <w:rPr>
          <w:rFonts w:asciiTheme="minorEastAsia" w:eastAsiaTheme="minorEastAsia" w:hAnsiTheme="minorEastAsia"/>
          <w:color w:val="000000"/>
          <w:sz w:val="24"/>
          <w:szCs w:val="24"/>
        </w:rPr>
      </w:pPr>
      <w:r w:rsidRPr="00812228">
        <w:rPr>
          <w:rFonts w:asciiTheme="minorEastAsia" w:eastAsiaTheme="minorEastAsia" w:hAnsiTheme="minorEastAsia"/>
          <w:color w:val="000000"/>
          <w:sz w:val="24"/>
          <w:szCs w:val="24"/>
        </w:rPr>
        <w:t>特此公告。</w:t>
      </w:r>
    </w:p>
    <w:p w:rsidR="00AC470F" w:rsidRDefault="00AC470F" w:rsidP="00812228">
      <w:pPr>
        <w:ind w:firstLineChars="200" w:firstLine="480"/>
        <w:rPr>
          <w:rFonts w:asciiTheme="minorEastAsia" w:eastAsiaTheme="minorEastAsia" w:hAnsiTheme="minorEastAsia"/>
          <w:color w:val="000000"/>
          <w:sz w:val="24"/>
          <w:szCs w:val="24"/>
        </w:rPr>
      </w:pPr>
    </w:p>
    <w:p w:rsidR="00AC470F" w:rsidRDefault="00AC470F" w:rsidP="00812228">
      <w:pPr>
        <w:ind w:firstLineChars="200" w:firstLine="480"/>
        <w:rPr>
          <w:rFonts w:asciiTheme="minorEastAsia" w:eastAsiaTheme="minorEastAsia" w:hAnsiTheme="minorEastAsia"/>
          <w:color w:val="000000"/>
          <w:sz w:val="24"/>
          <w:szCs w:val="24"/>
        </w:rPr>
      </w:pPr>
    </w:p>
    <w:p w:rsidR="00AC470F" w:rsidRPr="004177A9" w:rsidRDefault="00AC470F" w:rsidP="00AC470F">
      <w:pPr>
        <w:jc w:val="right"/>
        <w:rPr>
          <w:rFonts w:asciiTheme="minorEastAsia" w:eastAsiaTheme="minorEastAsia" w:hAnsiTheme="minorEastAsia"/>
          <w:bCs/>
          <w:color w:val="000000" w:themeColor="text1"/>
          <w:sz w:val="24"/>
          <w:szCs w:val="24"/>
        </w:rPr>
      </w:pPr>
      <w:r w:rsidRPr="004177A9">
        <w:rPr>
          <w:rFonts w:asciiTheme="minorEastAsia" w:eastAsiaTheme="minorEastAsia" w:hAnsiTheme="minorEastAsia"/>
          <w:bCs/>
          <w:color w:val="000000" w:themeColor="text1"/>
          <w:sz w:val="24"/>
          <w:szCs w:val="24"/>
        </w:rPr>
        <w:t>广发基金管理有限公司</w:t>
      </w:r>
    </w:p>
    <w:p w:rsidR="00AC470F" w:rsidRPr="004177A9" w:rsidRDefault="00AC470F" w:rsidP="00AC470F">
      <w:pPr>
        <w:jc w:val="right"/>
        <w:rPr>
          <w:rFonts w:asciiTheme="minorEastAsia" w:eastAsiaTheme="minorEastAsia" w:hAnsiTheme="minorEastAsia"/>
          <w:color w:val="000000"/>
          <w:sz w:val="24"/>
          <w:szCs w:val="24"/>
        </w:rPr>
      </w:pPr>
      <w:r w:rsidRPr="004177A9">
        <w:rPr>
          <w:rFonts w:asciiTheme="minorEastAsia" w:eastAsiaTheme="minorEastAsia" w:hAnsiTheme="minorEastAsia"/>
          <w:bCs/>
          <w:color w:val="000000" w:themeColor="text1"/>
          <w:sz w:val="24"/>
          <w:szCs w:val="24"/>
        </w:rPr>
        <w:t>2024年12月4日</w:t>
      </w:r>
    </w:p>
    <w:sectPr w:rsidR="00AC470F" w:rsidRPr="004177A9"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36" w:rsidRDefault="00C47A36" w:rsidP="00893436">
      <w:r>
        <w:separator/>
      </w:r>
    </w:p>
  </w:endnote>
  <w:endnote w:type="continuationSeparator" w:id="0">
    <w:p w:rsidR="00C47A36" w:rsidRDefault="00C47A36" w:rsidP="008934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36" w:rsidRDefault="00C47A36" w:rsidP="00893436">
      <w:r>
        <w:separator/>
      </w:r>
    </w:p>
  </w:footnote>
  <w:footnote w:type="continuationSeparator" w:id="0">
    <w:p w:rsidR="00C47A36" w:rsidRDefault="00C47A36" w:rsidP="00893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436"/>
    <w:rsid w:val="00025641"/>
    <w:rsid w:val="00041353"/>
    <w:rsid w:val="0004496C"/>
    <w:rsid w:val="00057AC1"/>
    <w:rsid w:val="0007182D"/>
    <w:rsid w:val="000730CB"/>
    <w:rsid w:val="00077764"/>
    <w:rsid w:val="00085F5C"/>
    <w:rsid w:val="0009778C"/>
    <w:rsid w:val="000A19B2"/>
    <w:rsid w:val="000C169A"/>
    <w:rsid w:val="000C39F6"/>
    <w:rsid w:val="000D3A38"/>
    <w:rsid w:val="000D6418"/>
    <w:rsid w:val="000D7A15"/>
    <w:rsid w:val="00111BD0"/>
    <w:rsid w:val="00135CA1"/>
    <w:rsid w:val="00150DF0"/>
    <w:rsid w:val="0016074B"/>
    <w:rsid w:val="00160D71"/>
    <w:rsid w:val="001A08B2"/>
    <w:rsid w:val="001A61DE"/>
    <w:rsid w:val="001D7FD5"/>
    <w:rsid w:val="00226206"/>
    <w:rsid w:val="00242E4D"/>
    <w:rsid w:val="00247585"/>
    <w:rsid w:val="00266A99"/>
    <w:rsid w:val="00284B1B"/>
    <w:rsid w:val="002A63B7"/>
    <w:rsid w:val="002D73E6"/>
    <w:rsid w:val="003160F8"/>
    <w:rsid w:val="0032061C"/>
    <w:rsid w:val="00362297"/>
    <w:rsid w:val="00362529"/>
    <w:rsid w:val="0039192C"/>
    <w:rsid w:val="003C26AF"/>
    <w:rsid w:val="003C2C83"/>
    <w:rsid w:val="003D1DDB"/>
    <w:rsid w:val="003E51F2"/>
    <w:rsid w:val="003E6755"/>
    <w:rsid w:val="00410642"/>
    <w:rsid w:val="00413675"/>
    <w:rsid w:val="004177A9"/>
    <w:rsid w:val="004664D8"/>
    <w:rsid w:val="00482853"/>
    <w:rsid w:val="00486934"/>
    <w:rsid w:val="004966BA"/>
    <w:rsid w:val="004A5DB0"/>
    <w:rsid w:val="004B470A"/>
    <w:rsid w:val="004E68DA"/>
    <w:rsid w:val="0050279B"/>
    <w:rsid w:val="00506E3A"/>
    <w:rsid w:val="00566135"/>
    <w:rsid w:val="005715B6"/>
    <w:rsid w:val="00582B3F"/>
    <w:rsid w:val="00595ED0"/>
    <w:rsid w:val="005C74A7"/>
    <w:rsid w:val="005D6B5D"/>
    <w:rsid w:val="00602C3F"/>
    <w:rsid w:val="0060650E"/>
    <w:rsid w:val="00683DBF"/>
    <w:rsid w:val="00687863"/>
    <w:rsid w:val="006A2E06"/>
    <w:rsid w:val="006D4E2B"/>
    <w:rsid w:val="00721B55"/>
    <w:rsid w:val="00723FDD"/>
    <w:rsid w:val="0073142C"/>
    <w:rsid w:val="007415B9"/>
    <w:rsid w:val="00773952"/>
    <w:rsid w:val="007C7B20"/>
    <w:rsid w:val="007E13BE"/>
    <w:rsid w:val="0080692A"/>
    <w:rsid w:val="00812228"/>
    <w:rsid w:val="00813AF3"/>
    <w:rsid w:val="00833BB9"/>
    <w:rsid w:val="00854EE8"/>
    <w:rsid w:val="00865457"/>
    <w:rsid w:val="00880E4A"/>
    <w:rsid w:val="00885C64"/>
    <w:rsid w:val="00886011"/>
    <w:rsid w:val="00890BE3"/>
    <w:rsid w:val="00893436"/>
    <w:rsid w:val="0089627F"/>
    <w:rsid w:val="008C6167"/>
    <w:rsid w:val="008D1F66"/>
    <w:rsid w:val="008F6531"/>
    <w:rsid w:val="00901C29"/>
    <w:rsid w:val="00906B54"/>
    <w:rsid w:val="0092384D"/>
    <w:rsid w:val="009302F7"/>
    <w:rsid w:val="009544EE"/>
    <w:rsid w:val="00965E04"/>
    <w:rsid w:val="009732A4"/>
    <w:rsid w:val="009768E9"/>
    <w:rsid w:val="00981A21"/>
    <w:rsid w:val="0099338F"/>
    <w:rsid w:val="009B4BCB"/>
    <w:rsid w:val="009B7E1F"/>
    <w:rsid w:val="009F297D"/>
    <w:rsid w:val="00A27C8C"/>
    <w:rsid w:val="00A67015"/>
    <w:rsid w:val="00A81C93"/>
    <w:rsid w:val="00A83087"/>
    <w:rsid w:val="00A84B99"/>
    <w:rsid w:val="00AC470F"/>
    <w:rsid w:val="00B14D73"/>
    <w:rsid w:val="00B2390E"/>
    <w:rsid w:val="00B44BBE"/>
    <w:rsid w:val="00B5690D"/>
    <w:rsid w:val="00B60712"/>
    <w:rsid w:val="00B65299"/>
    <w:rsid w:val="00B77B08"/>
    <w:rsid w:val="00B81F29"/>
    <w:rsid w:val="00B93C0F"/>
    <w:rsid w:val="00BA7F58"/>
    <w:rsid w:val="00BD5FE1"/>
    <w:rsid w:val="00BD7533"/>
    <w:rsid w:val="00BE444C"/>
    <w:rsid w:val="00BE46A6"/>
    <w:rsid w:val="00BF5698"/>
    <w:rsid w:val="00C33DDD"/>
    <w:rsid w:val="00C47A36"/>
    <w:rsid w:val="00CB3D18"/>
    <w:rsid w:val="00CC333F"/>
    <w:rsid w:val="00CC53FB"/>
    <w:rsid w:val="00CE3E95"/>
    <w:rsid w:val="00D20292"/>
    <w:rsid w:val="00D462DF"/>
    <w:rsid w:val="00D53E01"/>
    <w:rsid w:val="00D66999"/>
    <w:rsid w:val="00D82E8A"/>
    <w:rsid w:val="00DA332C"/>
    <w:rsid w:val="00DA7420"/>
    <w:rsid w:val="00DA77C4"/>
    <w:rsid w:val="00DB6924"/>
    <w:rsid w:val="00E100B9"/>
    <w:rsid w:val="00E2166D"/>
    <w:rsid w:val="00E24390"/>
    <w:rsid w:val="00E379B4"/>
    <w:rsid w:val="00E412C2"/>
    <w:rsid w:val="00E44D81"/>
    <w:rsid w:val="00E8116A"/>
    <w:rsid w:val="00E948BF"/>
    <w:rsid w:val="00EA5FFB"/>
    <w:rsid w:val="00EE767E"/>
    <w:rsid w:val="00F0033B"/>
    <w:rsid w:val="00F02A10"/>
    <w:rsid w:val="00F055D7"/>
    <w:rsid w:val="00F4212E"/>
    <w:rsid w:val="00F45E48"/>
    <w:rsid w:val="00F5597E"/>
    <w:rsid w:val="00FB4F60"/>
    <w:rsid w:val="00FC4488"/>
    <w:rsid w:val="00FC5715"/>
    <w:rsid w:val="00FD4DEA"/>
    <w:rsid w:val="00FF0BA4"/>
    <w:rsid w:val="00FF2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E9"/>
    <w:pPr>
      <w:widowControl w:val="0"/>
      <w:spacing w:line="360" w:lineRule="auto"/>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812228"/>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812228"/>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4</DocSecurity>
  <Lines>13</Lines>
  <Paragraphs>3</Paragraphs>
  <ScaleCrop>false</ScaleCrop>
  <Company>微软中国</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2024-12-03T16:00:00Z</dcterms:created>
  <dcterms:modified xsi:type="dcterms:W3CDTF">2024-12-03T16:00:00Z</dcterms:modified>
</cp:coreProperties>
</file>