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62D" w:rsidRDefault="009B262D" w:rsidP="009B262D">
      <w:pPr>
        <w:spacing w:line="360" w:lineRule="auto"/>
        <w:ind w:left="2249" w:hangingChars="800" w:hanging="2249"/>
        <w:jc w:val="center"/>
        <w:rPr>
          <w:rFonts w:ascii="宋体" w:hAnsi="Times New Roman" w:cs="宋体"/>
          <w:b/>
          <w:color w:val="000000"/>
          <w:kern w:val="0"/>
          <w:sz w:val="28"/>
          <w:szCs w:val="21"/>
        </w:rPr>
      </w:pPr>
      <w:r w:rsidRPr="00207ECD">
        <w:rPr>
          <w:rFonts w:ascii="宋体" w:hAnsi="Times New Roman" w:cs="宋体" w:hint="eastAsia"/>
          <w:b/>
          <w:color w:val="000000"/>
          <w:kern w:val="0"/>
          <w:sz w:val="28"/>
          <w:szCs w:val="21"/>
        </w:rPr>
        <w:t>平安基金管理有限公司</w:t>
      </w:r>
    </w:p>
    <w:p w:rsidR="009B262D" w:rsidRDefault="009B262D" w:rsidP="009B262D">
      <w:pPr>
        <w:spacing w:line="360" w:lineRule="auto"/>
        <w:ind w:left="2249" w:hangingChars="800" w:hanging="2249"/>
        <w:jc w:val="center"/>
        <w:rPr>
          <w:rFonts w:ascii="宋体" w:hAnsi="Times New Roman" w:cs="宋体"/>
          <w:b/>
          <w:color w:val="000000"/>
          <w:kern w:val="0"/>
          <w:sz w:val="28"/>
          <w:szCs w:val="21"/>
        </w:rPr>
      </w:pPr>
      <w:r w:rsidRPr="009B262D">
        <w:rPr>
          <w:rFonts w:ascii="宋体" w:hAnsi="Times New Roman" w:cs="宋体" w:hint="eastAsia"/>
          <w:b/>
          <w:color w:val="000000"/>
          <w:kern w:val="0"/>
          <w:sz w:val="28"/>
          <w:szCs w:val="21"/>
        </w:rPr>
        <w:t>关于旗下部分基金在中国工商银行股份有限公司开通转换的公告</w:t>
      </w:r>
    </w:p>
    <w:p w:rsidR="009B262D" w:rsidRPr="00207ECD" w:rsidRDefault="009B262D" w:rsidP="009B262D">
      <w:pPr>
        <w:spacing w:line="360" w:lineRule="auto"/>
        <w:ind w:left="2249" w:hangingChars="800" w:hanging="2249"/>
        <w:jc w:val="center"/>
        <w:rPr>
          <w:rFonts w:ascii="宋体" w:hAnsi="Times New Roman" w:cs="宋体"/>
          <w:b/>
          <w:color w:val="000000"/>
          <w:kern w:val="0"/>
          <w:sz w:val="28"/>
          <w:szCs w:val="21"/>
        </w:rPr>
      </w:pPr>
    </w:p>
    <w:p w:rsidR="009B262D" w:rsidRPr="007831A1" w:rsidRDefault="009B262D" w:rsidP="009B262D">
      <w:pPr>
        <w:spacing w:line="360" w:lineRule="auto"/>
        <w:ind w:firstLineChars="200" w:firstLine="420"/>
      </w:pPr>
      <w:r w:rsidRPr="00320084">
        <w:rPr>
          <w:rFonts w:ascii="宋体" w:hAnsi="宋体"/>
          <w:szCs w:val="21"/>
        </w:rPr>
        <w:t>为更好地满足广大</w:t>
      </w:r>
      <w:r>
        <w:rPr>
          <w:rFonts w:ascii="宋体" w:hAnsi="宋体"/>
          <w:szCs w:val="21"/>
        </w:rPr>
        <w:t>投资者</w:t>
      </w:r>
      <w:r w:rsidRPr="00320084">
        <w:rPr>
          <w:rFonts w:ascii="宋体" w:hAnsi="宋体"/>
          <w:szCs w:val="21"/>
        </w:rPr>
        <w:t>的理财需求，</w:t>
      </w:r>
      <w:r w:rsidRPr="00320084">
        <w:rPr>
          <w:rFonts w:ascii="宋体" w:hAnsi="宋体" w:hint="eastAsia"/>
          <w:szCs w:val="21"/>
        </w:rPr>
        <w:t>根据</w:t>
      </w:r>
      <w:r w:rsidRPr="002D1608">
        <w:rPr>
          <w:rFonts w:ascii="宋体" w:hAnsi="宋体" w:hint="eastAsia"/>
          <w:szCs w:val="21"/>
        </w:rPr>
        <w:t>平安基金管理有限公司</w:t>
      </w:r>
      <w:r w:rsidRPr="00320084">
        <w:rPr>
          <w:rFonts w:ascii="宋体" w:hAnsi="宋体"/>
          <w:szCs w:val="21"/>
        </w:rPr>
        <w:t>（以下简称“本公司”）</w:t>
      </w:r>
      <w:r w:rsidRPr="00320084">
        <w:rPr>
          <w:rFonts w:ascii="宋体" w:hAnsi="宋体" w:hint="eastAsia"/>
          <w:szCs w:val="21"/>
        </w:rPr>
        <w:t>与</w:t>
      </w:r>
      <w:r w:rsidRPr="00344435">
        <w:rPr>
          <w:rFonts w:ascii="宋体" w:hAnsi="宋体" w:hint="eastAsia"/>
          <w:szCs w:val="21"/>
        </w:rPr>
        <w:t>中国工商银行股份有限公司</w:t>
      </w:r>
      <w:r w:rsidRPr="00FC09B7">
        <w:rPr>
          <w:rFonts w:ascii="宋体" w:hAnsi="宋体" w:hint="eastAsia"/>
          <w:szCs w:val="21"/>
        </w:rPr>
        <w:t>（以下简称“</w:t>
      </w:r>
      <w:r>
        <w:rPr>
          <w:rFonts w:ascii="宋体" w:hAnsi="宋体" w:hint="eastAsia"/>
          <w:szCs w:val="21"/>
        </w:rPr>
        <w:t>工商银行</w:t>
      </w:r>
      <w:r w:rsidRPr="00FC09B7">
        <w:rPr>
          <w:rFonts w:ascii="宋体" w:hAnsi="宋体" w:hint="eastAsia"/>
          <w:szCs w:val="21"/>
        </w:rPr>
        <w:t>”）</w:t>
      </w:r>
      <w:r w:rsidRPr="00320084">
        <w:rPr>
          <w:rFonts w:ascii="宋体" w:hAnsi="宋体" w:hint="eastAsia"/>
          <w:szCs w:val="21"/>
        </w:rPr>
        <w:t>签署的销售补充协议</w:t>
      </w:r>
      <w:r w:rsidRPr="00E626A9">
        <w:rPr>
          <w:rFonts w:ascii="宋体" w:hAnsi="宋体" w:hint="eastAsia"/>
          <w:szCs w:val="21"/>
        </w:rPr>
        <w:t>，从202</w:t>
      </w:r>
      <w:r>
        <w:rPr>
          <w:rFonts w:ascii="宋体" w:hAnsi="宋体" w:hint="eastAsia"/>
          <w:szCs w:val="21"/>
        </w:rPr>
        <w:t>4</w:t>
      </w:r>
      <w:r w:rsidRPr="00E626A9">
        <w:rPr>
          <w:rFonts w:ascii="宋体" w:hAnsi="宋体" w:hint="eastAsia"/>
          <w:szCs w:val="21"/>
        </w:rPr>
        <w:t>年</w:t>
      </w:r>
      <w:r>
        <w:rPr>
          <w:rFonts w:ascii="宋体" w:hAnsi="宋体" w:hint="eastAsia"/>
          <w:szCs w:val="21"/>
        </w:rPr>
        <w:t>12</w:t>
      </w:r>
      <w:r w:rsidRPr="00E626A9">
        <w:rPr>
          <w:rFonts w:ascii="宋体" w:hAnsi="宋体" w:hint="eastAsia"/>
          <w:szCs w:val="21"/>
        </w:rPr>
        <w:t>月</w:t>
      </w:r>
      <w:r>
        <w:rPr>
          <w:rFonts w:ascii="宋体" w:hAnsi="宋体" w:hint="eastAsia"/>
          <w:szCs w:val="21"/>
        </w:rPr>
        <w:t>2</w:t>
      </w:r>
      <w:r w:rsidRPr="00E626A9">
        <w:rPr>
          <w:rFonts w:ascii="宋体" w:hAnsi="宋体" w:hint="eastAsia"/>
          <w:szCs w:val="21"/>
        </w:rPr>
        <w:t>日起，</w:t>
      </w:r>
      <w:r>
        <w:rPr>
          <w:rFonts w:ascii="宋体" w:hAnsi="宋体" w:hint="eastAsia"/>
          <w:szCs w:val="21"/>
        </w:rPr>
        <w:t>本公司旗下部分基金在工商银行开通转换</w:t>
      </w:r>
      <w:r>
        <w:rPr>
          <w:rFonts w:hint="eastAsia"/>
        </w:rPr>
        <w:t>，现将相关事项公告如下：</w:t>
      </w:r>
    </w:p>
    <w:p w:rsidR="009B262D" w:rsidRDefault="009B262D" w:rsidP="009B262D">
      <w:pPr>
        <w:spacing w:line="360" w:lineRule="auto"/>
        <w:ind w:firstLineChars="200" w:firstLine="420"/>
        <w:rPr>
          <w:rFonts w:ascii="宋体" w:hAnsi="宋体"/>
          <w:szCs w:val="21"/>
        </w:rPr>
      </w:pPr>
      <w:r>
        <w:rPr>
          <w:rFonts w:ascii="宋体" w:hAnsi="宋体" w:hint="eastAsia"/>
          <w:szCs w:val="21"/>
        </w:rPr>
        <w:t>一、自2024年12月2日起，投资者可通过工商银行</w:t>
      </w:r>
      <w:r w:rsidRPr="006F009E">
        <w:rPr>
          <w:rFonts w:ascii="宋体" w:hAnsi="宋体" w:hint="eastAsia"/>
          <w:szCs w:val="21"/>
        </w:rPr>
        <w:t>办理</w:t>
      </w:r>
      <w:r>
        <w:rPr>
          <w:rFonts w:ascii="宋体" w:hAnsi="宋体" w:hint="eastAsia"/>
          <w:szCs w:val="21"/>
        </w:rPr>
        <w:t>以下</w:t>
      </w:r>
      <w:r w:rsidRPr="00295342">
        <w:rPr>
          <w:rFonts w:ascii="宋体" w:hAnsi="宋体" w:hint="eastAsia"/>
          <w:szCs w:val="21"/>
        </w:rPr>
        <w:t>基金</w:t>
      </w:r>
      <w:r w:rsidRPr="006F009E">
        <w:rPr>
          <w:rFonts w:ascii="宋体" w:hAnsi="宋体" w:hint="eastAsia"/>
          <w:szCs w:val="21"/>
        </w:rPr>
        <w:t>的</w:t>
      </w:r>
      <w:r>
        <w:rPr>
          <w:rFonts w:ascii="宋体" w:hAnsi="宋体" w:hint="eastAsia"/>
          <w:szCs w:val="21"/>
        </w:rPr>
        <w:t>转换</w:t>
      </w:r>
      <w:r w:rsidRPr="006F009E">
        <w:rPr>
          <w:rFonts w:ascii="宋体" w:hAnsi="宋体" w:hint="eastAsia"/>
          <w:szCs w:val="21"/>
        </w:rPr>
        <w:t>业务。</w:t>
      </w:r>
    </w:p>
    <w:tbl>
      <w:tblPr>
        <w:tblStyle w:val="a4"/>
        <w:tblW w:w="0" w:type="auto"/>
        <w:jc w:val="center"/>
        <w:tblLook w:val="04A0"/>
      </w:tblPr>
      <w:tblGrid>
        <w:gridCol w:w="1276"/>
        <w:gridCol w:w="6662"/>
      </w:tblGrid>
      <w:tr w:rsidR="009B262D" w:rsidRPr="009B262D" w:rsidTr="009B262D">
        <w:trPr>
          <w:trHeight w:val="300"/>
          <w:jc w:val="center"/>
        </w:trPr>
        <w:tc>
          <w:tcPr>
            <w:tcW w:w="1276" w:type="dxa"/>
            <w:noWrap/>
            <w:vAlign w:val="center"/>
            <w:hideMark/>
          </w:tcPr>
          <w:p w:rsidR="009B262D" w:rsidRPr="009B262D" w:rsidRDefault="009B262D" w:rsidP="009B262D">
            <w:pPr>
              <w:jc w:val="center"/>
              <w:rPr>
                <w:rFonts w:ascii="宋体" w:hAnsi="宋体"/>
                <w:b/>
                <w:szCs w:val="21"/>
              </w:rPr>
            </w:pPr>
            <w:r w:rsidRPr="009B262D">
              <w:rPr>
                <w:rFonts w:ascii="宋体" w:hAnsi="宋体" w:hint="eastAsia"/>
                <w:b/>
                <w:szCs w:val="21"/>
              </w:rPr>
              <w:t>基金代码</w:t>
            </w:r>
          </w:p>
        </w:tc>
        <w:tc>
          <w:tcPr>
            <w:tcW w:w="6662" w:type="dxa"/>
            <w:noWrap/>
            <w:vAlign w:val="center"/>
            <w:hideMark/>
          </w:tcPr>
          <w:p w:rsidR="009B262D" w:rsidRPr="009B262D" w:rsidRDefault="009B262D" w:rsidP="009B262D">
            <w:pPr>
              <w:jc w:val="center"/>
              <w:rPr>
                <w:rFonts w:ascii="宋体" w:hAnsi="宋体"/>
                <w:b/>
                <w:szCs w:val="21"/>
              </w:rPr>
            </w:pPr>
            <w:r w:rsidRPr="009B262D">
              <w:rPr>
                <w:rFonts w:ascii="宋体" w:hAnsi="宋体" w:hint="eastAsia"/>
                <w:b/>
                <w:szCs w:val="21"/>
              </w:rPr>
              <w:t>基金名称</w:t>
            </w:r>
          </w:p>
        </w:tc>
      </w:tr>
      <w:tr w:rsidR="009B262D" w:rsidRPr="009B262D" w:rsidTr="009B262D">
        <w:trPr>
          <w:trHeight w:val="300"/>
          <w:jc w:val="center"/>
        </w:trPr>
        <w:tc>
          <w:tcPr>
            <w:tcW w:w="1276" w:type="dxa"/>
            <w:noWrap/>
            <w:vAlign w:val="center"/>
            <w:hideMark/>
          </w:tcPr>
          <w:p w:rsidR="009B262D" w:rsidRPr="009B262D" w:rsidRDefault="009B262D" w:rsidP="009B262D">
            <w:pPr>
              <w:jc w:val="center"/>
              <w:rPr>
                <w:rFonts w:ascii="宋体" w:hAnsi="宋体"/>
                <w:szCs w:val="21"/>
              </w:rPr>
            </w:pPr>
            <w:r w:rsidRPr="009B262D">
              <w:rPr>
                <w:rFonts w:ascii="宋体" w:hAnsi="宋体" w:hint="eastAsia"/>
                <w:szCs w:val="21"/>
              </w:rPr>
              <w:t>019952</w:t>
            </w:r>
          </w:p>
        </w:tc>
        <w:tc>
          <w:tcPr>
            <w:tcW w:w="6662" w:type="dxa"/>
            <w:noWrap/>
            <w:vAlign w:val="center"/>
            <w:hideMark/>
          </w:tcPr>
          <w:p w:rsidR="009B262D" w:rsidRPr="009B262D" w:rsidRDefault="009B262D" w:rsidP="009B262D">
            <w:pPr>
              <w:jc w:val="center"/>
              <w:rPr>
                <w:rFonts w:ascii="宋体" w:hAnsi="宋体"/>
                <w:szCs w:val="21"/>
              </w:rPr>
            </w:pPr>
            <w:r w:rsidRPr="009B262D">
              <w:rPr>
                <w:rFonts w:ascii="宋体" w:hAnsi="宋体" w:hint="eastAsia"/>
                <w:szCs w:val="21"/>
              </w:rPr>
              <w:t>平安价值远见混合型证券投资基金A</w:t>
            </w:r>
          </w:p>
        </w:tc>
      </w:tr>
      <w:tr w:rsidR="009B262D" w:rsidRPr="009B262D" w:rsidTr="009B262D">
        <w:trPr>
          <w:trHeight w:val="300"/>
          <w:jc w:val="center"/>
        </w:trPr>
        <w:tc>
          <w:tcPr>
            <w:tcW w:w="1276" w:type="dxa"/>
            <w:noWrap/>
            <w:vAlign w:val="center"/>
            <w:hideMark/>
          </w:tcPr>
          <w:p w:rsidR="009B262D" w:rsidRPr="009B262D" w:rsidRDefault="009B262D" w:rsidP="009B262D">
            <w:pPr>
              <w:jc w:val="center"/>
              <w:rPr>
                <w:rFonts w:ascii="宋体" w:hAnsi="宋体"/>
                <w:szCs w:val="21"/>
              </w:rPr>
            </w:pPr>
            <w:r w:rsidRPr="009B262D">
              <w:rPr>
                <w:rFonts w:ascii="宋体" w:hAnsi="宋体" w:hint="eastAsia"/>
                <w:szCs w:val="21"/>
              </w:rPr>
              <w:t>019953</w:t>
            </w:r>
          </w:p>
        </w:tc>
        <w:tc>
          <w:tcPr>
            <w:tcW w:w="6662" w:type="dxa"/>
            <w:noWrap/>
            <w:vAlign w:val="center"/>
            <w:hideMark/>
          </w:tcPr>
          <w:p w:rsidR="009B262D" w:rsidRPr="009B262D" w:rsidRDefault="009B262D" w:rsidP="009B262D">
            <w:pPr>
              <w:jc w:val="center"/>
              <w:rPr>
                <w:rFonts w:ascii="宋体" w:hAnsi="宋体"/>
                <w:szCs w:val="21"/>
              </w:rPr>
            </w:pPr>
            <w:r w:rsidRPr="009B262D">
              <w:rPr>
                <w:rFonts w:ascii="宋体" w:hAnsi="宋体" w:hint="eastAsia"/>
                <w:szCs w:val="21"/>
              </w:rPr>
              <w:t>平安价值远见混合型证券投资基金C</w:t>
            </w:r>
          </w:p>
        </w:tc>
      </w:tr>
      <w:tr w:rsidR="009B262D" w:rsidRPr="009B262D" w:rsidTr="009B262D">
        <w:trPr>
          <w:trHeight w:val="300"/>
          <w:jc w:val="center"/>
        </w:trPr>
        <w:tc>
          <w:tcPr>
            <w:tcW w:w="1276" w:type="dxa"/>
            <w:noWrap/>
            <w:vAlign w:val="center"/>
          </w:tcPr>
          <w:p w:rsidR="009B262D" w:rsidRPr="00B27258" w:rsidRDefault="009B262D" w:rsidP="009B262D">
            <w:pPr>
              <w:jc w:val="center"/>
            </w:pPr>
            <w:r w:rsidRPr="00B27258">
              <w:rPr>
                <w:rFonts w:hint="eastAsia"/>
              </w:rPr>
              <w:t>005639</w:t>
            </w:r>
          </w:p>
        </w:tc>
        <w:tc>
          <w:tcPr>
            <w:tcW w:w="6662" w:type="dxa"/>
            <w:noWrap/>
            <w:vAlign w:val="center"/>
          </w:tcPr>
          <w:p w:rsidR="009B262D" w:rsidRPr="00B27258" w:rsidRDefault="009B262D" w:rsidP="009B262D">
            <w:pPr>
              <w:jc w:val="center"/>
            </w:pPr>
            <w:r w:rsidRPr="00B27258">
              <w:rPr>
                <w:rFonts w:hint="eastAsia"/>
              </w:rPr>
              <w:t>平安沪深</w:t>
            </w:r>
            <w:r w:rsidRPr="00B27258">
              <w:rPr>
                <w:rFonts w:hint="eastAsia"/>
              </w:rPr>
              <w:t>300</w:t>
            </w:r>
            <w:r w:rsidRPr="00B27258">
              <w:rPr>
                <w:rFonts w:hint="eastAsia"/>
              </w:rPr>
              <w:t>交易型开放式指数证券投资基金联接基金</w:t>
            </w:r>
            <w:r w:rsidRPr="00B27258">
              <w:rPr>
                <w:rFonts w:hint="eastAsia"/>
              </w:rPr>
              <w:t>A</w:t>
            </w:r>
          </w:p>
        </w:tc>
      </w:tr>
      <w:tr w:rsidR="009B262D" w:rsidRPr="009B262D" w:rsidTr="009B262D">
        <w:trPr>
          <w:trHeight w:val="300"/>
          <w:jc w:val="center"/>
        </w:trPr>
        <w:tc>
          <w:tcPr>
            <w:tcW w:w="1276" w:type="dxa"/>
            <w:noWrap/>
            <w:vAlign w:val="center"/>
          </w:tcPr>
          <w:p w:rsidR="009B262D" w:rsidRPr="00B27258" w:rsidRDefault="009B262D" w:rsidP="009B262D">
            <w:pPr>
              <w:jc w:val="center"/>
            </w:pPr>
            <w:r w:rsidRPr="00B27258">
              <w:rPr>
                <w:rFonts w:hint="eastAsia"/>
              </w:rPr>
              <w:t>005640</w:t>
            </w:r>
          </w:p>
        </w:tc>
        <w:tc>
          <w:tcPr>
            <w:tcW w:w="6662" w:type="dxa"/>
            <w:noWrap/>
            <w:vAlign w:val="center"/>
          </w:tcPr>
          <w:p w:rsidR="009B262D" w:rsidRPr="00B27258" w:rsidRDefault="009B262D" w:rsidP="009B262D">
            <w:pPr>
              <w:jc w:val="center"/>
            </w:pPr>
            <w:r w:rsidRPr="00B27258">
              <w:rPr>
                <w:rFonts w:hint="eastAsia"/>
              </w:rPr>
              <w:t>平安沪深</w:t>
            </w:r>
            <w:r w:rsidRPr="00B27258">
              <w:rPr>
                <w:rFonts w:hint="eastAsia"/>
              </w:rPr>
              <w:t>300</w:t>
            </w:r>
            <w:r w:rsidRPr="00B27258">
              <w:rPr>
                <w:rFonts w:hint="eastAsia"/>
              </w:rPr>
              <w:t>交易型开放式指数证券投资基金联接基金</w:t>
            </w:r>
            <w:r w:rsidRPr="00B27258">
              <w:rPr>
                <w:rFonts w:hint="eastAsia"/>
              </w:rPr>
              <w:t>C</w:t>
            </w:r>
          </w:p>
        </w:tc>
      </w:tr>
      <w:tr w:rsidR="009B262D" w:rsidRPr="009B262D" w:rsidTr="009B262D">
        <w:trPr>
          <w:trHeight w:val="300"/>
          <w:jc w:val="center"/>
        </w:trPr>
        <w:tc>
          <w:tcPr>
            <w:tcW w:w="1276" w:type="dxa"/>
            <w:noWrap/>
            <w:vAlign w:val="center"/>
          </w:tcPr>
          <w:p w:rsidR="009B262D" w:rsidRPr="00B27258" w:rsidRDefault="009B262D" w:rsidP="009B262D">
            <w:pPr>
              <w:jc w:val="center"/>
            </w:pPr>
            <w:r w:rsidRPr="00B27258">
              <w:rPr>
                <w:rFonts w:hint="eastAsia"/>
              </w:rPr>
              <w:t>007893</w:t>
            </w:r>
          </w:p>
        </w:tc>
        <w:tc>
          <w:tcPr>
            <w:tcW w:w="6662" w:type="dxa"/>
            <w:noWrap/>
            <w:vAlign w:val="center"/>
          </w:tcPr>
          <w:p w:rsidR="009B262D" w:rsidRPr="00B27258" w:rsidRDefault="009B262D" w:rsidP="009B262D">
            <w:pPr>
              <w:jc w:val="center"/>
            </w:pPr>
            <w:r w:rsidRPr="00B27258">
              <w:rPr>
                <w:rFonts w:hint="eastAsia"/>
              </w:rPr>
              <w:t>平安估值精选混合型证券投资基金</w:t>
            </w:r>
            <w:r w:rsidRPr="00B27258">
              <w:rPr>
                <w:rFonts w:hint="eastAsia"/>
              </w:rPr>
              <w:t>A</w:t>
            </w:r>
          </w:p>
        </w:tc>
      </w:tr>
      <w:tr w:rsidR="009B262D" w:rsidRPr="009B262D" w:rsidTr="009B262D">
        <w:trPr>
          <w:trHeight w:val="300"/>
          <w:jc w:val="center"/>
        </w:trPr>
        <w:tc>
          <w:tcPr>
            <w:tcW w:w="1276" w:type="dxa"/>
            <w:noWrap/>
            <w:vAlign w:val="center"/>
          </w:tcPr>
          <w:p w:rsidR="009B262D" w:rsidRPr="00B27258" w:rsidRDefault="009B262D" w:rsidP="009B262D">
            <w:pPr>
              <w:jc w:val="center"/>
            </w:pPr>
            <w:r w:rsidRPr="00B27258">
              <w:rPr>
                <w:rFonts w:hint="eastAsia"/>
              </w:rPr>
              <w:t>007894</w:t>
            </w:r>
          </w:p>
        </w:tc>
        <w:tc>
          <w:tcPr>
            <w:tcW w:w="6662" w:type="dxa"/>
            <w:noWrap/>
            <w:vAlign w:val="center"/>
          </w:tcPr>
          <w:p w:rsidR="009B262D" w:rsidRPr="00B27258" w:rsidRDefault="009B262D" w:rsidP="009B262D">
            <w:pPr>
              <w:jc w:val="center"/>
            </w:pPr>
            <w:r w:rsidRPr="00B27258">
              <w:rPr>
                <w:rFonts w:hint="eastAsia"/>
              </w:rPr>
              <w:t>平安估值精选混合型证券投资基金</w:t>
            </w:r>
            <w:r w:rsidRPr="00B27258">
              <w:rPr>
                <w:rFonts w:hint="eastAsia"/>
              </w:rPr>
              <w:t>C</w:t>
            </w:r>
          </w:p>
        </w:tc>
      </w:tr>
      <w:tr w:rsidR="009B262D" w:rsidRPr="009B262D" w:rsidTr="009B262D">
        <w:trPr>
          <w:trHeight w:val="300"/>
          <w:jc w:val="center"/>
        </w:trPr>
        <w:tc>
          <w:tcPr>
            <w:tcW w:w="1276" w:type="dxa"/>
            <w:noWrap/>
            <w:vAlign w:val="center"/>
          </w:tcPr>
          <w:p w:rsidR="009B262D" w:rsidRPr="00B27258" w:rsidRDefault="009B262D" w:rsidP="009B262D">
            <w:pPr>
              <w:jc w:val="center"/>
            </w:pPr>
            <w:r w:rsidRPr="00B27258">
              <w:rPr>
                <w:rFonts w:hint="eastAsia"/>
              </w:rPr>
              <w:t>005868</w:t>
            </w:r>
          </w:p>
        </w:tc>
        <w:tc>
          <w:tcPr>
            <w:tcW w:w="6662" w:type="dxa"/>
            <w:noWrap/>
            <w:vAlign w:val="center"/>
          </w:tcPr>
          <w:p w:rsidR="009B262D" w:rsidRPr="00B27258" w:rsidRDefault="009B262D" w:rsidP="009B262D">
            <w:pPr>
              <w:jc w:val="center"/>
            </w:pPr>
            <w:r w:rsidRPr="00B27258">
              <w:rPr>
                <w:rFonts w:hint="eastAsia"/>
              </w:rPr>
              <w:t>平安</w:t>
            </w:r>
            <w:r w:rsidRPr="00B27258">
              <w:rPr>
                <w:rFonts w:hint="eastAsia"/>
              </w:rPr>
              <w:t>MSCI</w:t>
            </w:r>
            <w:r w:rsidRPr="00B27258">
              <w:rPr>
                <w:rFonts w:hint="eastAsia"/>
              </w:rPr>
              <w:t>中国</w:t>
            </w:r>
            <w:r w:rsidRPr="00B27258">
              <w:rPr>
                <w:rFonts w:hint="eastAsia"/>
              </w:rPr>
              <w:t>A</w:t>
            </w:r>
            <w:r w:rsidRPr="00B27258">
              <w:rPr>
                <w:rFonts w:hint="eastAsia"/>
              </w:rPr>
              <w:t>股国际交易型开放式指数证券投资基金联接基金</w:t>
            </w:r>
            <w:r w:rsidRPr="00B27258">
              <w:rPr>
                <w:rFonts w:hint="eastAsia"/>
              </w:rPr>
              <w:t>A</w:t>
            </w:r>
          </w:p>
        </w:tc>
      </w:tr>
      <w:tr w:rsidR="009B262D" w:rsidRPr="009B262D" w:rsidTr="009B262D">
        <w:trPr>
          <w:trHeight w:val="300"/>
          <w:jc w:val="center"/>
        </w:trPr>
        <w:tc>
          <w:tcPr>
            <w:tcW w:w="1276" w:type="dxa"/>
            <w:noWrap/>
            <w:vAlign w:val="center"/>
          </w:tcPr>
          <w:p w:rsidR="009B262D" w:rsidRPr="00B27258" w:rsidRDefault="009B262D" w:rsidP="009B262D">
            <w:pPr>
              <w:jc w:val="center"/>
            </w:pPr>
            <w:r w:rsidRPr="00B27258">
              <w:rPr>
                <w:rFonts w:hint="eastAsia"/>
              </w:rPr>
              <w:t>005869</w:t>
            </w:r>
          </w:p>
        </w:tc>
        <w:tc>
          <w:tcPr>
            <w:tcW w:w="6662" w:type="dxa"/>
            <w:noWrap/>
            <w:vAlign w:val="center"/>
          </w:tcPr>
          <w:p w:rsidR="009B262D" w:rsidRPr="00B27258" w:rsidRDefault="009B262D" w:rsidP="009B262D">
            <w:pPr>
              <w:jc w:val="center"/>
            </w:pPr>
            <w:r w:rsidRPr="00B27258">
              <w:rPr>
                <w:rFonts w:hint="eastAsia"/>
              </w:rPr>
              <w:t>平安</w:t>
            </w:r>
            <w:r w:rsidRPr="00B27258">
              <w:rPr>
                <w:rFonts w:hint="eastAsia"/>
              </w:rPr>
              <w:t>MSCI</w:t>
            </w:r>
            <w:r w:rsidRPr="00B27258">
              <w:rPr>
                <w:rFonts w:hint="eastAsia"/>
              </w:rPr>
              <w:t>中国</w:t>
            </w:r>
            <w:r w:rsidRPr="00B27258">
              <w:rPr>
                <w:rFonts w:hint="eastAsia"/>
              </w:rPr>
              <w:t>A</w:t>
            </w:r>
            <w:r w:rsidRPr="00B27258">
              <w:rPr>
                <w:rFonts w:hint="eastAsia"/>
              </w:rPr>
              <w:t>股国际交易型开放式指数证券投资基金联接基金</w:t>
            </w:r>
            <w:r w:rsidRPr="00B27258">
              <w:rPr>
                <w:rFonts w:hint="eastAsia"/>
              </w:rPr>
              <w:t>C</w:t>
            </w:r>
          </w:p>
        </w:tc>
      </w:tr>
    </w:tbl>
    <w:p w:rsidR="009B262D" w:rsidRPr="009B262D" w:rsidRDefault="009B262D" w:rsidP="009B262D">
      <w:pPr>
        <w:spacing w:line="360" w:lineRule="auto"/>
        <w:ind w:firstLineChars="100" w:firstLine="210"/>
        <w:rPr>
          <w:rFonts w:ascii="宋体" w:hAnsi="宋体"/>
          <w:szCs w:val="21"/>
        </w:rPr>
      </w:pPr>
      <w:r w:rsidRPr="009B262D">
        <w:rPr>
          <w:rFonts w:ascii="宋体" w:hAnsi="宋体" w:hint="eastAsia"/>
          <w:szCs w:val="21"/>
        </w:rPr>
        <w:t>注：同一产品不同份额之间不能相互转换。</w:t>
      </w:r>
    </w:p>
    <w:p w:rsidR="009B262D" w:rsidRDefault="009B262D" w:rsidP="009B262D">
      <w:pPr>
        <w:spacing w:line="360" w:lineRule="auto"/>
        <w:ind w:firstLineChars="200" w:firstLine="420"/>
        <w:rPr>
          <w:rFonts w:ascii="宋体" w:hAnsi="宋体"/>
          <w:szCs w:val="21"/>
        </w:rPr>
      </w:pPr>
    </w:p>
    <w:p w:rsidR="009B262D" w:rsidRPr="00846160" w:rsidRDefault="009B262D" w:rsidP="009B262D">
      <w:pPr>
        <w:spacing w:line="360" w:lineRule="auto"/>
        <w:ind w:firstLineChars="200" w:firstLine="420"/>
        <w:rPr>
          <w:rFonts w:ascii="宋体" w:hAnsi="宋体"/>
          <w:szCs w:val="21"/>
        </w:rPr>
      </w:pPr>
      <w:r w:rsidRPr="00846160">
        <w:rPr>
          <w:rFonts w:ascii="宋体" w:hAnsi="宋体" w:hint="eastAsia"/>
          <w:szCs w:val="21"/>
        </w:rPr>
        <w:t>二、重要提示</w:t>
      </w:r>
    </w:p>
    <w:p w:rsidR="009B262D" w:rsidRDefault="009B262D" w:rsidP="009B262D">
      <w:pPr>
        <w:spacing w:line="360" w:lineRule="auto"/>
        <w:ind w:firstLineChars="200" w:firstLine="420"/>
        <w:rPr>
          <w:rFonts w:ascii="宋体" w:hAnsi="宋体"/>
          <w:szCs w:val="21"/>
        </w:rPr>
      </w:pPr>
      <w:r w:rsidRPr="00846160">
        <w:rPr>
          <w:rFonts w:ascii="宋体" w:hAnsi="宋体" w:hint="eastAsia"/>
          <w:szCs w:val="21"/>
        </w:rPr>
        <w:t>基金转换是指基金份额持有人按照《基金合同》和基金管理人届时有效公告规定的条件，申请将其持有基金管理人管理的、某一基金的基金份额转为基金管理人管理的、且由同一注册登记机构办理注册登记的其他基金的基金份额的行为。基金转换业务规则与转换业务的收费计算公式参见本公司网站的《平安基金管理有限公司关于旗下开放式基金转换业务规则说明的公告》。</w:t>
      </w:r>
    </w:p>
    <w:p w:rsidR="009B262D" w:rsidRDefault="009B262D" w:rsidP="009B262D">
      <w:pPr>
        <w:spacing w:line="360" w:lineRule="auto"/>
        <w:ind w:firstLineChars="200" w:firstLine="420"/>
        <w:rPr>
          <w:rFonts w:ascii="宋体" w:hAnsi="宋体"/>
          <w:szCs w:val="21"/>
        </w:rPr>
      </w:pPr>
    </w:p>
    <w:p w:rsidR="009B262D" w:rsidRPr="00846160" w:rsidRDefault="009B262D" w:rsidP="009B262D">
      <w:pPr>
        <w:spacing w:line="360" w:lineRule="auto"/>
        <w:ind w:firstLineChars="200" w:firstLine="420"/>
        <w:rPr>
          <w:rFonts w:ascii="宋体" w:hAnsi="宋体"/>
          <w:szCs w:val="21"/>
        </w:rPr>
      </w:pPr>
      <w:r w:rsidRPr="00846160">
        <w:rPr>
          <w:rFonts w:ascii="宋体" w:hAnsi="宋体" w:hint="eastAsia"/>
          <w:szCs w:val="21"/>
        </w:rPr>
        <w:t>三、费率优惠</w:t>
      </w:r>
    </w:p>
    <w:p w:rsidR="009B262D" w:rsidRPr="004A73EB" w:rsidRDefault="009B262D" w:rsidP="009B262D">
      <w:pPr>
        <w:spacing w:line="360" w:lineRule="auto"/>
        <w:ind w:firstLineChars="200" w:firstLine="420"/>
        <w:rPr>
          <w:rFonts w:ascii="宋体" w:hAnsi="宋体"/>
          <w:szCs w:val="21"/>
        </w:rPr>
      </w:pPr>
      <w:r w:rsidRPr="004A73EB">
        <w:rPr>
          <w:rFonts w:ascii="宋体" w:hAnsi="宋体" w:hint="eastAsia"/>
          <w:szCs w:val="21"/>
        </w:rPr>
        <w:t>投资者通过</w:t>
      </w:r>
      <w:r>
        <w:rPr>
          <w:rFonts w:ascii="宋体" w:hAnsi="宋体" w:hint="eastAsia"/>
          <w:szCs w:val="21"/>
        </w:rPr>
        <w:t>工商银行</w:t>
      </w:r>
      <w:r w:rsidRPr="004A73EB">
        <w:rPr>
          <w:rFonts w:ascii="宋体" w:hAnsi="宋体" w:hint="eastAsia"/>
          <w:szCs w:val="21"/>
        </w:rPr>
        <w:t>转换上述基金，享受费率优惠，优惠活动解释权归</w:t>
      </w:r>
      <w:r>
        <w:rPr>
          <w:rFonts w:ascii="宋体" w:hAnsi="宋体" w:hint="eastAsia"/>
          <w:szCs w:val="21"/>
        </w:rPr>
        <w:t>工商银行</w:t>
      </w:r>
      <w:r w:rsidRPr="004A73EB">
        <w:rPr>
          <w:rFonts w:ascii="宋体" w:hAnsi="宋体" w:hint="eastAsia"/>
          <w:szCs w:val="21"/>
        </w:rPr>
        <w:t>所有，请投资者咨询</w:t>
      </w:r>
      <w:r>
        <w:rPr>
          <w:rFonts w:ascii="宋体" w:hAnsi="宋体" w:hint="eastAsia"/>
          <w:szCs w:val="21"/>
        </w:rPr>
        <w:t>工商银行</w:t>
      </w:r>
      <w:r w:rsidR="00584059">
        <w:rPr>
          <w:rFonts w:ascii="宋体" w:hAnsi="宋体" w:hint="eastAsia"/>
          <w:szCs w:val="21"/>
        </w:rPr>
        <w:t>。本公司对其转换业务的申购补差费率</w:t>
      </w:r>
      <w:r w:rsidRPr="004A73EB">
        <w:rPr>
          <w:rFonts w:ascii="宋体" w:hAnsi="宋体" w:hint="eastAsia"/>
          <w:szCs w:val="21"/>
        </w:rPr>
        <w:t>不设折扣限制，优惠活动的费率折扣由</w:t>
      </w:r>
      <w:r>
        <w:rPr>
          <w:rFonts w:ascii="宋体" w:hAnsi="宋体" w:hint="eastAsia"/>
          <w:szCs w:val="21"/>
        </w:rPr>
        <w:t>工商银行</w:t>
      </w:r>
      <w:r w:rsidRPr="004A73EB">
        <w:rPr>
          <w:rFonts w:ascii="宋体" w:hAnsi="宋体" w:hint="eastAsia"/>
          <w:szCs w:val="21"/>
        </w:rPr>
        <w:t>决定和执行，本公司根据</w:t>
      </w:r>
      <w:r>
        <w:rPr>
          <w:rFonts w:ascii="宋体" w:hAnsi="宋体" w:hint="eastAsia"/>
          <w:szCs w:val="21"/>
        </w:rPr>
        <w:t>工商银行</w:t>
      </w:r>
      <w:r w:rsidRPr="004A73EB">
        <w:rPr>
          <w:rFonts w:ascii="宋体" w:hAnsi="宋体" w:hint="eastAsia"/>
          <w:szCs w:val="21"/>
        </w:rPr>
        <w:t>提供的费率折扣办理，若费率优惠活动内容变更，以</w:t>
      </w:r>
      <w:r>
        <w:rPr>
          <w:rFonts w:ascii="宋体" w:hAnsi="宋体" w:hint="eastAsia"/>
          <w:szCs w:val="21"/>
        </w:rPr>
        <w:t>工商银行</w:t>
      </w:r>
      <w:r w:rsidRPr="004A73EB">
        <w:rPr>
          <w:rFonts w:ascii="宋体" w:hAnsi="宋体" w:hint="eastAsia"/>
          <w:szCs w:val="21"/>
        </w:rPr>
        <w:t>的活动公告为准，本公司不再另行公告。</w:t>
      </w:r>
    </w:p>
    <w:p w:rsidR="009B262D" w:rsidRPr="004A73EB" w:rsidRDefault="009B262D" w:rsidP="009B262D">
      <w:pPr>
        <w:spacing w:line="360" w:lineRule="auto"/>
        <w:ind w:firstLineChars="200" w:firstLine="420"/>
        <w:rPr>
          <w:rFonts w:ascii="宋体" w:hAnsi="宋体"/>
          <w:szCs w:val="21"/>
        </w:rPr>
      </w:pPr>
    </w:p>
    <w:p w:rsidR="009B262D" w:rsidRPr="00160E99" w:rsidRDefault="009B262D" w:rsidP="009B262D">
      <w:pPr>
        <w:spacing w:line="360" w:lineRule="auto"/>
        <w:ind w:firstLineChars="200" w:firstLine="420"/>
        <w:rPr>
          <w:rFonts w:ascii="宋体" w:hAnsi="宋体"/>
          <w:szCs w:val="21"/>
        </w:rPr>
      </w:pPr>
      <w:r>
        <w:rPr>
          <w:rFonts w:ascii="宋体" w:hAnsi="宋体" w:hint="eastAsia"/>
          <w:szCs w:val="21"/>
        </w:rPr>
        <w:lastRenderedPageBreak/>
        <w:t>四、投资者可通过以下途径了解或咨询相关情况</w:t>
      </w:r>
    </w:p>
    <w:p w:rsidR="009B262D" w:rsidRPr="009B262D" w:rsidRDefault="009B262D" w:rsidP="009B262D">
      <w:pPr>
        <w:spacing w:line="360" w:lineRule="auto"/>
        <w:ind w:firstLineChars="200" w:firstLine="420"/>
        <w:rPr>
          <w:rFonts w:ascii="宋体" w:hAnsi="宋体"/>
          <w:szCs w:val="21"/>
        </w:rPr>
      </w:pPr>
      <w:r w:rsidRPr="00320084">
        <w:rPr>
          <w:rFonts w:ascii="宋体" w:hAnsi="宋体" w:hint="eastAsia"/>
          <w:szCs w:val="21"/>
        </w:rPr>
        <w:t>1、</w:t>
      </w:r>
      <w:r w:rsidRPr="009B262D">
        <w:rPr>
          <w:rFonts w:ascii="宋体" w:hAnsi="宋体" w:hint="eastAsia"/>
          <w:szCs w:val="21"/>
        </w:rPr>
        <w:t>中国工商银行股份有限公司</w:t>
      </w:r>
    </w:p>
    <w:p w:rsidR="009B262D" w:rsidRPr="009B262D" w:rsidRDefault="009B262D" w:rsidP="009B262D">
      <w:pPr>
        <w:spacing w:line="360" w:lineRule="auto"/>
        <w:ind w:firstLineChars="200" w:firstLine="420"/>
        <w:rPr>
          <w:rFonts w:ascii="宋体" w:hAnsi="宋体"/>
          <w:szCs w:val="21"/>
        </w:rPr>
      </w:pPr>
      <w:r w:rsidRPr="009B262D">
        <w:rPr>
          <w:rFonts w:ascii="宋体" w:hAnsi="宋体" w:hint="eastAsia"/>
          <w:szCs w:val="21"/>
        </w:rPr>
        <w:t>客户服务电话：95588</w:t>
      </w:r>
    </w:p>
    <w:p w:rsidR="009B262D" w:rsidRPr="009B262D" w:rsidRDefault="009B262D" w:rsidP="009B262D">
      <w:pPr>
        <w:spacing w:line="360" w:lineRule="auto"/>
        <w:ind w:firstLineChars="200" w:firstLine="420"/>
        <w:rPr>
          <w:rFonts w:ascii="宋体" w:hAnsi="宋体"/>
          <w:szCs w:val="21"/>
        </w:rPr>
      </w:pPr>
      <w:r w:rsidRPr="009B262D">
        <w:rPr>
          <w:rFonts w:ascii="宋体" w:hAnsi="宋体" w:hint="eastAsia"/>
          <w:szCs w:val="21"/>
        </w:rPr>
        <w:t>网址：www.icbc.com.cn</w:t>
      </w:r>
    </w:p>
    <w:p w:rsidR="009B262D" w:rsidRPr="009B262D" w:rsidRDefault="009B262D" w:rsidP="009B262D">
      <w:pPr>
        <w:spacing w:line="360" w:lineRule="auto"/>
        <w:ind w:firstLineChars="200" w:firstLine="420"/>
        <w:rPr>
          <w:rFonts w:ascii="宋体" w:hAnsi="宋体"/>
          <w:szCs w:val="21"/>
        </w:rPr>
      </w:pPr>
      <w:r w:rsidRPr="009B262D">
        <w:rPr>
          <w:rFonts w:ascii="宋体" w:hAnsi="宋体"/>
          <w:szCs w:val="21"/>
        </w:rPr>
        <w:t>2</w:t>
      </w:r>
      <w:r w:rsidRPr="009B262D">
        <w:rPr>
          <w:rFonts w:ascii="宋体" w:hAnsi="宋体" w:hint="eastAsia"/>
          <w:szCs w:val="21"/>
        </w:rPr>
        <w:t>、平安基金管理有限公司</w:t>
      </w:r>
    </w:p>
    <w:p w:rsidR="009B262D" w:rsidRPr="009B262D" w:rsidRDefault="009B262D" w:rsidP="009B262D">
      <w:pPr>
        <w:spacing w:line="360" w:lineRule="auto"/>
        <w:ind w:firstLineChars="200" w:firstLine="420"/>
        <w:rPr>
          <w:rFonts w:ascii="宋体" w:hAnsi="宋体"/>
          <w:szCs w:val="21"/>
        </w:rPr>
      </w:pPr>
      <w:r w:rsidRPr="009B262D">
        <w:rPr>
          <w:rFonts w:ascii="宋体" w:hAnsi="宋体"/>
          <w:szCs w:val="21"/>
        </w:rPr>
        <w:t>客服电话：400</w:t>
      </w:r>
      <w:r w:rsidRPr="009B262D">
        <w:rPr>
          <w:rFonts w:ascii="宋体" w:hAnsi="宋体" w:hint="eastAsia"/>
          <w:szCs w:val="21"/>
        </w:rPr>
        <w:t>-</w:t>
      </w:r>
      <w:r w:rsidRPr="009B262D">
        <w:rPr>
          <w:rFonts w:ascii="宋体" w:hAnsi="宋体"/>
          <w:szCs w:val="21"/>
        </w:rPr>
        <w:t>800</w:t>
      </w:r>
      <w:r w:rsidRPr="009B262D">
        <w:rPr>
          <w:rFonts w:ascii="宋体" w:hAnsi="宋体" w:hint="eastAsia"/>
          <w:szCs w:val="21"/>
        </w:rPr>
        <w:t>-</w:t>
      </w:r>
      <w:r w:rsidRPr="009B262D">
        <w:rPr>
          <w:rFonts w:ascii="宋体" w:hAnsi="宋体"/>
          <w:szCs w:val="21"/>
        </w:rPr>
        <w:t>4800</w:t>
      </w:r>
    </w:p>
    <w:p w:rsidR="009B262D" w:rsidRPr="009B262D" w:rsidRDefault="009B262D" w:rsidP="009B262D">
      <w:pPr>
        <w:spacing w:line="360" w:lineRule="auto"/>
        <w:ind w:firstLineChars="200" w:firstLine="420"/>
        <w:rPr>
          <w:rFonts w:ascii="宋体" w:hAnsi="宋体"/>
          <w:szCs w:val="21"/>
        </w:rPr>
      </w:pPr>
      <w:r w:rsidRPr="009B262D">
        <w:rPr>
          <w:rFonts w:ascii="宋体" w:hAnsi="宋体"/>
          <w:szCs w:val="21"/>
        </w:rPr>
        <w:t>网址：fund.pingan.com</w:t>
      </w:r>
      <w:r w:rsidRPr="009B262D" w:rsidDel="00750489">
        <w:rPr>
          <w:rFonts w:ascii="宋体" w:hAnsi="宋体"/>
          <w:szCs w:val="21"/>
        </w:rPr>
        <w:t xml:space="preserve"> </w:t>
      </w:r>
    </w:p>
    <w:p w:rsidR="009B262D" w:rsidRPr="009B262D" w:rsidRDefault="009B262D" w:rsidP="009B262D">
      <w:pPr>
        <w:spacing w:line="360" w:lineRule="auto"/>
        <w:ind w:firstLineChars="200" w:firstLine="420"/>
        <w:rPr>
          <w:rFonts w:ascii="宋体" w:hAnsi="宋体"/>
          <w:szCs w:val="21"/>
        </w:rPr>
      </w:pPr>
    </w:p>
    <w:p w:rsidR="009B262D" w:rsidRDefault="009B262D" w:rsidP="009B262D">
      <w:pPr>
        <w:spacing w:line="360" w:lineRule="auto"/>
        <w:ind w:firstLineChars="200" w:firstLine="420"/>
        <w:rPr>
          <w:rFonts w:ascii="宋体" w:hAnsi="宋体"/>
          <w:szCs w:val="21"/>
        </w:rPr>
      </w:pPr>
      <w:r w:rsidRPr="009B262D">
        <w:rPr>
          <w:rFonts w:ascii="宋体" w:hAnsi="宋体" w:hint="eastAsia"/>
          <w:szCs w:val="21"/>
        </w:rPr>
        <w:t>风险提示：</w:t>
      </w:r>
      <w:r w:rsidRPr="009B6CF9">
        <w:rPr>
          <w:rFonts w:ascii="宋体" w:hAnsi="宋体" w:hint="eastAsia"/>
          <w:szCs w:val="21"/>
        </w:rPr>
        <w:t>本基金管理人承诺以诚实信用、勤勉尽责的原则管理和运用基金资产，但不保证基金一定盈利，也不保证最低收益。基金的过往业绩及其净值高低并不预示其未来业绩表现。</w:t>
      </w:r>
      <w:r w:rsidRPr="009B262D">
        <w:rPr>
          <w:rFonts w:ascii="宋体" w:hAnsi="宋体" w:hint="eastAsia"/>
          <w:szCs w:val="21"/>
        </w:rPr>
        <w:t>销售机构根据法规要求对投资者类别、风险承受能力和基金的风险等级进行划分，并提出适当性匹配意见。</w:t>
      </w:r>
      <w:r w:rsidRPr="009B6CF9">
        <w:rPr>
          <w:rFonts w:ascii="宋体" w:hAnsi="宋体" w:hint="eastAsia"/>
          <w:szCs w:val="21"/>
        </w:rPr>
        <w:t>投资有风险，敬请投资者在投资基金前认真阅读《基金合同》、《招募说明书》等基金法律文件，了解基金的风险收益特征，</w:t>
      </w:r>
      <w:r w:rsidRPr="009B262D">
        <w:rPr>
          <w:rFonts w:ascii="宋体" w:hAnsi="宋体" w:hint="eastAsia"/>
          <w:szCs w:val="21"/>
        </w:rPr>
        <w:t>在了解产品情况及听取销售机构适当性意见的基础上，</w:t>
      </w:r>
      <w:r w:rsidRPr="009B6CF9">
        <w:rPr>
          <w:rFonts w:ascii="宋体" w:hAnsi="宋体" w:hint="eastAsia"/>
          <w:szCs w:val="21"/>
        </w:rPr>
        <w:t>根据自身的风险承受能力</w:t>
      </w:r>
      <w:r>
        <w:rPr>
          <w:rFonts w:ascii="宋体" w:hAnsi="宋体" w:hint="eastAsia"/>
          <w:szCs w:val="21"/>
        </w:rPr>
        <w:t>、</w:t>
      </w:r>
      <w:r w:rsidRPr="009B262D">
        <w:rPr>
          <w:rFonts w:ascii="宋体" w:hAnsi="宋体" w:hint="eastAsia"/>
          <w:szCs w:val="21"/>
        </w:rPr>
        <w:t>投资期限和投资目标</w:t>
      </w:r>
      <w:r w:rsidRPr="009B6CF9">
        <w:rPr>
          <w:rFonts w:ascii="宋体" w:hAnsi="宋体" w:hint="eastAsia"/>
          <w:szCs w:val="21"/>
        </w:rPr>
        <w:t>选择适合自己的基金产品。敬请投资者在购买基金前认真考虑、谨慎决策。</w:t>
      </w:r>
    </w:p>
    <w:p w:rsidR="009B262D" w:rsidRDefault="009B262D" w:rsidP="009B262D">
      <w:pPr>
        <w:spacing w:line="360" w:lineRule="auto"/>
        <w:ind w:firstLineChars="200" w:firstLine="420"/>
        <w:rPr>
          <w:rFonts w:ascii="宋体" w:hAnsi="宋体"/>
          <w:szCs w:val="21"/>
        </w:rPr>
      </w:pPr>
    </w:p>
    <w:p w:rsidR="009B262D" w:rsidRDefault="009B262D" w:rsidP="009B262D">
      <w:pPr>
        <w:spacing w:line="360" w:lineRule="auto"/>
        <w:ind w:firstLineChars="200" w:firstLine="420"/>
        <w:rPr>
          <w:rFonts w:ascii="宋体" w:hAnsi="宋体"/>
          <w:szCs w:val="21"/>
        </w:rPr>
      </w:pPr>
      <w:r>
        <w:rPr>
          <w:rFonts w:ascii="宋体" w:hAnsi="宋体"/>
          <w:szCs w:val="21"/>
        </w:rPr>
        <w:t>特此公告</w:t>
      </w:r>
    </w:p>
    <w:p w:rsidR="009B262D" w:rsidRDefault="009B262D" w:rsidP="009B262D">
      <w:pPr>
        <w:spacing w:line="360" w:lineRule="auto"/>
        <w:ind w:firstLineChars="200" w:firstLine="420"/>
        <w:rPr>
          <w:rFonts w:ascii="宋体" w:hAnsi="宋体"/>
          <w:szCs w:val="21"/>
        </w:rPr>
      </w:pPr>
    </w:p>
    <w:p w:rsidR="009B262D" w:rsidRDefault="009B262D" w:rsidP="009B262D">
      <w:pPr>
        <w:spacing w:line="360" w:lineRule="auto"/>
        <w:ind w:firstLineChars="200" w:firstLine="420"/>
        <w:jc w:val="right"/>
        <w:rPr>
          <w:rFonts w:ascii="宋体" w:hAnsi="宋体"/>
          <w:szCs w:val="21"/>
        </w:rPr>
      </w:pPr>
      <w:bookmarkStart w:id="0" w:name="_GoBack"/>
      <w:bookmarkEnd w:id="0"/>
      <w:r w:rsidRPr="00750489">
        <w:rPr>
          <w:rFonts w:ascii="宋体" w:hAnsi="宋体" w:hint="eastAsia"/>
          <w:szCs w:val="21"/>
        </w:rPr>
        <w:t>平安基金管理有限公司</w:t>
      </w:r>
    </w:p>
    <w:p w:rsidR="009B262D" w:rsidRPr="00320084" w:rsidRDefault="009B262D" w:rsidP="009B262D">
      <w:pPr>
        <w:spacing w:line="360" w:lineRule="auto"/>
        <w:ind w:firstLineChars="200" w:firstLine="420"/>
        <w:jc w:val="right"/>
        <w:rPr>
          <w:rFonts w:ascii="宋体" w:hAnsi="宋体"/>
          <w:szCs w:val="21"/>
        </w:rPr>
      </w:pPr>
      <w:r w:rsidRPr="00DB735C">
        <w:rPr>
          <w:rFonts w:ascii="宋体" w:hAnsi="宋体" w:hint="eastAsia"/>
          <w:szCs w:val="21"/>
        </w:rPr>
        <w:t>202</w:t>
      </w:r>
      <w:r>
        <w:rPr>
          <w:rFonts w:ascii="宋体" w:hAnsi="宋体" w:hint="eastAsia"/>
          <w:szCs w:val="21"/>
        </w:rPr>
        <w:t>4</w:t>
      </w:r>
      <w:r w:rsidRPr="00DB735C">
        <w:rPr>
          <w:rFonts w:ascii="宋体" w:hAnsi="宋体" w:hint="eastAsia"/>
          <w:szCs w:val="21"/>
        </w:rPr>
        <w:t>年</w:t>
      </w:r>
      <w:r>
        <w:rPr>
          <w:rFonts w:ascii="宋体" w:hAnsi="宋体" w:hint="eastAsia"/>
          <w:szCs w:val="21"/>
        </w:rPr>
        <w:t>12</w:t>
      </w:r>
      <w:r w:rsidRPr="00DB735C">
        <w:rPr>
          <w:rFonts w:ascii="宋体" w:hAnsi="宋体" w:hint="eastAsia"/>
          <w:szCs w:val="21"/>
        </w:rPr>
        <w:t>月</w:t>
      </w:r>
      <w:r>
        <w:rPr>
          <w:rFonts w:ascii="宋体" w:hAnsi="宋体" w:hint="eastAsia"/>
          <w:szCs w:val="21"/>
        </w:rPr>
        <w:t>2</w:t>
      </w:r>
      <w:r w:rsidRPr="00DB735C">
        <w:rPr>
          <w:rFonts w:ascii="宋体" w:hAnsi="宋体" w:hint="eastAsia"/>
          <w:szCs w:val="21"/>
        </w:rPr>
        <w:t>日</w:t>
      </w:r>
    </w:p>
    <w:p w:rsidR="00CD7782" w:rsidRPr="009B262D" w:rsidRDefault="00CD7782">
      <w:pPr>
        <w:rPr>
          <w:rFonts w:ascii="宋体" w:hAnsi="宋体"/>
          <w:szCs w:val="21"/>
        </w:rPr>
      </w:pPr>
    </w:p>
    <w:sectPr w:rsidR="00CD7782" w:rsidRPr="009B262D" w:rsidSect="001A19A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B262D"/>
    <w:rsid w:val="001A19A1"/>
    <w:rsid w:val="00424C20"/>
    <w:rsid w:val="00584059"/>
    <w:rsid w:val="009B262D"/>
    <w:rsid w:val="00CD77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62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9B262D"/>
    <w:pPr>
      <w:spacing w:before="240" w:after="60"/>
      <w:jc w:val="center"/>
      <w:outlineLvl w:val="0"/>
    </w:pPr>
    <w:rPr>
      <w:rFonts w:asciiTheme="majorHAnsi" w:eastAsiaTheme="majorEastAsia" w:hAnsiTheme="majorHAnsi" w:cstheme="majorBidi"/>
      <w:b/>
      <w:bCs/>
      <w:sz w:val="32"/>
      <w:szCs w:val="32"/>
    </w:rPr>
  </w:style>
  <w:style w:type="character" w:customStyle="1" w:styleId="Char">
    <w:name w:val="标题 Char"/>
    <w:basedOn w:val="a0"/>
    <w:link w:val="a3"/>
    <w:uiPriority w:val="10"/>
    <w:rsid w:val="009B262D"/>
    <w:rPr>
      <w:rFonts w:asciiTheme="majorHAnsi" w:eastAsiaTheme="majorEastAsia" w:hAnsiTheme="majorHAnsi" w:cstheme="majorBidi"/>
      <w:b/>
      <w:bCs/>
      <w:sz w:val="32"/>
      <w:szCs w:val="32"/>
    </w:rPr>
  </w:style>
  <w:style w:type="table" w:styleId="a4">
    <w:name w:val="Table Grid"/>
    <w:basedOn w:val="a1"/>
    <w:uiPriority w:val="39"/>
    <w:rsid w:val="009B26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239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1040</Characters>
  <Application>Microsoft Office Word</Application>
  <DocSecurity>4</DocSecurity>
  <Lines>8</Lines>
  <Paragraphs>2</Paragraphs>
  <ScaleCrop>false</ScaleCrop>
  <Company>PAIG</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张倩(平安基金渠道销售中心业务管理室)</dc:creator>
  <cp:keywords/>
  <dc:description/>
  <cp:lastModifiedBy>ZHONGM</cp:lastModifiedBy>
  <cp:revision>2</cp:revision>
  <dcterms:created xsi:type="dcterms:W3CDTF">2024-12-01T16:01:00Z</dcterms:created>
  <dcterms:modified xsi:type="dcterms:W3CDTF">2024-12-01T16:01:00Z</dcterms:modified>
</cp:coreProperties>
</file>