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E5" w:rsidRPr="003D69F3" w:rsidRDefault="00940CE5" w:rsidP="00E61E7B">
      <w:pPr>
        <w:widowControl/>
        <w:jc w:val="center"/>
        <w:rPr>
          <w:rFonts w:asciiTheme="minorEastAsia" w:hAnsiTheme="minorEastAsia" w:cs="宋体"/>
          <w:b/>
          <w:kern w:val="0"/>
          <w:sz w:val="30"/>
          <w:szCs w:val="30"/>
        </w:rPr>
      </w:pPr>
      <w:r w:rsidRPr="003D69F3">
        <w:rPr>
          <w:rFonts w:asciiTheme="minorEastAsia" w:hAnsiTheme="minorEastAsia" w:cs="宋体" w:hint="eastAsia"/>
          <w:b/>
          <w:kern w:val="0"/>
          <w:sz w:val="30"/>
          <w:szCs w:val="30"/>
        </w:rPr>
        <w:t>金鹰基金管理有限公司关于在</w:t>
      </w:r>
      <w:r w:rsidR="00E61E7B" w:rsidRPr="00E61E7B">
        <w:rPr>
          <w:rFonts w:asciiTheme="minorEastAsia" w:hAnsiTheme="minorEastAsia" w:cs="宋体" w:hint="eastAsia"/>
          <w:b/>
          <w:kern w:val="0"/>
          <w:sz w:val="30"/>
          <w:szCs w:val="30"/>
        </w:rPr>
        <w:t>中国工商银行股份有限公司</w:t>
      </w:r>
      <w:r w:rsidRPr="003D69F3">
        <w:rPr>
          <w:rFonts w:asciiTheme="minorEastAsia" w:hAnsiTheme="minorEastAsia" w:cs="宋体" w:hint="eastAsia"/>
          <w:b/>
          <w:kern w:val="0"/>
          <w:sz w:val="30"/>
          <w:szCs w:val="30"/>
        </w:rPr>
        <w:t>开通旗下</w:t>
      </w:r>
      <w:r w:rsidR="00FB2038" w:rsidRPr="003D69F3">
        <w:rPr>
          <w:rFonts w:asciiTheme="minorEastAsia" w:hAnsiTheme="minorEastAsia" w:cs="宋体" w:hint="eastAsia"/>
          <w:b/>
          <w:kern w:val="0"/>
          <w:sz w:val="30"/>
          <w:szCs w:val="30"/>
        </w:rPr>
        <w:t>部分</w:t>
      </w:r>
      <w:r w:rsidRPr="003D69F3">
        <w:rPr>
          <w:rFonts w:asciiTheme="minorEastAsia" w:hAnsiTheme="minorEastAsia" w:cs="宋体" w:hint="eastAsia"/>
          <w:b/>
          <w:kern w:val="0"/>
          <w:sz w:val="30"/>
          <w:szCs w:val="30"/>
        </w:rPr>
        <w:t>基金转换业务的公告</w:t>
      </w:r>
    </w:p>
    <w:p w:rsidR="00940CE5" w:rsidRPr="00E61E7B" w:rsidRDefault="00940CE5" w:rsidP="00940CE5">
      <w:pPr>
        <w:spacing w:line="360" w:lineRule="auto"/>
      </w:pPr>
    </w:p>
    <w:p w:rsidR="00940CE5" w:rsidRPr="00940CE5" w:rsidRDefault="00940CE5" w:rsidP="00940CE5">
      <w:pPr>
        <w:spacing w:line="360" w:lineRule="auto"/>
        <w:ind w:firstLineChars="200" w:firstLine="480"/>
        <w:rPr>
          <w:rFonts w:asciiTheme="minorEastAsia" w:hAnsiTheme="minorEastAsia"/>
          <w:sz w:val="24"/>
          <w:szCs w:val="24"/>
        </w:rPr>
      </w:pPr>
      <w:r w:rsidRPr="00940CE5">
        <w:rPr>
          <w:rFonts w:asciiTheme="minorEastAsia" w:hAnsiTheme="minorEastAsia" w:hint="eastAsia"/>
          <w:sz w:val="24"/>
          <w:szCs w:val="24"/>
        </w:rPr>
        <w:t>为更好地满足广大投资者的理财需求，</w:t>
      </w:r>
      <w:r>
        <w:rPr>
          <w:rFonts w:asciiTheme="minorEastAsia" w:hAnsiTheme="minorEastAsia" w:hint="eastAsia"/>
          <w:sz w:val="24"/>
          <w:szCs w:val="24"/>
        </w:rPr>
        <w:t>金鹰基金管理有限公司</w:t>
      </w:r>
      <w:r w:rsidRPr="00940CE5">
        <w:rPr>
          <w:rFonts w:asciiTheme="minorEastAsia" w:hAnsiTheme="minorEastAsia" w:hint="eastAsia"/>
          <w:sz w:val="24"/>
          <w:szCs w:val="24"/>
        </w:rPr>
        <w:t>（以下简称“</w:t>
      </w:r>
      <w:r w:rsidR="00AA7090">
        <w:rPr>
          <w:rFonts w:asciiTheme="minorEastAsia" w:hAnsiTheme="minorEastAsia" w:hint="eastAsia"/>
          <w:sz w:val="24"/>
          <w:szCs w:val="24"/>
        </w:rPr>
        <w:t>本基金管理人</w:t>
      </w:r>
      <w:r w:rsidRPr="00940CE5">
        <w:rPr>
          <w:rFonts w:asciiTheme="minorEastAsia" w:hAnsiTheme="minorEastAsia" w:hint="eastAsia"/>
          <w:sz w:val="24"/>
          <w:szCs w:val="24"/>
        </w:rPr>
        <w:t>”）决定自2024年12月2日起，在中国工商银行股份有限公</w:t>
      </w:r>
      <w:bookmarkStart w:id="0" w:name="_GoBack"/>
      <w:bookmarkEnd w:id="0"/>
      <w:r w:rsidRPr="00940CE5">
        <w:rPr>
          <w:rFonts w:asciiTheme="minorEastAsia" w:hAnsiTheme="minorEastAsia" w:hint="eastAsia"/>
          <w:sz w:val="24"/>
          <w:szCs w:val="24"/>
        </w:rPr>
        <w:t>司（以下简称“工商银行”）开通</w:t>
      </w:r>
      <w:r w:rsidR="00AA7090">
        <w:rPr>
          <w:rFonts w:asciiTheme="minorEastAsia" w:hAnsiTheme="minorEastAsia" w:hint="eastAsia"/>
          <w:sz w:val="24"/>
          <w:szCs w:val="24"/>
        </w:rPr>
        <w:t>本基金管理人</w:t>
      </w:r>
      <w:r w:rsidRPr="00940CE5">
        <w:rPr>
          <w:rFonts w:asciiTheme="minorEastAsia" w:hAnsiTheme="minorEastAsia" w:hint="eastAsia"/>
          <w:sz w:val="24"/>
          <w:szCs w:val="24"/>
        </w:rPr>
        <w:t>旗下部分开放式基金的基金转换业务。</w:t>
      </w:r>
    </w:p>
    <w:p w:rsidR="00940CE5" w:rsidRPr="00940CE5" w:rsidRDefault="00940CE5" w:rsidP="00940CE5">
      <w:pPr>
        <w:spacing w:line="360" w:lineRule="auto"/>
        <w:rPr>
          <w:rFonts w:asciiTheme="minorEastAsia" w:hAnsiTheme="minorEastAsia"/>
          <w:sz w:val="24"/>
          <w:szCs w:val="24"/>
        </w:rPr>
      </w:pP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一、业务说明</w:t>
      </w:r>
    </w:p>
    <w:p w:rsidR="00940CE5" w:rsidRPr="00940CE5" w:rsidRDefault="00940CE5" w:rsidP="00940CE5">
      <w:pPr>
        <w:spacing w:line="360" w:lineRule="auto"/>
        <w:ind w:firstLineChars="200" w:firstLine="480"/>
        <w:rPr>
          <w:rFonts w:asciiTheme="minorEastAsia" w:hAnsiTheme="minorEastAsia"/>
          <w:sz w:val="24"/>
          <w:szCs w:val="24"/>
        </w:rPr>
      </w:pPr>
      <w:r w:rsidRPr="00940CE5">
        <w:rPr>
          <w:rFonts w:asciiTheme="minorEastAsia" w:hAnsiTheme="minorEastAsia" w:hint="eastAsia"/>
          <w:sz w:val="24"/>
          <w:szCs w:val="24"/>
        </w:rPr>
        <w:t>基金转换是指投资者可将其通过销售机构购买并持有的</w:t>
      </w:r>
      <w:r w:rsidR="00AA7090">
        <w:rPr>
          <w:rFonts w:asciiTheme="minorEastAsia" w:hAnsiTheme="minorEastAsia" w:hint="eastAsia"/>
          <w:sz w:val="24"/>
          <w:szCs w:val="24"/>
        </w:rPr>
        <w:t>本基金管理人</w:t>
      </w:r>
      <w:r w:rsidRPr="00940CE5">
        <w:rPr>
          <w:rFonts w:asciiTheme="minorEastAsia" w:hAnsiTheme="minorEastAsia" w:hint="eastAsia"/>
          <w:sz w:val="24"/>
          <w:szCs w:val="24"/>
        </w:rPr>
        <w:t>旗下某只开放式基金的全部或部分基金份额，转换为</w:t>
      </w:r>
      <w:r w:rsidR="00AA7090">
        <w:rPr>
          <w:rFonts w:asciiTheme="minorEastAsia" w:hAnsiTheme="minorEastAsia" w:hint="eastAsia"/>
          <w:sz w:val="24"/>
          <w:szCs w:val="24"/>
        </w:rPr>
        <w:t>本基金管理人</w:t>
      </w:r>
      <w:r w:rsidRPr="00940CE5">
        <w:rPr>
          <w:rFonts w:asciiTheme="minorEastAsia" w:hAnsiTheme="minorEastAsia" w:hint="eastAsia"/>
          <w:sz w:val="24"/>
          <w:szCs w:val="24"/>
        </w:rPr>
        <w:t>管理的，且属同一注册登记机构的另一只开放式基金的份额的一种业务模式。</w:t>
      </w:r>
    </w:p>
    <w:p w:rsidR="00940CE5" w:rsidRPr="00940CE5" w:rsidRDefault="00940CE5" w:rsidP="00940CE5">
      <w:pPr>
        <w:spacing w:line="360" w:lineRule="auto"/>
        <w:rPr>
          <w:rFonts w:asciiTheme="minorEastAsia" w:hAnsiTheme="minorEastAsia"/>
          <w:sz w:val="24"/>
          <w:szCs w:val="24"/>
        </w:rPr>
      </w:pP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二、开通基金转换业务的基金</w:t>
      </w:r>
    </w:p>
    <w:tbl>
      <w:tblPr>
        <w:tblW w:w="8379" w:type="dxa"/>
        <w:tblInd w:w="93" w:type="dxa"/>
        <w:tblLook w:val="04A0"/>
      </w:tblPr>
      <w:tblGrid>
        <w:gridCol w:w="1420"/>
        <w:gridCol w:w="6959"/>
      </w:tblGrid>
      <w:tr w:rsidR="00A17987" w:rsidRPr="00A17987" w:rsidTr="003D69F3">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Arial"/>
                <w:b/>
                <w:bCs/>
                <w:color w:val="000000"/>
                <w:kern w:val="0"/>
                <w:sz w:val="24"/>
                <w:szCs w:val="24"/>
              </w:rPr>
            </w:pPr>
            <w:r w:rsidRPr="003D69F3">
              <w:rPr>
                <w:rFonts w:asciiTheme="minorEastAsia" w:hAnsiTheme="minorEastAsia" w:cs="Arial"/>
                <w:b/>
                <w:bCs/>
                <w:color w:val="000000"/>
                <w:kern w:val="0"/>
                <w:sz w:val="24"/>
                <w:szCs w:val="24"/>
              </w:rPr>
              <w:t>基金代码</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Arial"/>
                <w:b/>
                <w:bCs/>
                <w:color w:val="000000"/>
                <w:kern w:val="0"/>
                <w:sz w:val="24"/>
                <w:szCs w:val="24"/>
              </w:rPr>
            </w:pPr>
            <w:r w:rsidRPr="003D69F3">
              <w:rPr>
                <w:rFonts w:asciiTheme="minorEastAsia" w:hAnsiTheme="minorEastAsia" w:cs="Arial"/>
                <w:b/>
                <w:bCs/>
                <w:color w:val="000000"/>
                <w:kern w:val="0"/>
                <w:sz w:val="24"/>
                <w:szCs w:val="24"/>
              </w:rPr>
              <w:t>基金全称</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210003</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金鹰行业优势混合型证券投资基金A类份额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210002</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金鹰红利价值灵活配置混合型证券投资基金A类份额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210004</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金鹰稳健成长混合型证券投资基金</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210005</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金鹰主题优势混合型证券投资基金</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210006</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金鹰元禧混合型证券投资基金A类份额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210007</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金鹰技术领先灵活配置混合型证券投资基金A类份额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210008</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金鹰策略配置混合型证券投资基金</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210009</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金鹰核心资源混合型证券投资基金A类份额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210010</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金鹰灵活配置混合型证券投资基金A类份额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210011</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金鹰灵活配置混合型证券投资基金C类份额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210014</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金鹰元丰债券型证券投资基金A类份额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001167</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金鹰科技创新股票型证券投资基金A类份额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001366</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金鹰产业整合灵活配置混合型证券投资基金A类份额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001951</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金鹰改革红利灵活配置混合型证券投资基金</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002303</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金鹰智慧生活灵活配置混合型证券投资基金A类份额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002681</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金鹰元和灵活配置混合型证券投资基金A类份额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002682</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金鹰元和灵活配置混合型证券投资基金C类份额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003502</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金鹰鑫瑞灵活配置混合型证券投资基金A类份额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003503</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金鹰鑫瑞灵活配置混合型证券投资基金C类份额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005010</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金鹰添瑞中短债债券型证券投资基金A类份额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lastRenderedPageBreak/>
              <w:t>005011</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金鹰添瑞中短债债券型证券投资基金C类份额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004211</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金鹰周期优选灵活配置混合型证券投资基金A类份额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009968</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金鹰内需成长混合型证券投资基金A类份额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009969</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金鹰内需成长混合型证券投资基金C类份额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012541</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金鹰产业升级混合型证券投资基金A类份额</w:t>
            </w:r>
          </w:p>
        </w:tc>
      </w:tr>
      <w:tr w:rsidR="00A17987" w:rsidRPr="00A17987" w:rsidTr="003D69F3">
        <w:trPr>
          <w:trHeight w:val="33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17987" w:rsidRPr="003D69F3" w:rsidRDefault="00A17987" w:rsidP="00A17987">
            <w:pPr>
              <w:widowControl/>
              <w:jc w:val="center"/>
              <w:rPr>
                <w:rFonts w:asciiTheme="minorEastAsia" w:hAnsiTheme="minorEastAsia" w:cs="Segoe UI"/>
                <w:color w:val="000000"/>
                <w:kern w:val="0"/>
                <w:sz w:val="24"/>
                <w:szCs w:val="24"/>
              </w:rPr>
            </w:pPr>
            <w:r w:rsidRPr="003D69F3">
              <w:rPr>
                <w:rFonts w:asciiTheme="minorEastAsia" w:hAnsiTheme="minorEastAsia" w:cs="Segoe UI"/>
                <w:color w:val="000000"/>
                <w:kern w:val="0"/>
                <w:sz w:val="24"/>
                <w:szCs w:val="24"/>
              </w:rPr>
              <w:t>012542</w:t>
            </w:r>
          </w:p>
        </w:tc>
        <w:tc>
          <w:tcPr>
            <w:tcW w:w="6959" w:type="dxa"/>
            <w:tcBorders>
              <w:top w:val="nil"/>
              <w:left w:val="nil"/>
              <w:bottom w:val="single" w:sz="4" w:space="0" w:color="auto"/>
              <w:right w:val="single" w:sz="4" w:space="0" w:color="auto"/>
            </w:tcBorders>
            <w:shd w:val="clear" w:color="auto" w:fill="auto"/>
            <w:noWrap/>
            <w:vAlign w:val="center"/>
            <w:hideMark/>
          </w:tcPr>
          <w:p w:rsidR="00A17987" w:rsidRPr="003D69F3" w:rsidRDefault="00A17987" w:rsidP="00A17987">
            <w:pPr>
              <w:widowControl/>
              <w:jc w:val="left"/>
              <w:rPr>
                <w:rFonts w:asciiTheme="minorEastAsia" w:hAnsiTheme="minorEastAsia" w:cs="Arial"/>
                <w:color w:val="000000"/>
                <w:kern w:val="0"/>
                <w:sz w:val="24"/>
                <w:szCs w:val="24"/>
              </w:rPr>
            </w:pPr>
            <w:r w:rsidRPr="003D69F3">
              <w:rPr>
                <w:rFonts w:asciiTheme="minorEastAsia" w:hAnsiTheme="minorEastAsia" w:cs="Arial"/>
                <w:color w:val="000000"/>
                <w:kern w:val="0"/>
                <w:sz w:val="24"/>
                <w:szCs w:val="24"/>
              </w:rPr>
              <w:t>金鹰产业升级混合型证券投资基金C类份额</w:t>
            </w:r>
          </w:p>
        </w:tc>
      </w:tr>
    </w:tbl>
    <w:p w:rsidR="00940CE5" w:rsidRPr="00A17987" w:rsidRDefault="00940CE5" w:rsidP="00940CE5">
      <w:pPr>
        <w:spacing w:line="360" w:lineRule="auto"/>
        <w:rPr>
          <w:rFonts w:asciiTheme="minorEastAsia" w:hAnsiTheme="minorEastAsia"/>
          <w:sz w:val="24"/>
          <w:szCs w:val="24"/>
        </w:rPr>
      </w:pP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三、业务办理机构</w:t>
      </w:r>
    </w:p>
    <w:p w:rsidR="00940CE5" w:rsidRPr="00940CE5" w:rsidRDefault="00940CE5" w:rsidP="00940CE5">
      <w:pPr>
        <w:spacing w:line="360" w:lineRule="auto"/>
        <w:ind w:firstLineChars="200" w:firstLine="480"/>
        <w:rPr>
          <w:rFonts w:asciiTheme="minorEastAsia" w:hAnsiTheme="minorEastAsia"/>
          <w:sz w:val="24"/>
          <w:szCs w:val="24"/>
        </w:rPr>
      </w:pPr>
      <w:r w:rsidRPr="00940CE5">
        <w:rPr>
          <w:rFonts w:asciiTheme="minorEastAsia" w:hAnsiTheme="minorEastAsia" w:hint="eastAsia"/>
          <w:sz w:val="24"/>
          <w:szCs w:val="24"/>
        </w:rPr>
        <w:t>自2024年12月2日起，</w:t>
      </w:r>
      <w:r w:rsidR="00AA7090">
        <w:rPr>
          <w:rFonts w:asciiTheme="minorEastAsia" w:hAnsiTheme="minorEastAsia" w:hint="eastAsia"/>
          <w:sz w:val="24"/>
          <w:szCs w:val="24"/>
        </w:rPr>
        <w:t>本基金管理人</w:t>
      </w:r>
      <w:r w:rsidRPr="00940CE5">
        <w:rPr>
          <w:rFonts w:asciiTheme="minorEastAsia" w:hAnsiTheme="minorEastAsia" w:hint="eastAsia"/>
          <w:sz w:val="24"/>
          <w:szCs w:val="24"/>
        </w:rPr>
        <w:t>旗下基金的投资者可通过工商银行办理基金转换业务。投资者需到同时代理拟转出和转入基金的同一销售机构办理基金的转换业务。具体以销售机构规定为准。</w:t>
      </w:r>
    </w:p>
    <w:p w:rsidR="00940CE5" w:rsidRPr="00940CE5" w:rsidRDefault="00940CE5" w:rsidP="00940CE5">
      <w:pPr>
        <w:spacing w:line="360" w:lineRule="auto"/>
        <w:rPr>
          <w:rFonts w:asciiTheme="minorEastAsia" w:hAnsiTheme="minorEastAsia"/>
          <w:sz w:val="24"/>
          <w:szCs w:val="24"/>
        </w:rPr>
      </w:pP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四、具体规则</w:t>
      </w: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1</w:t>
      </w:r>
      <w:r>
        <w:rPr>
          <w:rFonts w:asciiTheme="minorEastAsia" w:hAnsiTheme="minorEastAsia" w:hint="eastAsia"/>
          <w:sz w:val="24"/>
          <w:szCs w:val="24"/>
        </w:rPr>
        <w:t>、</w:t>
      </w:r>
      <w:r w:rsidRPr="00940CE5">
        <w:rPr>
          <w:rFonts w:asciiTheme="minorEastAsia" w:hAnsiTheme="minorEastAsia" w:hint="eastAsia"/>
          <w:sz w:val="24"/>
          <w:szCs w:val="24"/>
        </w:rPr>
        <w:t>适用投资者范围</w:t>
      </w:r>
    </w:p>
    <w:p w:rsidR="00940CE5" w:rsidRPr="00940CE5" w:rsidRDefault="00940CE5" w:rsidP="00A17987">
      <w:pPr>
        <w:spacing w:line="360" w:lineRule="auto"/>
        <w:ind w:firstLineChars="200" w:firstLine="480"/>
        <w:rPr>
          <w:rFonts w:asciiTheme="minorEastAsia" w:hAnsiTheme="minorEastAsia"/>
          <w:sz w:val="24"/>
          <w:szCs w:val="24"/>
        </w:rPr>
      </w:pPr>
      <w:r w:rsidRPr="00940CE5">
        <w:rPr>
          <w:rFonts w:asciiTheme="minorEastAsia" w:hAnsiTheme="minorEastAsia" w:hint="eastAsia"/>
          <w:sz w:val="24"/>
          <w:szCs w:val="24"/>
        </w:rPr>
        <w:t>符合相关基金合同规定的所有投资者。</w:t>
      </w: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2</w:t>
      </w:r>
      <w:r>
        <w:rPr>
          <w:rFonts w:asciiTheme="minorEastAsia" w:hAnsiTheme="minorEastAsia" w:hint="eastAsia"/>
          <w:sz w:val="24"/>
          <w:szCs w:val="24"/>
        </w:rPr>
        <w:t>、</w:t>
      </w:r>
      <w:r w:rsidRPr="00940CE5">
        <w:rPr>
          <w:rFonts w:asciiTheme="minorEastAsia" w:hAnsiTheme="minorEastAsia" w:hint="eastAsia"/>
          <w:sz w:val="24"/>
          <w:szCs w:val="24"/>
        </w:rPr>
        <w:t>基金间转换费用的计算规则</w:t>
      </w:r>
    </w:p>
    <w:p w:rsidR="00940CE5" w:rsidRPr="00940CE5" w:rsidRDefault="00940CE5" w:rsidP="00940CE5">
      <w:pPr>
        <w:spacing w:line="360" w:lineRule="auto"/>
        <w:ind w:firstLineChars="200" w:firstLine="480"/>
        <w:rPr>
          <w:rFonts w:asciiTheme="minorEastAsia" w:hAnsiTheme="minorEastAsia"/>
          <w:sz w:val="24"/>
          <w:szCs w:val="24"/>
        </w:rPr>
      </w:pPr>
      <w:r w:rsidRPr="00940CE5">
        <w:rPr>
          <w:rFonts w:asciiTheme="minorEastAsia" w:hAnsiTheme="minorEastAsia" w:hint="eastAsia"/>
          <w:sz w:val="24"/>
          <w:szCs w:val="24"/>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940CE5" w:rsidRPr="00940CE5" w:rsidRDefault="000B48C0" w:rsidP="00940CE5">
      <w:pPr>
        <w:spacing w:line="360" w:lineRule="auto"/>
        <w:rPr>
          <w:rFonts w:asciiTheme="minorEastAsia" w:hAnsiTheme="minorEastAsia"/>
          <w:sz w:val="24"/>
          <w:szCs w:val="24"/>
        </w:rPr>
      </w:pPr>
      <w:r>
        <w:rPr>
          <w:rFonts w:asciiTheme="minorEastAsia" w:hAnsiTheme="minorEastAsia" w:hint="eastAsia"/>
          <w:sz w:val="24"/>
          <w:szCs w:val="24"/>
        </w:rPr>
        <w:t>(1)</w:t>
      </w:r>
      <w:r w:rsidR="00940CE5" w:rsidRPr="00940CE5">
        <w:rPr>
          <w:rFonts w:asciiTheme="minorEastAsia" w:hAnsiTheme="minorEastAsia" w:hint="eastAsia"/>
          <w:sz w:val="24"/>
          <w:szCs w:val="24"/>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940CE5" w:rsidRDefault="000B48C0" w:rsidP="00940CE5">
      <w:pPr>
        <w:spacing w:line="360" w:lineRule="auto"/>
        <w:rPr>
          <w:rFonts w:asciiTheme="minorEastAsia" w:hAnsiTheme="minorEastAsia"/>
          <w:sz w:val="24"/>
          <w:szCs w:val="24"/>
        </w:rPr>
      </w:pPr>
      <w:r>
        <w:rPr>
          <w:rFonts w:asciiTheme="minorEastAsia" w:hAnsiTheme="minorEastAsia" w:hint="eastAsia"/>
          <w:sz w:val="24"/>
          <w:szCs w:val="24"/>
        </w:rPr>
        <w:t>(2)</w:t>
      </w:r>
      <w:r w:rsidR="00940CE5" w:rsidRPr="00940CE5">
        <w:rPr>
          <w:rFonts w:asciiTheme="minorEastAsia" w:hAnsiTheme="minorEastAsia" w:hint="eastAsia"/>
          <w:sz w:val="24"/>
          <w:szCs w:val="24"/>
        </w:rPr>
        <w:t>转出基金赎回费：按转出基金正常赎回时的赎回费率收取费用。</w:t>
      </w:r>
    </w:p>
    <w:p w:rsidR="00940CE5" w:rsidRDefault="00940CE5" w:rsidP="00940CE5">
      <w:pPr>
        <w:spacing w:line="360" w:lineRule="auto"/>
        <w:rPr>
          <w:rFonts w:ascii="宋体" w:eastAsia="宋体" w:hAnsi="宋体" w:cs="宋体"/>
          <w:color w:val="000000"/>
          <w:kern w:val="0"/>
          <w:sz w:val="24"/>
          <w:szCs w:val="24"/>
        </w:rPr>
      </w:pPr>
      <w:r>
        <w:rPr>
          <w:rFonts w:asciiTheme="minorEastAsia" w:hAnsiTheme="minorEastAsia" w:hint="eastAsia"/>
          <w:sz w:val="24"/>
          <w:szCs w:val="24"/>
        </w:rPr>
        <w:t>3、</w:t>
      </w:r>
      <w:r>
        <w:rPr>
          <w:rFonts w:ascii="宋体" w:eastAsia="宋体" w:hAnsi="宋体" w:cs="宋体" w:hint="eastAsia"/>
          <w:color w:val="000000"/>
          <w:kern w:val="0"/>
          <w:sz w:val="24"/>
          <w:szCs w:val="24"/>
        </w:rPr>
        <w:t>转换不适用基金</w:t>
      </w:r>
    </w:p>
    <w:p w:rsidR="00940CE5" w:rsidRPr="00940CE5" w:rsidRDefault="00940CE5" w:rsidP="00940CE5">
      <w:pPr>
        <w:spacing w:line="360" w:lineRule="auto"/>
        <w:ind w:firstLineChars="200" w:firstLine="480"/>
        <w:rPr>
          <w:rFonts w:asciiTheme="minorEastAsia" w:hAnsiTheme="minorEastAsia"/>
          <w:sz w:val="24"/>
          <w:szCs w:val="24"/>
        </w:rPr>
      </w:pPr>
      <w:r w:rsidRPr="00940CE5">
        <w:rPr>
          <w:rFonts w:ascii="宋体" w:eastAsia="宋体" w:hAnsi="宋体" w:cs="宋体" w:hint="eastAsia"/>
          <w:color w:val="000000"/>
          <w:kern w:val="0"/>
          <w:sz w:val="24"/>
          <w:szCs w:val="24"/>
        </w:rPr>
        <w:t>对于本基金管理人后端收费模式基金以及中登系统基金不支持与其他基金之间相互转换；对于 FOF 基金产品不支持与其他非 FOF 基金产品之间互相转换；对于同一只基金不同份额之间不支持相互转换。</w:t>
      </w:r>
    </w:p>
    <w:p w:rsidR="00940CE5" w:rsidRPr="00940CE5" w:rsidRDefault="00940CE5" w:rsidP="00940CE5">
      <w:pPr>
        <w:spacing w:line="360" w:lineRule="auto"/>
        <w:rPr>
          <w:rFonts w:asciiTheme="minorEastAsia" w:hAnsiTheme="minorEastAsia"/>
          <w:sz w:val="24"/>
          <w:szCs w:val="24"/>
        </w:rPr>
      </w:pP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五、投资者可以通过以下途径咨询有关详情</w:t>
      </w: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1、</w:t>
      </w:r>
      <w:r w:rsidR="000B48C0" w:rsidRPr="000B48C0">
        <w:rPr>
          <w:rFonts w:asciiTheme="minorEastAsia" w:hAnsiTheme="minorEastAsia" w:hint="eastAsia"/>
          <w:sz w:val="24"/>
          <w:szCs w:val="24"/>
        </w:rPr>
        <w:t>工商银行</w:t>
      </w: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lastRenderedPageBreak/>
        <w:t>客户服务电话</w:t>
      </w:r>
      <w:r w:rsidR="00284940">
        <w:rPr>
          <w:rFonts w:asciiTheme="minorEastAsia" w:hAnsiTheme="minorEastAsia" w:hint="eastAsia"/>
          <w:sz w:val="24"/>
          <w:szCs w:val="24"/>
        </w:rPr>
        <w:t>：</w:t>
      </w:r>
      <w:r w:rsidRPr="00940CE5">
        <w:rPr>
          <w:rFonts w:asciiTheme="minorEastAsia" w:hAnsiTheme="minorEastAsia" w:hint="eastAsia"/>
          <w:sz w:val="24"/>
          <w:szCs w:val="24"/>
        </w:rPr>
        <w:t>95588</w:t>
      </w:r>
    </w:p>
    <w:p w:rsid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网址：www.icbc.com</w:t>
      </w: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2、</w:t>
      </w:r>
      <w:r w:rsidR="00AA7090">
        <w:rPr>
          <w:rFonts w:asciiTheme="minorEastAsia" w:hAnsiTheme="minorEastAsia" w:hint="eastAsia"/>
          <w:sz w:val="24"/>
          <w:szCs w:val="24"/>
        </w:rPr>
        <w:t>本基金管理人</w:t>
      </w:r>
    </w:p>
    <w:p w:rsidR="00940CE5" w:rsidRP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客服电话：4006-135-888</w:t>
      </w:r>
    </w:p>
    <w:p w:rsidR="00940CE5" w:rsidRDefault="00940CE5" w:rsidP="00940CE5">
      <w:pPr>
        <w:spacing w:line="360" w:lineRule="auto"/>
        <w:rPr>
          <w:rFonts w:asciiTheme="minorEastAsia" w:hAnsiTheme="minorEastAsia"/>
          <w:sz w:val="24"/>
          <w:szCs w:val="24"/>
        </w:rPr>
      </w:pPr>
      <w:r w:rsidRPr="00940CE5">
        <w:rPr>
          <w:rFonts w:asciiTheme="minorEastAsia" w:hAnsiTheme="minorEastAsia" w:hint="eastAsia"/>
          <w:sz w:val="24"/>
          <w:szCs w:val="24"/>
        </w:rPr>
        <w:t>网址：www.gefund.com.cn</w:t>
      </w:r>
    </w:p>
    <w:p w:rsidR="00940CE5" w:rsidRPr="00940CE5" w:rsidRDefault="00940CE5" w:rsidP="00940CE5">
      <w:pPr>
        <w:spacing w:line="360" w:lineRule="auto"/>
        <w:rPr>
          <w:rFonts w:asciiTheme="minorEastAsia" w:hAnsiTheme="minorEastAsia"/>
          <w:sz w:val="24"/>
          <w:szCs w:val="24"/>
        </w:rPr>
      </w:pPr>
    </w:p>
    <w:p w:rsidR="00940CE5" w:rsidRPr="00940CE5" w:rsidRDefault="00940CE5" w:rsidP="00940CE5">
      <w:pPr>
        <w:spacing w:line="360" w:lineRule="auto"/>
        <w:ind w:firstLineChars="200" w:firstLine="480"/>
        <w:rPr>
          <w:rFonts w:asciiTheme="minorEastAsia" w:hAnsiTheme="minorEastAsia"/>
          <w:sz w:val="24"/>
          <w:szCs w:val="24"/>
        </w:rPr>
      </w:pPr>
      <w:r w:rsidRPr="00940CE5">
        <w:rPr>
          <w:rFonts w:asciiTheme="minorEastAsia" w:hAnsiTheme="minorEastAsia" w:hint="eastAsia"/>
          <w:sz w:val="24"/>
          <w:szCs w:val="24"/>
        </w:rPr>
        <w:t>投资者通过工商银行的基金代销网点和销售网站办理业务时，请按照各代销网点的具体规定执行。</w:t>
      </w:r>
    </w:p>
    <w:p w:rsidR="00940CE5" w:rsidRPr="00940CE5" w:rsidRDefault="00940CE5" w:rsidP="00940CE5">
      <w:pPr>
        <w:spacing w:line="360" w:lineRule="auto"/>
        <w:rPr>
          <w:rFonts w:asciiTheme="minorEastAsia" w:hAnsiTheme="minorEastAsia"/>
          <w:sz w:val="24"/>
          <w:szCs w:val="24"/>
        </w:rPr>
      </w:pPr>
    </w:p>
    <w:p w:rsidR="00733666" w:rsidRPr="00733666" w:rsidRDefault="00733666" w:rsidP="00733666">
      <w:pPr>
        <w:spacing w:line="360" w:lineRule="auto"/>
        <w:ind w:firstLineChars="200" w:firstLine="480"/>
        <w:rPr>
          <w:rFonts w:asciiTheme="minorEastAsia" w:hAnsiTheme="minorEastAsia"/>
          <w:sz w:val="24"/>
          <w:szCs w:val="24"/>
        </w:rPr>
      </w:pPr>
      <w:r w:rsidRPr="00733666">
        <w:rPr>
          <w:rFonts w:asciiTheme="minorEastAsia" w:hAnsiTheme="minorEastAsia" w:hint="eastAsia"/>
          <w:sz w:val="24"/>
          <w:szCs w:val="24"/>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940CE5" w:rsidRPr="00940CE5" w:rsidRDefault="00940CE5" w:rsidP="00940CE5">
      <w:pPr>
        <w:spacing w:line="360" w:lineRule="auto"/>
        <w:ind w:firstLineChars="200" w:firstLine="480"/>
        <w:rPr>
          <w:rFonts w:asciiTheme="minorEastAsia" w:hAnsiTheme="minorEastAsia"/>
          <w:sz w:val="24"/>
          <w:szCs w:val="24"/>
        </w:rPr>
      </w:pPr>
      <w:r w:rsidRPr="00940CE5">
        <w:rPr>
          <w:rFonts w:asciiTheme="minorEastAsia" w:hAnsiTheme="minorEastAsia" w:hint="eastAsia"/>
          <w:sz w:val="24"/>
          <w:szCs w:val="24"/>
        </w:rPr>
        <w:t>特此公告。</w:t>
      </w:r>
    </w:p>
    <w:p w:rsidR="00940CE5" w:rsidRDefault="00940CE5" w:rsidP="00940CE5">
      <w:pPr>
        <w:spacing w:line="360" w:lineRule="auto"/>
        <w:rPr>
          <w:rFonts w:asciiTheme="minorEastAsia" w:hAnsiTheme="minorEastAsia"/>
          <w:sz w:val="24"/>
          <w:szCs w:val="24"/>
        </w:rPr>
      </w:pPr>
    </w:p>
    <w:p w:rsidR="00940CE5" w:rsidRPr="00940CE5" w:rsidRDefault="00940CE5" w:rsidP="00940CE5">
      <w:pPr>
        <w:spacing w:line="360" w:lineRule="auto"/>
        <w:jc w:val="right"/>
        <w:rPr>
          <w:rFonts w:asciiTheme="minorEastAsia" w:hAnsiTheme="minorEastAsia"/>
          <w:sz w:val="24"/>
          <w:szCs w:val="24"/>
        </w:rPr>
      </w:pPr>
      <w:r>
        <w:rPr>
          <w:rFonts w:asciiTheme="minorEastAsia" w:hAnsiTheme="minorEastAsia" w:hint="eastAsia"/>
          <w:sz w:val="24"/>
          <w:szCs w:val="24"/>
        </w:rPr>
        <w:t>金鹰基金管理有限公司</w:t>
      </w:r>
    </w:p>
    <w:p w:rsidR="00940CE5" w:rsidRPr="00940CE5" w:rsidRDefault="00940CE5">
      <w:pPr>
        <w:spacing w:line="360" w:lineRule="auto"/>
        <w:jc w:val="right"/>
        <w:rPr>
          <w:rFonts w:asciiTheme="minorEastAsia" w:hAnsiTheme="minorEastAsia"/>
          <w:sz w:val="24"/>
          <w:szCs w:val="24"/>
        </w:rPr>
      </w:pPr>
      <w:r w:rsidRPr="00940CE5">
        <w:rPr>
          <w:rFonts w:asciiTheme="minorEastAsia" w:hAnsiTheme="minorEastAsia" w:hint="eastAsia"/>
          <w:sz w:val="24"/>
          <w:szCs w:val="24"/>
        </w:rPr>
        <w:t>2024年1</w:t>
      </w:r>
      <w:r>
        <w:rPr>
          <w:rFonts w:asciiTheme="minorEastAsia" w:hAnsiTheme="minorEastAsia" w:hint="eastAsia"/>
          <w:sz w:val="24"/>
          <w:szCs w:val="24"/>
        </w:rPr>
        <w:t>2</w:t>
      </w:r>
      <w:r w:rsidRPr="00940CE5">
        <w:rPr>
          <w:rFonts w:asciiTheme="minorEastAsia" w:hAnsiTheme="minorEastAsia" w:hint="eastAsia"/>
          <w:sz w:val="24"/>
          <w:szCs w:val="24"/>
        </w:rPr>
        <w:t>月2日</w:t>
      </w:r>
    </w:p>
    <w:sectPr w:rsidR="00940CE5" w:rsidRPr="00940CE5" w:rsidSect="001B12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723C"/>
    <w:rsid w:val="000B48C0"/>
    <w:rsid w:val="001B122E"/>
    <w:rsid w:val="00284940"/>
    <w:rsid w:val="003D69F3"/>
    <w:rsid w:val="003F723C"/>
    <w:rsid w:val="00485604"/>
    <w:rsid w:val="00733666"/>
    <w:rsid w:val="00940CE5"/>
    <w:rsid w:val="00A17987"/>
    <w:rsid w:val="00A22161"/>
    <w:rsid w:val="00AA7090"/>
    <w:rsid w:val="00B32920"/>
    <w:rsid w:val="00DD234F"/>
    <w:rsid w:val="00E61E7B"/>
    <w:rsid w:val="00FB2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2E"/>
    <w:pPr>
      <w:widowControl w:val="0"/>
      <w:jc w:val="both"/>
    </w:pPr>
  </w:style>
  <w:style w:type="paragraph" w:styleId="3">
    <w:name w:val="heading 3"/>
    <w:basedOn w:val="a"/>
    <w:link w:val="3Char"/>
    <w:uiPriority w:val="9"/>
    <w:qFormat/>
    <w:rsid w:val="00940CE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40CE5"/>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768164561">
      <w:bodyDiv w:val="1"/>
      <w:marLeft w:val="0"/>
      <w:marRight w:val="0"/>
      <w:marTop w:val="0"/>
      <w:marBottom w:val="0"/>
      <w:divBdr>
        <w:top w:val="none" w:sz="0" w:space="0" w:color="auto"/>
        <w:left w:val="none" w:sz="0" w:space="0" w:color="auto"/>
        <w:bottom w:val="none" w:sz="0" w:space="0" w:color="auto"/>
        <w:right w:val="none" w:sz="0" w:space="0" w:color="auto"/>
      </w:divBdr>
    </w:div>
    <w:div w:id="1027101665">
      <w:bodyDiv w:val="1"/>
      <w:marLeft w:val="0"/>
      <w:marRight w:val="0"/>
      <w:marTop w:val="0"/>
      <w:marBottom w:val="0"/>
      <w:divBdr>
        <w:top w:val="none" w:sz="0" w:space="0" w:color="auto"/>
        <w:left w:val="none" w:sz="0" w:space="0" w:color="auto"/>
        <w:bottom w:val="none" w:sz="0" w:space="0" w:color="auto"/>
        <w:right w:val="none" w:sz="0" w:space="0" w:color="auto"/>
      </w:divBdr>
    </w:div>
    <w:div w:id="1057781631">
      <w:bodyDiv w:val="1"/>
      <w:marLeft w:val="0"/>
      <w:marRight w:val="0"/>
      <w:marTop w:val="0"/>
      <w:marBottom w:val="0"/>
      <w:divBdr>
        <w:top w:val="none" w:sz="0" w:space="0" w:color="auto"/>
        <w:left w:val="none" w:sz="0" w:space="0" w:color="auto"/>
        <w:bottom w:val="none" w:sz="0" w:space="0" w:color="auto"/>
        <w:right w:val="none" w:sz="0" w:space="0" w:color="auto"/>
      </w:divBdr>
    </w:div>
    <w:div w:id="1321498810">
      <w:bodyDiv w:val="1"/>
      <w:marLeft w:val="0"/>
      <w:marRight w:val="0"/>
      <w:marTop w:val="0"/>
      <w:marBottom w:val="0"/>
      <w:divBdr>
        <w:top w:val="none" w:sz="0" w:space="0" w:color="auto"/>
        <w:left w:val="none" w:sz="0" w:space="0" w:color="auto"/>
        <w:bottom w:val="none" w:sz="0" w:space="0" w:color="auto"/>
        <w:right w:val="none" w:sz="0" w:space="0" w:color="auto"/>
      </w:divBdr>
    </w:div>
    <w:div w:id="1336883498">
      <w:bodyDiv w:val="1"/>
      <w:marLeft w:val="0"/>
      <w:marRight w:val="0"/>
      <w:marTop w:val="0"/>
      <w:marBottom w:val="0"/>
      <w:divBdr>
        <w:top w:val="none" w:sz="0" w:space="0" w:color="auto"/>
        <w:left w:val="none" w:sz="0" w:space="0" w:color="auto"/>
        <w:bottom w:val="none" w:sz="0" w:space="0" w:color="auto"/>
        <w:right w:val="none" w:sz="0" w:space="0" w:color="auto"/>
      </w:divBdr>
    </w:div>
    <w:div w:id="1645115275">
      <w:bodyDiv w:val="1"/>
      <w:marLeft w:val="0"/>
      <w:marRight w:val="0"/>
      <w:marTop w:val="0"/>
      <w:marBottom w:val="0"/>
      <w:divBdr>
        <w:top w:val="none" w:sz="0" w:space="0" w:color="auto"/>
        <w:left w:val="none" w:sz="0" w:space="0" w:color="auto"/>
        <w:bottom w:val="none" w:sz="0" w:space="0" w:color="auto"/>
        <w:right w:val="none" w:sz="0" w:space="0" w:color="auto"/>
      </w:divBdr>
      <w:divsChild>
        <w:div w:id="16659407">
          <w:marLeft w:val="0"/>
          <w:marRight w:val="0"/>
          <w:marTop w:val="0"/>
          <w:marBottom w:val="0"/>
          <w:divBdr>
            <w:top w:val="none" w:sz="0" w:space="0" w:color="auto"/>
            <w:left w:val="none" w:sz="0" w:space="0" w:color="auto"/>
            <w:bottom w:val="none" w:sz="0" w:space="0" w:color="auto"/>
            <w:right w:val="none" w:sz="0" w:space="0" w:color="auto"/>
          </w:divBdr>
        </w:div>
        <w:div w:id="32312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1879</Characters>
  <Application>Microsoft Office Word</Application>
  <DocSecurity>4</DocSecurity>
  <Lines>15</Lines>
  <Paragraphs>4</Paragraphs>
  <ScaleCrop>false</ScaleCrop>
  <Company>Microsoft</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陈洵</dc:creator>
  <cp:keywords/>
  <dc:description/>
  <cp:lastModifiedBy>ZHONGM</cp:lastModifiedBy>
  <cp:revision>2</cp:revision>
  <dcterms:created xsi:type="dcterms:W3CDTF">2024-12-01T16:00:00Z</dcterms:created>
  <dcterms:modified xsi:type="dcterms:W3CDTF">2024-12-01T16:00:00Z</dcterms:modified>
</cp:coreProperties>
</file>