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451A3" w:rsidRDefault="00B451A3">
      <w:pPr>
        <w:rPr>
          <w:sz w:val="24"/>
        </w:rPr>
      </w:pPr>
      <w:bookmarkStart w:id="0" w:name="_GoBack"/>
      <w:bookmarkEnd w:id="0"/>
    </w:p>
    <w:p w:rsidR="00B451A3" w:rsidRDefault="00B451A3">
      <w:pPr>
        <w:rPr>
          <w:sz w:val="24"/>
        </w:rPr>
      </w:pPr>
    </w:p>
    <w:p w:rsidR="00B451A3" w:rsidRDefault="00B451A3">
      <w:pPr>
        <w:rPr>
          <w:sz w:val="24"/>
        </w:rPr>
      </w:pPr>
    </w:p>
    <w:p w:rsidR="00B451A3" w:rsidRDefault="00B451A3">
      <w:pPr>
        <w:rPr>
          <w:sz w:val="24"/>
        </w:rPr>
      </w:pPr>
    </w:p>
    <w:p w:rsidR="00B451A3" w:rsidRDefault="00B451A3">
      <w:pPr>
        <w:rPr>
          <w:sz w:val="24"/>
        </w:rPr>
      </w:pPr>
    </w:p>
    <w:p w:rsidR="00B451A3" w:rsidRDefault="00B451A3">
      <w:pPr>
        <w:rPr>
          <w:sz w:val="24"/>
        </w:rPr>
      </w:pPr>
    </w:p>
    <w:p w:rsidR="00B451A3" w:rsidRDefault="00B451A3">
      <w:pPr>
        <w:rPr>
          <w:sz w:val="24"/>
        </w:rPr>
      </w:pPr>
    </w:p>
    <w:p w:rsidR="00B451A3" w:rsidRDefault="00B451A3">
      <w:pPr>
        <w:rPr>
          <w:sz w:val="24"/>
        </w:rPr>
      </w:pPr>
    </w:p>
    <w:p w:rsidR="00B451A3" w:rsidRDefault="00B451A3">
      <w:pPr>
        <w:rPr>
          <w:sz w:val="24"/>
        </w:rPr>
      </w:pPr>
    </w:p>
    <w:p w:rsidR="00B451A3" w:rsidRDefault="00043F66">
      <w:pPr>
        <w:jc w:val="center"/>
        <w:rPr>
          <w:rFonts w:ascii="宋体" w:hAnsi="宋体"/>
          <w:b/>
          <w:sz w:val="48"/>
          <w:szCs w:val="48"/>
        </w:rPr>
      </w:pPr>
      <w:bookmarkStart w:id="1" w:name="t_3_0_0002_a2_fm1"/>
      <w:bookmarkStart w:id="2" w:name="t_3_0_table"/>
      <w:bookmarkEnd w:id="1"/>
      <w:bookmarkEnd w:id="2"/>
      <w:r>
        <w:rPr>
          <w:rFonts w:ascii="宋体" w:hAnsi="宋体" w:hint="eastAsia"/>
          <w:b/>
          <w:sz w:val="48"/>
          <w:szCs w:val="48"/>
        </w:rPr>
        <w:t>关于调整南方北证</w:t>
      </w:r>
      <w:r>
        <w:rPr>
          <w:rFonts w:ascii="宋体" w:hAnsi="宋体" w:hint="eastAsia"/>
          <w:b/>
          <w:sz w:val="48"/>
          <w:szCs w:val="48"/>
        </w:rPr>
        <w:t>50</w:t>
      </w:r>
      <w:r>
        <w:rPr>
          <w:rFonts w:ascii="宋体" w:hAnsi="宋体" w:hint="eastAsia"/>
          <w:b/>
          <w:sz w:val="48"/>
          <w:szCs w:val="48"/>
        </w:rPr>
        <w:t>成份指数发起式证券投资基金申购、定投和转换转入业务金额限制的公告</w:t>
      </w:r>
    </w:p>
    <w:p w:rsidR="00B451A3" w:rsidRDefault="00B451A3">
      <w:pPr>
        <w:jc w:val="center"/>
        <w:rPr>
          <w:rFonts w:ascii="宋体" w:hAnsi="宋体"/>
          <w:sz w:val="30"/>
        </w:rPr>
      </w:pPr>
    </w:p>
    <w:p w:rsidR="00B451A3" w:rsidRDefault="00B451A3">
      <w:pPr>
        <w:jc w:val="center"/>
        <w:rPr>
          <w:rFonts w:ascii="宋体" w:hAnsi="宋体"/>
          <w:sz w:val="30"/>
        </w:rPr>
      </w:pPr>
    </w:p>
    <w:p w:rsidR="00B451A3" w:rsidRDefault="00B451A3">
      <w:pPr>
        <w:jc w:val="center"/>
        <w:rPr>
          <w:rFonts w:ascii="宋体" w:hAnsi="宋体"/>
          <w:sz w:val="30"/>
        </w:rPr>
      </w:pPr>
    </w:p>
    <w:p w:rsidR="00B451A3" w:rsidRDefault="00B451A3">
      <w:pPr>
        <w:jc w:val="center"/>
        <w:rPr>
          <w:rFonts w:ascii="宋体" w:hAnsi="宋体"/>
          <w:sz w:val="30"/>
        </w:rPr>
      </w:pPr>
    </w:p>
    <w:p w:rsidR="00B451A3" w:rsidRDefault="00B451A3">
      <w:pPr>
        <w:jc w:val="center"/>
        <w:rPr>
          <w:rFonts w:ascii="宋体" w:hAnsi="宋体"/>
          <w:sz w:val="30"/>
        </w:rPr>
      </w:pPr>
    </w:p>
    <w:p w:rsidR="00B451A3" w:rsidRDefault="00B451A3">
      <w:pPr>
        <w:rPr>
          <w:sz w:val="24"/>
        </w:rPr>
      </w:pPr>
    </w:p>
    <w:p w:rsidR="00B451A3" w:rsidRDefault="00B451A3">
      <w:pPr>
        <w:rPr>
          <w:sz w:val="24"/>
        </w:rPr>
      </w:pPr>
    </w:p>
    <w:p w:rsidR="00B451A3" w:rsidRDefault="00B451A3">
      <w:pPr>
        <w:rPr>
          <w:sz w:val="24"/>
        </w:rPr>
      </w:pPr>
    </w:p>
    <w:p w:rsidR="00B451A3" w:rsidRDefault="00B451A3">
      <w:pPr>
        <w:rPr>
          <w:sz w:val="24"/>
        </w:rPr>
      </w:pPr>
    </w:p>
    <w:p w:rsidR="00B451A3" w:rsidRDefault="00B451A3">
      <w:pPr>
        <w:rPr>
          <w:sz w:val="24"/>
        </w:rPr>
      </w:pPr>
    </w:p>
    <w:p w:rsidR="00B451A3" w:rsidRDefault="00B451A3">
      <w:pPr>
        <w:rPr>
          <w:sz w:val="24"/>
        </w:rPr>
      </w:pPr>
    </w:p>
    <w:p w:rsidR="00B451A3" w:rsidRDefault="00B451A3">
      <w:pPr>
        <w:rPr>
          <w:sz w:val="24"/>
        </w:rPr>
      </w:pPr>
    </w:p>
    <w:p w:rsidR="00B451A3" w:rsidRDefault="00B451A3">
      <w:pPr>
        <w:rPr>
          <w:sz w:val="24"/>
        </w:rPr>
      </w:pPr>
    </w:p>
    <w:p w:rsidR="00B451A3" w:rsidRDefault="00B451A3">
      <w:pPr>
        <w:rPr>
          <w:sz w:val="24"/>
        </w:rPr>
      </w:pPr>
    </w:p>
    <w:p w:rsidR="00B451A3" w:rsidRDefault="00B451A3">
      <w:pPr>
        <w:rPr>
          <w:sz w:val="24"/>
        </w:rPr>
      </w:pPr>
    </w:p>
    <w:p w:rsidR="00B451A3" w:rsidRDefault="00B451A3">
      <w:pPr>
        <w:rPr>
          <w:sz w:val="24"/>
        </w:rPr>
      </w:pPr>
    </w:p>
    <w:p w:rsidR="00B451A3" w:rsidRDefault="00B451A3">
      <w:pPr>
        <w:rPr>
          <w:sz w:val="24"/>
        </w:rPr>
      </w:pPr>
    </w:p>
    <w:p w:rsidR="00B451A3" w:rsidRDefault="00B451A3">
      <w:pPr>
        <w:rPr>
          <w:sz w:val="24"/>
        </w:rPr>
      </w:pPr>
    </w:p>
    <w:p w:rsidR="00B451A3" w:rsidRDefault="00B451A3">
      <w:pPr>
        <w:rPr>
          <w:sz w:val="24"/>
        </w:rPr>
      </w:pPr>
    </w:p>
    <w:p w:rsidR="00B451A3" w:rsidRDefault="00043F66">
      <w:pPr>
        <w:ind w:left="2100" w:firstLine="42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公告</w:t>
      </w:r>
      <w:r>
        <w:rPr>
          <w:rFonts w:ascii="宋体" w:hAnsi="宋体"/>
          <w:b/>
          <w:sz w:val="28"/>
          <w:szCs w:val="28"/>
        </w:rPr>
        <w:t>送出日期：</w:t>
      </w:r>
      <w:bookmarkStart w:id="3" w:name="t_3_0_0003_a1_fm1"/>
      <w:bookmarkEnd w:id="3"/>
      <w:r>
        <w:rPr>
          <w:rFonts w:ascii="宋体" w:hAnsi="宋体"/>
          <w:b/>
          <w:sz w:val="28"/>
          <w:szCs w:val="28"/>
        </w:rPr>
        <w:t>2024</w:t>
      </w:r>
      <w:r>
        <w:rPr>
          <w:rFonts w:ascii="宋体" w:hAnsi="宋体"/>
          <w:b/>
          <w:sz w:val="28"/>
          <w:szCs w:val="28"/>
        </w:rPr>
        <w:t>年</w:t>
      </w:r>
      <w:r>
        <w:rPr>
          <w:rFonts w:ascii="宋体" w:hAnsi="宋体" w:hint="eastAsia"/>
          <w:b/>
          <w:sz w:val="28"/>
          <w:szCs w:val="28"/>
        </w:rPr>
        <w:t>12</w:t>
      </w:r>
      <w:r>
        <w:rPr>
          <w:rFonts w:ascii="宋体" w:hAnsi="宋体"/>
          <w:b/>
          <w:sz w:val="28"/>
          <w:szCs w:val="28"/>
        </w:rPr>
        <w:t>月</w:t>
      </w:r>
      <w:r>
        <w:rPr>
          <w:rFonts w:ascii="宋体" w:hAnsi="宋体" w:hint="eastAsia"/>
          <w:b/>
          <w:sz w:val="28"/>
          <w:szCs w:val="28"/>
        </w:rPr>
        <w:t>2</w:t>
      </w:r>
      <w:r>
        <w:rPr>
          <w:rFonts w:ascii="宋体" w:hAnsi="宋体"/>
          <w:b/>
          <w:sz w:val="28"/>
          <w:szCs w:val="28"/>
        </w:rPr>
        <w:t>日</w:t>
      </w:r>
    </w:p>
    <w:p w:rsidR="00B451A3" w:rsidRDefault="00B451A3">
      <w:pPr>
        <w:rPr>
          <w:sz w:val="24"/>
        </w:rPr>
      </w:pPr>
    </w:p>
    <w:p w:rsidR="00B451A3" w:rsidRDefault="00B451A3">
      <w:pPr>
        <w:rPr>
          <w:sz w:val="24"/>
        </w:rPr>
      </w:pPr>
    </w:p>
    <w:p w:rsidR="00B451A3" w:rsidRDefault="00B451A3">
      <w:pPr>
        <w:rPr>
          <w:sz w:val="24"/>
        </w:rPr>
      </w:pPr>
    </w:p>
    <w:p w:rsidR="00B451A3" w:rsidRDefault="00B451A3">
      <w:pPr>
        <w:rPr>
          <w:sz w:val="24"/>
        </w:rPr>
      </w:pPr>
    </w:p>
    <w:p w:rsidR="00B451A3" w:rsidRDefault="00043F66">
      <w:pPr>
        <w:pStyle w:val="2"/>
        <w:rPr>
          <w:rFonts w:ascii="宋体" w:hAnsi="宋体"/>
          <w:szCs w:val="21"/>
        </w:rPr>
      </w:pPr>
      <w:r>
        <w:rPr>
          <w:rFonts w:ascii="宋体" w:eastAsia="宋体" w:hAnsi="宋体" w:hint="eastAsia"/>
          <w:sz w:val="24"/>
        </w:rPr>
        <w:lastRenderedPageBreak/>
        <w:t>1</w:t>
      </w:r>
      <w:bookmarkStart w:id="4" w:name="t_3_1_1_table"/>
      <w:bookmarkEnd w:id="4"/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公告基本信息</w:t>
      </w:r>
      <w:bookmarkStart w:id="5" w:name="t_3_1_4_fj_table"/>
      <w:bookmarkEnd w:id="5"/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552"/>
        <w:gridCol w:w="1696"/>
        <w:gridCol w:w="1842"/>
        <w:gridCol w:w="1701"/>
      </w:tblGrid>
      <w:tr w:rsidR="00B451A3">
        <w:trPr>
          <w:jc w:val="center"/>
        </w:trPr>
        <w:tc>
          <w:tcPr>
            <w:tcW w:w="3828" w:type="dxa"/>
            <w:gridSpan w:val="2"/>
            <w:vAlign w:val="center"/>
          </w:tcPr>
          <w:p w:rsidR="00B451A3" w:rsidRDefault="00043F66">
            <w:pPr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5239" w:type="dxa"/>
            <w:gridSpan w:val="3"/>
            <w:vAlign w:val="center"/>
          </w:tcPr>
          <w:p w:rsidR="00B451A3" w:rsidRDefault="00043F66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南方北证</w:t>
            </w:r>
            <w:r>
              <w:rPr>
                <w:rFonts w:ascii="宋体" w:hAnsi="宋体" w:hint="eastAsia"/>
              </w:rPr>
              <w:t>50</w:t>
            </w:r>
            <w:r>
              <w:rPr>
                <w:rFonts w:ascii="宋体" w:hAnsi="宋体" w:hint="eastAsia"/>
              </w:rPr>
              <w:t>成份指数发起式证券投资基金</w:t>
            </w:r>
          </w:p>
        </w:tc>
      </w:tr>
      <w:tr w:rsidR="00B451A3">
        <w:trPr>
          <w:jc w:val="center"/>
        </w:trPr>
        <w:tc>
          <w:tcPr>
            <w:tcW w:w="3828" w:type="dxa"/>
            <w:gridSpan w:val="2"/>
            <w:vAlign w:val="center"/>
          </w:tcPr>
          <w:p w:rsidR="00B451A3" w:rsidRDefault="00043F66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基金简称</w:t>
            </w:r>
          </w:p>
        </w:tc>
        <w:tc>
          <w:tcPr>
            <w:tcW w:w="5239" w:type="dxa"/>
            <w:gridSpan w:val="3"/>
            <w:vAlign w:val="center"/>
          </w:tcPr>
          <w:p w:rsidR="00B451A3" w:rsidRDefault="00043F66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南方北证</w:t>
            </w:r>
            <w:r>
              <w:rPr>
                <w:rFonts w:ascii="宋体" w:hAnsi="宋体" w:hint="eastAsia"/>
              </w:rPr>
              <w:t>50</w:t>
            </w:r>
            <w:r>
              <w:rPr>
                <w:rFonts w:ascii="宋体" w:hAnsi="宋体" w:hint="eastAsia"/>
              </w:rPr>
              <w:t>成份指数发起</w:t>
            </w:r>
          </w:p>
        </w:tc>
      </w:tr>
      <w:tr w:rsidR="00B451A3">
        <w:trPr>
          <w:jc w:val="center"/>
        </w:trPr>
        <w:tc>
          <w:tcPr>
            <w:tcW w:w="3828" w:type="dxa"/>
            <w:gridSpan w:val="2"/>
            <w:vAlign w:val="center"/>
          </w:tcPr>
          <w:p w:rsidR="00B451A3" w:rsidRDefault="00043F66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基金主代码</w:t>
            </w:r>
          </w:p>
        </w:tc>
        <w:tc>
          <w:tcPr>
            <w:tcW w:w="5239" w:type="dxa"/>
            <w:gridSpan w:val="3"/>
            <w:vAlign w:val="center"/>
          </w:tcPr>
          <w:p w:rsidR="00B451A3" w:rsidRDefault="00043F66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/>
              </w:rPr>
              <w:t>017523</w:t>
            </w:r>
          </w:p>
        </w:tc>
      </w:tr>
      <w:tr w:rsidR="00B451A3">
        <w:trPr>
          <w:jc w:val="center"/>
        </w:trPr>
        <w:tc>
          <w:tcPr>
            <w:tcW w:w="3828" w:type="dxa"/>
            <w:gridSpan w:val="2"/>
            <w:vAlign w:val="center"/>
          </w:tcPr>
          <w:p w:rsidR="00B451A3" w:rsidRDefault="00043F66">
            <w:pPr>
              <w:spacing w:before="100" w:beforeAutospacing="1" w:after="100" w:afterAutospacing="1"/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5239" w:type="dxa"/>
            <w:gridSpan w:val="3"/>
            <w:vAlign w:val="center"/>
          </w:tcPr>
          <w:p w:rsidR="00B451A3" w:rsidRDefault="00043F66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南方基金管理股份有限公司</w:t>
            </w:r>
          </w:p>
        </w:tc>
      </w:tr>
      <w:tr w:rsidR="00B451A3">
        <w:trPr>
          <w:jc w:val="center"/>
        </w:trPr>
        <w:tc>
          <w:tcPr>
            <w:tcW w:w="3828" w:type="dxa"/>
            <w:gridSpan w:val="2"/>
            <w:vAlign w:val="center"/>
          </w:tcPr>
          <w:p w:rsidR="00B451A3" w:rsidRDefault="00043F66">
            <w:pPr>
              <w:spacing w:before="100" w:beforeAutospacing="1" w:after="100" w:afterAutospacing="1"/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5239" w:type="dxa"/>
            <w:gridSpan w:val="3"/>
            <w:vAlign w:val="center"/>
          </w:tcPr>
          <w:p w:rsidR="00B451A3" w:rsidRDefault="00043F66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《南方北证</w:t>
            </w:r>
            <w:r>
              <w:rPr>
                <w:rFonts w:ascii="宋体" w:hAnsi="宋体" w:hint="eastAsia"/>
              </w:rPr>
              <w:t>50</w:t>
            </w:r>
            <w:r>
              <w:rPr>
                <w:rFonts w:ascii="宋体" w:hAnsi="宋体" w:hint="eastAsia"/>
              </w:rPr>
              <w:t>成份指数发起式证券投资基金基金合同》</w:t>
            </w:r>
          </w:p>
        </w:tc>
      </w:tr>
      <w:tr w:rsidR="00B451A3">
        <w:trPr>
          <w:jc w:val="center"/>
        </w:trPr>
        <w:tc>
          <w:tcPr>
            <w:tcW w:w="1276" w:type="dxa"/>
            <w:vMerge w:val="restart"/>
            <w:vAlign w:val="center"/>
          </w:tcPr>
          <w:p w:rsidR="00B451A3" w:rsidRDefault="00043F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暂停相关业务的起始日及原因说明</w:t>
            </w:r>
          </w:p>
        </w:tc>
        <w:tc>
          <w:tcPr>
            <w:tcW w:w="2552" w:type="dxa"/>
          </w:tcPr>
          <w:p w:rsidR="00B451A3" w:rsidRDefault="00043F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暂停大额申购起始日</w:t>
            </w:r>
          </w:p>
        </w:tc>
        <w:tc>
          <w:tcPr>
            <w:tcW w:w="5239" w:type="dxa"/>
            <w:gridSpan w:val="3"/>
          </w:tcPr>
          <w:p w:rsidR="00B451A3" w:rsidRDefault="00043F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2024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B451A3">
        <w:trPr>
          <w:jc w:val="center"/>
        </w:trPr>
        <w:tc>
          <w:tcPr>
            <w:tcW w:w="1276" w:type="dxa"/>
            <w:vMerge/>
          </w:tcPr>
          <w:p w:rsidR="00B451A3" w:rsidRDefault="00B451A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B451A3" w:rsidRDefault="00043F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暂停大额定投起始日</w:t>
            </w:r>
          </w:p>
        </w:tc>
        <w:tc>
          <w:tcPr>
            <w:tcW w:w="5239" w:type="dxa"/>
            <w:gridSpan w:val="3"/>
          </w:tcPr>
          <w:p w:rsidR="00B451A3" w:rsidRDefault="00043F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2024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B451A3">
        <w:trPr>
          <w:jc w:val="center"/>
        </w:trPr>
        <w:tc>
          <w:tcPr>
            <w:tcW w:w="1276" w:type="dxa"/>
            <w:vMerge/>
          </w:tcPr>
          <w:p w:rsidR="00B451A3" w:rsidRDefault="00B451A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B451A3" w:rsidRDefault="00043F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暂停大额转换转入起始日</w:t>
            </w:r>
          </w:p>
        </w:tc>
        <w:tc>
          <w:tcPr>
            <w:tcW w:w="5239" w:type="dxa"/>
            <w:gridSpan w:val="3"/>
          </w:tcPr>
          <w:p w:rsidR="00B451A3" w:rsidRDefault="00043F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2024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B451A3">
        <w:trPr>
          <w:jc w:val="center"/>
        </w:trPr>
        <w:tc>
          <w:tcPr>
            <w:tcW w:w="1276" w:type="dxa"/>
            <w:vMerge/>
          </w:tcPr>
          <w:p w:rsidR="00B451A3" w:rsidRDefault="00B451A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</w:tcPr>
          <w:p w:rsidR="00B451A3" w:rsidRDefault="00043F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暂停原因说明</w:t>
            </w:r>
          </w:p>
        </w:tc>
        <w:tc>
          <w:tcPr>
            <w:tcW w:w="5239" w:type="dxa"/>
            <w:gridSpan w:val="3"/>
          </w:tcPr>
          <w:p w:rsidR="00B451A3" w:rsidRDefault="00043F6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保护基金份额持有人的利益</w:t>
            </w:r>
          </w:p>
        </w:tc>
      </w:tr>
      <w:tr w:rsidR="00B451A3">
        <w:trPr>
          <w:jc w:val="center"/>
        </w:trPr>
        <w:tc>
          <w:tcPr>
            <w:tcW w:w="3828" w:type="dxa"/>
            <w:gridSpan w:val="2"/>
            <w:vAlign w:val="center"/>
          </w:tcPr>
          <w:p w:rsidR="00B451A3" w:rsidRDefault="00043F66">
            <w:pPr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</w:rPr>
              <w:t>下属基金份额的简称</w:t>
            </w:r>
          </w:p>
        </w:tc>
        <w:tc>
          <w:tcPr>
            <w:tcW w:w="1696" w:type="dxa"/>
          </w:tcPr>
          <w:p w:rsidR="00B451A3" w:rsidRDefault="00043F6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南方北证</w:t>
            </w:r>
            <w:r>
              <w:rPr>
                <w:rFonts w:ascii="宋体" w:hAnsi="宋体" w:hint="eastAsia"/>
              </w:rPr>
              <w:t>50</w:t>
            </w:r>
            <w:r>
              <w:rPr>
                <w:rFonts w:ascii="宋体" w:hAnsi="宋体" w:hint="eastAsia"/>
              </w:rPr>
              <w:t>成份指数发起</w:t>
            </w:r>
            <w:r>
              <w:rPr>
                <w:rFonts w:ascii="宋体" w:hAnsi="宋体" w:hint="eastAsia"/>
              </w:rPr>
              <w:t>A</w:t>
            </w:r>
          </w:p>
        </w:tc>
        <w:tc>
          <w:tcPr>
            <w:tcW w:w="1842" w:type="dxa"/>
          </w:tcPr>
          <w:p w:rsidR="00B451A3" w:rsidRDefault="00043F6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南方北证</w:t>
            </w:r>
            <w:r>
              <w:rPr>
                <w:rFonts w:ascii="宋体" w:hAnsi="宋体" w:hint="eastAsia"/>
              </w:rPr>
              <w:t>50</w:t>
            </w:r>
            <w:r>
              <w:rPr>
                <w:rFonts w:ascii="宋体" w:hAnsi="宋体" w:hint="eastAsia"/>
              </w:rPr>
              <w:t>成份指数发起</w:t>
            </w:r>
            <w:r>
              <w:rPr>
                <w:rFonts w:ascii="宋体" w:hAnsi="宋体" w:hint="eastAsia"/>
              </w:rPr>
              <w:t>C</w:t>
            </w:r>
          </w:p>
        </w:tc>
        <w:tc>
          <w:tcPr>
            <w:tcW w:w="1701" w:type="dxa"/>
          </w:tcPr>
          <w:p w:rsidR="00B451A3" w:rsidRDefault="00043F6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南方北证</w:t>
            </w:r>
            <w:r>
              <w:rPr>
                <w:rFonts w:ascii="宋体" w:hAnsi="宋体" w:hint="eastAsia"/>
              </w:rPr>
              <w:t>50</w:t>
            </w:r>
            <w:r>
              <w:rPr>
                <w:rFonts w:ascii="宋体" w:hAnsi="宋体" w:hint="eastAsia"/>
              </w:rPr>
              <w:t>成份指数发起</w:t>
            </w:r>
            <w:r>
              <w:rPr>
                <w:rFonts w:ascii="宋体" w:hAnsi="宋体" w:hint="eastAsia"/>
              </w:rPr>
              <w:t>I</w:t>
            </w:r>
          </w:p>
        </w:tc>
      </w:tr>
      <w:tr w:rsidR="00B451A3">
        <w:trPr>
          <w:jc w:val="center"/>
        </w:trPr>
        <w:tc>
          <w:tcPr>
            <w:tcW w:w="3828" w:type="dxa"/>
            <w:gridSpan w:val="2"/>
            <w:vAlign w:val="center"/>
          </w:tcPr>
          <w:p w:rsidR="00B451A3" w:rsidRDefault="00043F66">
            <w:pPr>
              <w:spacing w:before="100" w:beforeAutospacing="1" w:after="100" w:afterAutospacing="1"/>
            </w:pPr>
            <w:r>
              <w:rPr>
                <w:rFonts w:hint="eastAsia"/>
              </w:rPr>
              <w:t>下属基金份额的代码</w:t>
            </w:r>
          </w:p>
        </w:tc>
        <w:tc>
          <w:tcPr>
            <w:tcW w:w="1696" w:type="dxa"/>
            <w:vAlign w:val="center"/>
          </w:tcPr>
          <w:p w:rsidR="00B451A3" w:rsidRDefault="00043F66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/>
              </w:rPr>
              <w:t>017523</w:t>
            </w:r>
          </w:p>
        </w:tc>
        <w:tc>
          <w:tcPr>
            <w:tcW w:w="1842" w:type="dxa"/>
            <w:vAlign w:val="center"/>
          </w:tcPr>
          <w:p w:rsidR="00B451A3" w:rsidRDefault="00043F66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/>
              </w:rPr>
              <w:t>017524</w:t>
            </w:r>
          </w:p>
        </w:tc>
        <w:tc>
          <w:tcPr>
            <w:tcW w:w="1701" w:type="dxa"/>
            <w:vAlign w:val="center"/>
          </w:tcPr>
          <w:p w:rsidR="00B451A3" w:rsidRDefault="00043F66">
            <w:pPr>
              <w:spacing w:before="100" w:beforeAutospacing="1" w:after="100" w:afterAutospacing="1"/>
              <w:rPr>
                <w:rFonts w:ascii="宋体" w:hAnsi="宋体"/>
              </w:rPr>
            </w:pPr>
            <w:r>
              <w:rPr>
                <w:rFonts w:ascii="宋体" w:hAnsi="宋体"/>
              </w:rPr>
              <w:t>021115</w:t>
            </w:r>
          </w:p>
        </w:tc>
      </w:tr>
      <w:tr w:rsidR="00B451A3">
        <w:trPr>
          <w:jc w:val="center"/>
        </w:trPr>
        <w:tc>
          <w:tcPr>
            <w:tcW w:w="3828" w:type="dxa"/>
            <w:gridSpan w:val="2"/>
            <w:vAlign w:val="center"/>
          </w:tcPr>
          <w:p w:rsidR="00B451A3" w:rsidRDefault="00043F66">
            <w:pPr>
              <w:spacing w:before="100" w:beforeAutospacing="1" w:after="100" w:afterAutospacing="1"/>
            </w:pPr>
            <w:r>
              <w:rPr>
                <w:rFonts w:hint="eastAsia"/>
              </w:rPr>
              <w:t>该基金份额的限制金额</w:t>
            </w:r>
          </w:p>
        </w:tc>
        <w:tc>
          <w:tcPr>
            <w:tcW w:w="1696" w:type="dxa"/>
            <w:vAlign w:val="center"/>
          </w:tcPr>
          <w:p w:rsidR="00B451A3" w:rsidRDefault="00043F66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  <w:r>
              <w:rPr>
                <w:rFonts w:asciiTheme="majorEastAsia" w:eastAsiaTheme="majorEastAsia" w:hAnsiTheme="majorEastAsia" w:hint="eastAsia"/>
              </w:rPr>
              <w:t>万</w:t>
            </w:r>
            <w:r>
              <w:rPr>
                <w:rFonts w:asciiTheme="majorEastAsia" w:eastAsiaTheme="majorEastAsia" w:hAnsiTheme="majorEastAsia"/>
              </w:rPr>
              <w:t>元</w:t>
            </w:r>
          </w:p>
        </w:tc>
        <w:tc>
          <w:tcPr>
            <w:tcW w:w="1842" w:type="dxa"/>
          </w:tcPr>
          <w:p w:rsidR="00B451A3" w:rsidRDefault="00043F66">
            <w:r>
              <w:rPr>
                <w:rFonts w:asciiTheme="majorEastAsia" w:eastAsiaTheme="majorEastAsia" w:hAnsiTheme="majorEastAsia" w:hint="eastAsia"/>
              </w:rPr>
              <w:t>5</w:t>
            </w:r>
            <w:r>
              <w:rPr>
                <w:rFonts w:asciiTheme="majorEastAsia" w:eastAsiaTheme="majorEastAsia" w:hAnsiTheme="majorEastAsia" w:hint="eastAsia"/>
              </w:rPr>
              <w:t>万</w:t>
            </w:r>
            <w:r>
              <w:rPr>
                <w:rFonts w:asciiTheme="majorEastAsia" w:eastAsiaTheme="majorEastAsia" w:hAnsiTheme="majorEastAsia"/>
              </w:rPr>
              <w:t>元</w:t>
            </w:r>
          </w:p>
        </w:tc>
        <w:tc>
          <w:tcPr>
            <w:tcW w:w="1701" w:type="dxa"/>
          </w:tcPr>
          <w:p w:rsidR="00B451A3" w:rsidRDefault="00043F66">
            <w:r>
              <w:rPr>
                <w:rFonts w:asciiTheme="majorEastAsia" w:eastAsiaTheme="majorEastAsia" w:hAnsiTheme="majorEastAsia" w:hint="eastAsia"/>
              </w:rPr>
              <w:t>5</w:t>
            </w:r>
            <w:r>
              <w:rPr>
                <w:rFonts w:asciiTheme="majorEastAsia" w:eastAsiaTheme="majorEastAsia" w:hAnsiTheme="majorEastAsia" w:hint="eastAsia"/>
              </w:rPr>
              <w:t>万</w:t>
            </w:r>
            <w:r>
              <w:rPr>
                <w:rFonts w:asciiTheme="majorEastAsia" w:eastAsiaTheme="majorEastAsia" w:hAnsiTheme="majorEastAsia"/>
              </w:rPr>
              <w:t>元</w:t>
            </w:r>
          </w:p>
        </w:tc>
      </w:tr>
    </w:tbl>
    <w:p w:rsidR="00B451A3" w:rsidRDefault="00B451A3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B451A3" w:rsidRDefault="00043F66" w:rsidP="00043F66">
      <w:pPr>
        <w:pStyle w:val="2"/>
        <w:spacing w:beforeLines="50" w:afterLines="50" w:line="24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2 </w:t>
      </w:r>
      <w:bookmarkStart w:id="6" w:name="t_3_2_table"/>
      <w:bookmarkEnd w:id="6"/>
      <w:r>
        <w:rPr>
          <w:rFonts w:ascii="宋体" w:eastAsia="宋体" w:hAnsi="宋体" w:hint="eastAsia"/>
          <w:sz w:val="24"/>
        </w:rPr>
        <w:t>其他需要提示的事项</w:t>
      </w:r>
    </w:p>
    <w:p w:rsidR="00B451A3" w:rsidRDefault="00043F66">
      <w:pPr>
        <w:spacing w:line="360" w:lineRule="auto"/>
        <w:ind w:firstLineChars="200" w:firstLine="420"/>
        <w:rPr>
          <w:rFonts w:ascii="宋体" w:hAnsi="宋体"/>
          <w:szCs w:val="21"/>
        </w:rPr>
      </w:pPr>
      <w:bookmarkStart w:id="7" w:name="t_3_2_2646_a1_fm1"/>
      <w:bookmarkEnd w:id="7"/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）本公司自</w:t>
      </w:r>
      <w:r>
        <w:rPr>
          <w:rFonts w:ascii="宋体" w:hAnsi="宋体" w:hint="eastAsia"/>
          <w:szCs w:val="21"/>
        </w:rPr>
        <w:t>2024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12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日起将调整本基金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类、</w:t>
      </w:r>
      <w:r>
        <w:rPr>
          <w:rFonts w:ascii="宋体" w:hAnsi="宋体" w:hint="eastAsia"/>
          <w:szCs w:val="21"/>
        </w:rPr>
        <w:t>C</w:t>
      </w:r>
      <w:r>
        <w:rPr>
          <w:rFonts w:ascii="宋体" w:hAnsi="宋体" w:hint="eastAsia"/>
          <w:szCs w:val="21"/>
        </w:rPr>
        <w:t>类及</w:t>
      </w:r>
      <w:r>
        <w:rPr>
          <w:rFonts w:ascii="宋体" w:hAnsi="宋体" w:hint="eastAsia"/>
          <w:szCs w:val="21"/>
        </w:rPr>
        <w:t>I</w:t>
      </w:r>
      <w:r>
        <w:rPr>
          <w:rFonts w:ascii="宋体" w:hAnsi="宋体" w:hint="eastAsia"/>
          <w:szCs w:val="21"/>
        </w:rPr>
        <w:t>类基金份额的大额申购、定投和转换转入金额限制，调整后限额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万</w:t>
      </w:r>
      <w:r>
        <w:rPr>
          <w:rFonts w:ascii="宋体" w:hAnsi="宋体"/>
          <w:szCs w:val="21"/>
        </w:rPr>
        <w:t>元</w:t>
      </w:r>
      <w:r>
        <w:rPr>
          <w:rFonts w:ascii="宋体" w:hAnsi="宋体" w:hint="eastAsia"/>
          <w:szCs w:val="21"/>
        </w:rPr>
        <w:t>。</w:t>
      </w:r>
    </w:p>
    <w:p w:rsidR="00B451A3" w:rsidRDefault="00043F66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）自</w:t>
      </w:r>
      <w:r>
        <w:rPr>
          <w:rFonts w:ascii="宋体" w:hAnsi="宋体" w:hint="eastAsia"/>
          <w:szCs w:val="21"/>
        </w:rPr>
        <w:t>2024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12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日起，如个人投资者单日单个基金账户单笔申购本基金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类、</w:t>
      </w:r>
      <w:r>
        <w:rPr>
          <w:rFonts w:ascii="宋体" w:hAnsi="宋体" w:hint="eastAsia"/>
          <w:szCs w:val="21"/>
        </w:rPr>
        <w:t>C</w:t>
      </w:r>
      <w:r>
        <w:rPr>
          <w:rFonts w:ascii="宋体" w:hAnsi="宋体" w:hint="eastAsia"/>
          <w:szCs w:val="21"/>
        </w:rPr>
        <w:t>类及</w:t>
      </w:r>
      <w:r>
        <w:rPr>
          <w:rFonts w:ascii="宋体" w:hAnsi="宋体" w:hint="eastAsia"/>
          <w:szCs w:val="21"/>
        </w:rPr>
        <w:t>I</w:t>
      </w:r>
      <w:r>
        <w:rPr>
          <w:rFonts w:ascii="宋体" w:hAnsi="宋体" w:hint="eastAsia"/>
          <w:szCs w:val="21"/>
        </w:rPr>
        <w:t>类基金份额超过</w:t>
      </w:r>
      <w:r>
        <w:rPr>
          <w:rFonts w:ascii="宋体" w:hAnsi="宋体" w:hint="eastAsia"/>
        </w:rPr>
        <w:t>5</w:t>
      </w:r>
      <w:r>
        <w:rPr>
          <w:rFonts w:ascii="宋体" w:hAnsi="宋体" w:hint="eastAsia"/>
        </w:rPr>
        <w:t>万</w:t>
      </w:r>
      <w:r>
        <w:rPr>
          <w:rFonts w:ascii="宋体" w:hAnsi="宋体"/>
        </w:rPr>
        <w:t>元</w:t>
      </w:r>
      <w:r>
        <w:rPr>
          <w:rFonts w:ascii="宋体" w:hAnsi="宋体" w:hint="eastAsia"/>
          <w:szCs w:val="21"/>
        </w:rPr>
        <w:t>（不含</w:t>
      </w:r>
      <w:r>
        <w:rPr>
          <w:rFonts w:ascii="宋体" w:hAnsi="宋体" w:hint="eastAsia"/>
        </w:rPr>
        <w:t>5</w:t>
      </w:r>
      <w:r>
        <w:rPr>
          <w:rFonts w:ascii="宋体" w:hAnsi="宋体" w:hint="eastAsia"/>
        </w:rPr>
        <w:t>万</w:t>
      </w:r>
      <w:r>
        <w:rPr>
          <w:rFonts w:ascii="宋体" w:hAnsi="宋体"/>
        </w:rPr>
        <w:t>元</w:t>
      </w:r>
      <w:r>
        <w:rPr>
          <w:rFonts w:ascii="宋体" w:hAnsi="宋体" w:hint="eastAsia"/>
          <w:szCs w:val="21"/>
        </w:rPr>
        <w:t>，申购、定投和转换转入的申请金额合并计算，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类、</w:t>
      </w:r>
      <w:r>
        <w:rPr>
          <w:rFonts w:ascii="宋体" w:hAnsi="宋体" w:hint="eastAsia"/>
          <w:szCs w:val="21"/>
        </w:rPr>
        <w:t>C</w:t>
      </w:r>
      <w:r>
        <w:rPr>
          <w:rFonts w:ascii="宋体" w:hAnsi="宋体" w:hint="eastAsia"/>
          <w:szCs w:val="21"/>
        </w:rPr>
        <w:t>类及</w:t>
      </w:r>
      <w:r>
        <w:rPr>
          <w:rFonts w:ascii="宋体" w:hAnsi="宋体" w:hint="eastAsia"/>
          <w:szCs w:val="21"/>
        </w:rPr>
        <w:t>I</w:t>
      </w:r>
      <w:r>
        <w:rPr>
          <w:rFonts w:ascii="宋体" w:hAnsi="宋体" w:hint="eastAsia"/>
          <w:szCs w:val="21"/>
        </w:rPr>
        <w:t>类基金份额的申请金额每类单独计算，下同），则本公司将仅对</w:t>
      </w:r>
      <w:r>
        <w:rPr>
          <w:rFonts w:ascii="宋体" w:hAnsi="宋体" w:hint="eastAsia"/>
        </w:rPr>
        <w:t>5</w:t>
      </w:r>
      <w:r>
        <w:rPr>
          <w:rFonts w:ascii="宋体" w:hAnsi="宋体" w:hint="eastAsia"/>
        </w:rPr>
        <w:t>万</w:t>
      </w:r>
      <w:r>
        <w:rPr>
          <w:rFonts w:ascii="宋体" w:hAnsi="宋体"/>
        </w:rPr>
        <w:t>元</w:t>
      </w:r>
      <w:r>
        <w:rPr>
          <w:rFonts w:ascii="宋体" w:hAnsi="宋体" w:hint="eastAsia"/>
          <w:szCs w:val="21"/>
        </w:rPr>
        <w:t>确认申购成功，超过部分将确认失败；如个人投资者单日单个基金账户多笔累计申购本基金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类、</w:t>
      </w:r>
      <w:r>
        <w:rPr>
          <w:rFonts w:ascii="宋体" w:hAnsi="宋体" w:hint="eastAsia"/>
          <w:szCs w:val="21"/>
        </w:rPr>
        <w:t>C</w:t>
      </w:r>
      <w:r>
        <w:rPr>
          <w:rFonts w:ascii="宋体" w:hAnsi="宋体" w:hint="eastAsia"/>
          <w:szCs w:val="21"/>
        </w:rPr>
        <w:t>类及</w:t>
      </w:r>
      <w:r>
        <w:rPr>
          <w:rFonts w:ascii="宋体" w:hAnsi="宋体" w:hint="eastAsia"/>
          <w:szCs w:val="21"/>
        </w:rPr>
        <w:t>I</w:t>
      </w:r>
      <w:r>
        <w:rPr>
          <w:rFonts w:ascii="宋体" w:hAnsi="宋体" w:hint="eastAsia"/>
          <w:szCs w:val="21"/>
        </w:rPr>
        <w:t>类基金份额超过</w:t>
      </w:r>
      <w:r>
        <w:rPr>
          <w:rFonts w:ascii="宋体" w:hAnsi="宋体" w:hint="eastAsia"/>
        </w:rPr>
        <w:t>5</w:t>
      </w:r>
      <w:r>
        <w:rPr>
          <w:rFonts w:ascii="宋体" w:hAnsi="宋体" w:hint="eastAsia"/>
        </w:rPr>
        <w:t>万</w:t>
      </w:r>
      <w:r>
        <w:rPr>
          <w:rFonts w:ascii="宋体" w:hAnsi="宋体"/>
        </w:rPr>
        <w:t>元</w:t>
      </w:r>
      <w:r>
        <w:rPr>
          <w:rFonts w:ascii="宋体" w:hAnsi="宋体" w:hint="eastAsia"/>
          <w:szCs w:val="21"/>
        </w:rPr>
        <w:t>，则本公司将对多笔申请按照申请金额从大到小排序，并逐笔累加至不超过</w:t>
      </w:r>
      <w:r>
        <w:rPr>
          <w:rFonts w:ascii="宋体" w:hAnsi="宋体" w:hint="eastAsia"/>
        </w:rPr>
        <w:t>5</w:t>
      </w:r>
      <w:r>
        <w:rPr>
          <w:rFonts w:ascii="宋体" w:hAnsi="宋体" w:hint="eastAsia"/>
        </w:rPr>
        <w:t>万</w:t>
      </w:r>
      <w:r>
        <w:rPr>
          <w:rFonts w:ascii="宋体" w:hAnsi="宋体"/>
        </w:rPr>
        <w:t>元</w:t>
      </w:r>
      <w:r>
        <w:rPr>
          <w:rFonts w:ascii="宋体" w:hAnsi="宋体" w:hint="eastAsia"/>
          <w:szCs w:val="21"/>
        </w:rPr>
        <w:t>（含</w:t>
      </w:r>
      <w:r>
        <w:rPr>
          <w:rFonts w:ascii="宋体" w:hAnsi="宋体" w:hint="eastAsia"/>
        </w:rPr>
        <w:t>5</w:t>
      </w:r>
      <w:r>
        <w:rPr>
          <w:rFonts w:ascii="宋体" w:hAnsi="宋体" w:hint="eastAsia"/>
        </w:rPr>
        <w:t>万</w:t>
      </w:r>
      <w:r>
        <w:rPr>
          <w:rFonts w:ascii="宋体" w:hAnsi="宋体"/>
        </w:rPr>
        <w:t>元</w:t>
      </w:r>
      <w:r>
        <w:rPr>
          <w:rFonts w:ascii="宋体" w:hAnsi="宋体" w:hint="eastAsia"/>
          <w:szCs w:val="21"/>
        </w:rPr>
        <w:t>）的申请确认成功，超过部分将确认失败。</w:t>
      </w:r>
    </w:p>
    <w:p w:rsidR="00B451A3" w:rsidRDefault="00043F66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2024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12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日起，本公司将暂停</w:t>
      </w:r>
      <w:r>
        <w:rPr>
          <w:rFonts w:ascii="宋体" w:hAnsi="宋体" w:hint="eastAsia"/>
          <w:szCs w:val="21"/>
        </w:rPr>
        <w:t>接受非个人投资者单日每个基金账户累计申购本基金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类、</w:t>
      </w:r>
      <w:r>
        <w:rPr>
          <w:rFonts w:ascii="宋体" w:hAnsi="宋体" w:hint="eastAsia"/>
          <w:szCs w:val="21"/>
        </w:rPr>
        <w:t>C</w:t>
      </w:r>
      <w:r>
        <w:rPr>
          <w:rFonts w:ascii="宋体" w:hAnsi="宋体" w:hint="eastAsia"/>
          <w:szCs w:val="21"/>
        </w:rPr>
        <w:t>类及</w:t>
      </w:r>
      <w:r>
        <w:rPr>
          <w:rFonts w:ascii="宋体" w:hAnsi="宋体" w:hint="eastAsia"/>
          <w:szCs w:val="21"/>
        </w:rPr>
        <w:t>I</w:t>
      </w:r>
      <w:r>
        <w:rPr>
          <w:rFonts w:ascii="宋体" w:hAnsi="宋体" w:hint="eastAsia"/>
          <w:szCs w:val="21"/>
        </w:rPr>
        <w:t>类基金份额超过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</w:rPr>
        <w:t>万</w:t>
      </w:r>
      <w:r>
        <w:rPr>
          <w:rFonts w:ascii="宋体" w:hAnsi="宋体"/>
        </w:rPr>
        <w:t>元</w:t>
      </w:r>
      <w:r>
        <w:rPr>
          <w:rFonts w:ascii="宋体" w:hAnsi="宋体" w:hint="eastAsia"/>
          <w:szCs w:val="21"/>
        </w:rPr>
        <w:t>的申请（不含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万</w:t>
      </w:r>
      <w:r>
        <w:rPr>
          <w:rFonts w:ascii="宋体" w:hAnsi="宋体"/>
        </w:rPr>
        <w:t>元</w:t>
      </w:r>
      <w:r>
        <w:rPr>
          <w:rFonts w:ascii="宋体" w:hAnsi="宋体" w:hint="eastAsia"/>
          <w:szCs w:val="21"/>
        </w:rPr>
        <w:t>，申购、定投和转换转入的申请金额合并计算，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类、</w:t>
      </w:r>
      <w:r>
        <w:rPr>
          <w:rFonts w:ascii="宋体" w:hAnsi="宋体" w:hint="eastAsia"/>
          <w:szCs w:val="21"/>
        </w:rPr>
        <w:t>C</w:t>
      </w:r>
      <w:r>
        <w:rPr>
          <w:rFonts w:ascii="宋体" w:hAnsi="宋体" w:hint="eastAsia"/>
          <w:szCs w:val="21"/>
        </w:rPr>
        <w:t>类及</w:t>
      </w:r>
      <w:r>
        <w:rPr>
          <w:rFonts w:ascii="宋体" w:hAnsi="宋体" w:hint="eastAsia"/>
          <w:szCs w:val="21"/>
        </w:rPr>
        <w:t>I</w:t>
      </w:r>
      <w:r>
        <w:rPr>
          <w:rFonts w:ascii="宋体" w:hAnsi="宋体" w:hint="eastAsia"/>
          <w:szCs w:val="21"/>
        </w:rPr>
        <w:t>类基金份额的申请金额每类单独计算，下同），如非个人投资者单日单个基金账户累计申购本基金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类、</w:t>
      </w:r>
      <w:r>
        <w:rPr>
          <w:rFonts w:ascii="宋体" w:hAnsi="宋体" w:hint="eastAsia"/>
          <w:szCs w:val="21"/>
        </w:rPr>
        <w:t>C</w:t>
      </w:r>
      <w:r>
        <w:rPr>
          <w:rFonts w:ascii="宋体" w:hAnsi="宋体" w:hint="eastAsia"/>
          <w:szCs w:val="21"/>
        </w:rPr>
        <w:t>类及</w:t>
      </w:r>
      <w:r>
        <w:rPr>
          <w:rFonts w:ascii="宋体" w:hAnsi="宋体" w:hint="eastAsia"/>
          <w:szCs w:val="21"/>
        </w:rPr>
        <w:t>I</w:t>
      </w:r>
      <w:r>
        <w:rPr>
          <w:rFonts w:ascii="宋体" w:hAnsi="宋体" w:hint="eastAsia"/>
          <w:szCs w:val="21"/>
        </w:rPr>
        <w:t>类基金份额超过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万</w:t>
      </w:r>
      <w:r>
        <w:rPr>
          <w:rFonts w:ascii="宋体" w:hAnsi="宋体"/>
        </w:rPr>
        <w:t>元</w:t>
      </w:r>
      <w:r>
        <w:rPr>
          <w:rFonts w:ascii="宋体" w:hAnsi="宋体" w:hint="eastAsia"/>
          <w:szCs w:val="21"/>
        </w:rPr>
        <w:t>，则本公司将对其全部申购金额确认失败。</w:t>
      </w:r>
    </w:p>
    <w:p w:rsidR="00B451A3" w:rsidRDefault="00043F66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在本基金限制大额申购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定投和转换转入业务期间，</w:t>
      </w:r>
      <w:r>
        <w:rPr>
          <w:rFonts w:ascii="宋体" w:hAnsi="宋体" w:hint="eastAsia"/>
          <w:szCs w:val="21"/>
        </w:rPr>
        <w:t>其他</w:t>
      </w:r>
      <w:r>
        <w:rPr>
          <w:rFonts w:ascii="宋体" w:hAnsi="宋体"/>
          <w:szCs w:val="21"/>
        </w:rPr>
        <w:t>业务</w:t>
      </w:r>
      <w:r>
        <w:rPr>
          <w:rFonts w:ascii="宋体" w:hAnsi="宋体" w:hint="eastAsia"/>
          <w:szCs w:val="21"/>
        </w:rPr>
        <w:t>照常</w:t>
      </w:r>
      <w:r>
        <w:rPr>
          <w:rFonts w:ascii="宋体" w:hAnsi="宋体"/>
          <w:szCs w:val="21"/>
        </w:rPr>
        <w:t>办理。</w:t>
      </w:r>
    </w:p>
    <w:p w:rsidR="00B451A3" w:rsidRDefault="00043F66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本基金恢复办理大额申购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定投</w:t>
      </w:r>
      <w:r>
        <w:rPr>
          <w:rFonts w:ascii="宋体" w:hAnsi="宋体" w:hint="eastAsia"/>
          <w:szCs w:val="21"/>
        </w:rPr>
        <w:t>和转换转入</w:t>
      </w:r>
      <w:r>
        <w:rPr>
          <w:rFonts w:ascii="宋体" w:hAnsi="宋体"/>
          <w:szCs w:val="21"/>
        </w:rPr>
        <w:t>业务的具体时间将另行公告。</w:t>
      </w:r>
    </w:p>
    <w:p w:rsidR="00B451A3" w:rsidRDefault="00043F66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）本基金设置基金总份额上限为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亿份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采用“按比例确</w:t>
      </w:r>
      <w:r>
        <w:rPr>
          <w:rFonts w:ascii="宋体" w:hAnsi="宋体" w:hint="eastAsia"/>
          <w:szCs w:val="21"/>
        </w:rPr>
        <w:t>认”的原则对本基金的总规模进行控制。具体规模控制方案详见本公司于</w:t>
      </w:r>
      <w:r>
        <w:rPr>
          <w:rFonts w:ascii="宋体" w:hAnsi="宋体" w:hint="eastAsia"/>
          <w:szCs w:val="21"/>
        </w:rPr>
        <w:t>2023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20</w:t>
      </w:r>
      <w:r>
        <w:rPr>
          <w:rFonts w:ascii="宋体" w:hAnsi="宋体" w:hint="eastAsia"/>
          <w:szCs w:val="21"/>
        </w:rPr>
        <w:t>日发布的《关于南方北证</w:t>
      </w:r>
      <w:r>
        <w:rPr>
          <w:rFonts w:ascii="宋体" w:hAnsi="宋体" w:hint="eastAsia"/>
          <w:szCs w:val="21"/>
        </w:rPr>
        <w:t>50</w:t>
      </w:r>
      <w:r>
        <w:rPr>
          <w:rFonts w:ascii="宋体" w:hAnsi="宋体" w:hint="eastAsia"/>
          <w:szCs w:val="21"/>
        </w:rPr>
        <w:t>成份指数发</w:t>
      </w:r>
      <w:r>
        <w:rPr>
          <w:rFonts w:ascii="宋体" w:hAnsi="宋体" w:hint="eastAsia"/>
          <w:szCs w:val="21"/>
        </w:rPr>
        <w:lastRenderedPageBreak/>
        <w:t>起式证券投资基金规模控制的公告》。</w:t>
      </w:r>
    </w:p>
    <w:p w:rsidR="00B451A3" w:rsidRDefault="00043F66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投资</w:t>
      </w:r>
      <w:r>
        <w:rPr>
          <w:rFonts w:ascii="宋体" w:hAnsi="宋体" w:hint="eastAsia"/>
          <w:szCs w:val="21"/>
        </w:rPr>
        <w:t>人</w:t>
      </w:r>
      <w:r>
        <w:rPr>
          <w:rFonts w:ascii="宋体" w:hAnsi="宋体"/>
          <w:szCs w:val="21"/>
        </w:rPr>
        <w:t>可访问本公司网站</w:t>
      </w:r>
      <w:r>
        <w:rPr>
          <w:rFonts w:ascii="宋体" w:hAnsi="宋体"/>
          <w:szCs w:val="21"/>
        </w:rPr>
        <w:t>(www.nffund.com)</w:t>
      </w:r>
      <w:r>
        <w:rPr>
          <w:rFonts w:ascii="宋体" w:hAnsi="宋体"/>
          <w:szCs w:val="21"/>
        </w:rPr>
        <w:t>或拨打客户服务电话（</w:t>
      </w:r>
      <w:r>
        <w:rPr>
          <w:rFonts w:ascii="宋体" w:hAnsi="宋体"/>
          <w:szCs w:val="21"/>
        </w:rPr>
        <w:t>400</w:t>
      </w:r>
      <w:r>
        <w:rPr>
          <w:rFonts w:ascii="宋体" w:hAnsi="宋体"/>
          <w:szCs w:val="21"/>
        </w:rPr>
        <w:t>－</w:t>
      </w:r>
      <w:r>
        <w:rPr>
          <w:rFonts w:ascii="宋体" w:hAnsi="宋体"/>
          <w:szCs w:val="21"/>
        </w:rPr>
        <w:t>889</w:t>
      </w:r>
      <w:r>
        <w:rPr>
          <w:rFonts w:ascii="宋体" w:hAnsi="宋体"/>
          <w:szCs w:val="21"/>
        </w:rPr>
        <w:t>－</w:t>
      </w:r>
      <w:r>
        <w:rPr>
          <w:rFonts w:ascii="宋体" w:hAnsi="宋体"/>
          <w:szCs w:val="21"/>
        </w:rPr>
        <w:t>8899</w:t>
      </w:r>
      <w:r>
        <w:rPr>
          <w:rFonts w:ascii="宋体" w:hAnsi="宋体"/>
          <w:szCs w:val="21"/>
        </w:rPr>
        <w:t>）咨询相关情况。</w:t>
      </w:r>
    </w:p>
    <w:p w:rsidR="00B451A3" w:rsidRDefault="00B451A3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B451A3" w:rsidRDefault="00B451A3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B451A3" w:rsidRDefault="00043F66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</w:t>
      </w:r>
      <w:r>
        <w:rPr>
          <w:rFonts w:ascii="宋体" w:hAnsi="宋体" w:hint="eastAsia"/>
          <w:szCs w:val="21"/>
        </w:rPr>
        <w:t>南方基金管理股份有限公司</w:t>
      </w:r>
    </w:p>
    <w:p w:rsidR="00B451A3" w:rsidRDefault="00043F66">
      <w:pPr>
        <w:spacing w:line="360" w:lineRule="auto"/>
        <w:ind w:left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2024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12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日</w:t>
      </w:r>
    </w:p>
    <w:sectPr w:rsidR="00B451A3" w:rsidSect="00B451A3">
      <w:headerReference w:type="default" r:id="rId6"/>
      <w:footerReference w:type="default" r:id="rId7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1A3" w:rsidRDefault="00B451A3" w:rsidP="00B451A3">
      <w:r>
        <w:separator/>
      </w:r>
    </w:p>
  </w:endnote>
  <w:endnote w:type="continuationSeparator" w:id="0">
    <w:p w:rsidR="00B451A3" w:rsidRDefault="00B451A3" w:rsidP="00B45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1A3" w:rsidRDefault="00043F66">
    <w:pPr>
      <w:pStyle w:val="a5"/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r w:rsidR="00B451A3">
      <w:fldChar w:fldCharType="begin"/>
    </w:r>
    <w:r>
      <w:instrText xml:space="preserve"> PAGE   \* MERGEFORMAT </w:instrText>
    </w:r>
    <w:r w:rsidR="00B451A3">
      <w:fldChar w:fldCharType="separate"/>
    </w:r>
    <w:r>
      <w:rPr>
        <w:noProof/>
      </w:rPr>
      <w:t>1</w:t>
    </w:r>
    <w:r w:rsidR="00B451A3"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>
        <w:rPr>
          <w:noProof/>
        </w:rPr>
        <w:t>3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1A3" w:rsidRDefault="00B451A3" w:rsidP="00B451A3">
      <w:r>
        <w:separator/>
      </w:r>
    </w:p>
  </w:footnote>
  <w:footnote w:type="continuationSeparator" w:id="0">
    <w:p w:rsidR="00B451A3" w:rsidRDefault="00B451A3" w:rsidP="00B451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1A3" w:rsidRDefault="00B451A3">
    <w:pPr>
      <w:pStyle w:val="a6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452"/>
    <w:rsid w:val="0000537C"/>
    <w:rsid w:val="0000768B"/>
    <w:rsid w:val="00023EBC"/>
    <w:rsid w:val="00036B52"/>
    <w:rsid w:val="0003742D"/>
    <w:rsid w:val="00043F66"/>
    <w:rsid w:val="00055538"/>
    <w:rsid w:val="00055AB5"/>
    <w:rsid w:val="0006430A"/>
    <w:rsid w:val="00064D16"/>
    <w:rsid w:val="0007029E"/>
    <w:rsid w:val="00083D89"/>
    <w:rsid w:val="000931C8"/>
    <w:rsid w:val="0009365F"/>
    <w:rsid w:val="00095F76"/>
    <w:rsid w:val="000A06CA"/>
    <w:rsid w:val="000A32D5"/>
    <w:rsid w:val="000B315A"/>
    <w:rsid w:val="000B4333"/>
    <w:rsid w:val="000B6641"/>
    <w:rsid w:val="000B7045"/>
    <w:rsid w:val="000C110C"/>
    <w:rsid w:val="000C265F"/>
    <w:rsid w:val="000C283F"/>
    <w:rsid w:val="000C3F57"/>
    <w:rsid w:val="000C5413"/>
    <w:rsid w:val="000D23CE"/>
    <w:rsid w:val="000D2A75"/>
    <w:rsid w:val="000E07FD"/>
    <w:rsid w:val="000E0976"/>
    <w:rsid w:val="000E2D93"/>
    <w:rsid w:val="000F779A"/>
    <w:rsid w:val="001003B7"/>
    <w:rsid w:val="00100553"/>
    <w:rsid w:val="00101BCF"/>
    <w:rsid w:val="00102B5B"/>
    <w:rsid w:val="00103A28"/>
    <w:rsid w:val="00111B9D"/>
    <w:rsid w:val="001200F8"/>
    <w:rsid w:val="00122313"/>
    <w:rsid w:val="00124909"/>
    <w:rsid w:val="001256FB"/>
    <w:rsid w:val="001321F8"/>
    <w:rsid w:val="001357A5"/>
    <w:rsid w:val="001364ED"/>
    <w:rsid w:val="0013713E"/>
    <w:rsid w:val="0014620E"/>
    <w:rsid w:val="00151412"/>
    <w:rsid w:val="00152AEF"/>
    <w:rsid w:val="00163CA7"/>
    <w:rsid w:val="00172A27"/>
    <w:rsid w:val="00173F7C"/>
    <w:rsid w:val="00175D7C"/>
    <w:rsid w:val="00177370"/>
    <w:rsid w:val="001802F7"/>
    <w:rsid w:val="00185D48"/>
    <w:rsid w:val="00185F53"/>
    <w:rsid w:val="00193FF8"/>
    <w:rsid w:val="001C46A4"/>
    <w:rsid w:val="001C6348"/>
    <w:rsid w:val="001D3593"/>
    <w:rsid w:val="001D473B"/>
    <w:rsid w:val="001E0CAC"/>
    <w:rsid w:val="001E369E"/>
    <w:rsid w:val="001F5D85"/>
    <w:rsid w:val="00210916"/>
    <w:rsid w:val="00210E51"/>
    <w:rsid w:val="00212CC6"/>
    <w:rsid w:val="002151DD"/>
    <w:rsid w:val="002251B0"/>
    <w:rsid w:val="002254EC"/>
    <w:rsid w:val="00227378"/>
    <w:rsid w:val="002377E2"/>
    <w:rsid w:val="00257AA7"/>
    <w:rsid w:val="00260832"/>
    <w:rsid w:val="00261F7F"/>
    <w:rsid w:val="002647C8"/>
    <w:rsid w:val="00273624"/>
    <w:rsid w:val="002776C7"/>
    <w:rsid w:val="002832E2"/>
    <w:rsid w:val="002864D7"/>
    <w:rsid w:val="00295537"/>
    <w:rsid w:val="002A1E7F"/>
    <w:rsid w:val="002A667D"/>
    <w:rsid w:val="002C2E04"/>
    <w:rsid w:val="002C4420"/>
    <w:rsid w:val="002C67BB"/>
    <w:rsid w:val="002C6F80"/>
    <w:rsid w:val="002D26EB"/>
    <w:rsid w:val="002D7276"/>
    <w:rsid w:val="002E26BE"/>
    <w:rsid w:val="002F0BC7"/>
    <w:rsid w:val="002F438E"/>
    <w:rsid w:val="002F43E9"/>
    <w:rsid w:val="00302E95"/>
    <w:rsid w:val="00304E49"/>
    <w:rsid w:val="0030589C"/>
    <w:rsid w:val="0030750B"/>
    <w:rsid w:val="0030778D"/>
    <w:rsid w:val="00310F0E"/>
    <w:rsid w:val="00311DD1"/>
    <w:rsid w:val="00313C0C"/>
    <w:rsid w:val="00317A9D"/>
    <w:rsid w:val="00320BC2"/>
    <w:rsid w:val="003223F7"/>
    <w:rsid w:val="00322806"/>
    <w:rsid w:val="00330B85"/>
    <w:rsid w:val="003339F6"/>
    <w:rsid w:val="003373B3"/>
    <w:rsid w:val="00345D5C"/>
    <w:rsid w:val="0035647A"/>
    <w:rsid w:val="00356E46"/>
    <w:rsid w:val="00381366"/>
    <w:rsid w:val="00392955"/>
    <w:rsid w:val="00397ADF"/>
    <w:rsid w:val="003A3F99"/>
    <w:rsid w:val="003C19F2"/>
    <w:rsid w:val="003D09CD"/>
    <w:rsid w:val="003D3331"/>
    <w:rsid w:val="003D3612"/>
    <w:rsid w:val="003E1169"/>
    <w:rsid w:val="003E2D26"/>
    <w:rsid w:val="003E3FAF"/>
    <w:rsid w:val="00402466"/>
    <w:rsid w:val="00403F1A"/>
    <w:rsid w:val="00412894"/>
    <w:rsid w:val="0041636C"/>
    <w:rsid w:val="00440F82"/>
    <w:rsid w:val="004436BD"/>
    <w:rsid w:val="00445EE6"/>
    <w:rsid w:val="00467A37"/>
    <w:rsid w:val="004736DC"/>
    <w:rsid w:val="00474DDF"/>
    <w:rsid w:val="004845FD"/>
    <w:rsid w:val="00491905"/>
    <w:rsid w:val="00492F49"/>
    <w:rsid w:val="00493A10"/>
    <w:rsid w:val="00494E7A"/>
    <w:rsid w:val="004971EA"/>
    <w:rsid w:val="004A2FBB"/>
    <w:rsid w:val="004A6D07"/>
    <w:rsid w:val="004B0D04"/>
    <w:rsid w:val="004B322A"/>
    <w:rsid w:val="004B436C"/>
    <w:rsid w:val="004B4E7F"/>
    <w:rsid w:val="004C33B6"/>
    <w:rsid w:val="004C688F"/>
    <w:rsid w:val="004C70A4"/>
    <w:rsid w:val="004C74DE"/>
    <w:rsid w:val="004D0240"/>
    <w:rsid w:val="004D23BE"/>
    <w:rsid w:val="004E0A92"/>
    <w:rsid w:val="004E48BA"/>
    <w:rsid w:val="004E62A7"/>
    <w:rsid w:val="004F0294"/>
    <w:rsid w:val="00501B46"/>
    <w:rsid w:val="005130C0"/>
    <w:rsid w:val="00525197"/>
    <w:rsid w:val="005277AC"/>
    <w:rsid w:val="00534622"/>
    <w:rsid w:val="00543771"/>
    <w:rsid w:val="005443B8"/>
    <w:rsid w:val="00551906"/>
    <w:rsid w:val="00556ADB"/>
    <w:rsid w:val="005740B7"/>
    <w:rsid w:val="005934BF"/>
    <w:rsid w:val="005A465A"/>
    <w:rsid w:val="005B1C52"/>
    <w:rsid w:val="005B7E40"/>
    <w:rsid w:val="005C0929"/>
    <w:rsid w:val="005C47F1"/>
    <w:rsid w:val="005C7412"/>
    <w:rsid w:val="005D211A"/>
    <w:rsid w:val="005E2FFD"/>
    <w:rsid w:val="005F6D4F"/>
    <w:rsid w:val="00603966"/>
    <w:rsid w:val="006202FF"/>
    <w:rsid w:val="00623B7B"/>
    <w:rsid w:val="00627C41"/>
    <w:rsid w:val="0063086B"/>
    <w:rsid w:val="0064468E"/>
    <w:rsid w:val="006513E7"/>
    <w:rsid w:val="00654C2A"/>
    <w:rsid w:val="00665D0A"/>
    <w:rsid w:val="006676A6"/>
    <w:rsid w:val="006678B3"/>
    <w:rsid w:val="00672E15"/>
    <w:rsid w:val="00673AD5"/>
    <w:rsid w:val="00676D20"/>
    <w:rsid w:val="006777BA"/>
    <w:rsid w:val="00682404"/>
    <w:rsid w:val="00682983"/>
    <w:rsid w:val="006908B0"/>
    <w:rsid w:val="00691B30"/>
    <w:rsid w:val="00692185"/>
    <w:rsid w:val="006A1823"/>
    <w:rsid w:val="006A5A36"/>
    <w:rsid w:val="006B2029"/>
    <w:rsid w:val="006B5BCC"/>
    <w:rsid w:val="006F7485"/>
    <w:rsid w:val="00703508"/>
    <w:rsid w:val="00706B1A"/>
    <w:rsid w:val="00712D16"/>
    <w:rsid w:val="00722D4A"/>
    <w:rsid w:val="007341EA"/>
    <w:rsid w:val="00745E56"/>
    <w:rsid w:val="00750551"/>
    <w:rsid w:val="007565E6"/>
    <w:rsid w:val="00757C18"/>
    <w:rsid w:val="007800C4"/>
    <w:rsid w:val="00790206"/>
    <w:rsid w:val="00790761"/>
    <w:rsid w:val="00790C95"/>
    <w:rsid w:val="00797B07"/>
    <w:rsid w:val="007A6A41"/>
    <w:rsid w:val="007B0B13"/>
    <w:rsid w:val="007B2675"/>
    <w:rsid w:val="007B4EA5"/>
    <w:rsid w:val="007B6F12"/>
    <w:rsid w:val="007C5895"/>
    <w:rsid w:val="007C5A68"/>
    <w:rsid w:val="007E4157"/>
    <w:rsid w:val="007E6F7D"/>
    <w:rsid w:val="007F4EFC"/>
    <w:rsid w:val="007F5175"/>
    <w:rsid w:val="0080195B"/>
    <w:rsid w:val="00812D65"/>
    <w:rsid w:val="00813E9D"/>
    <w:rsid w:val="00826F82"/>
    <w:rsid w:val="00830420"/>
    <w:rsid w:val="00836C5A"/>
    <w:rsid w:val="00840D5A"/>
    <w:rsid w:val="00841D4C"/>
    <w:rsid w:val="008422AE"/>
    <w:rsid w:val="0084459D"/>
    <w:rsid w:val="00847741"/>
    <w:rsid w:val="0085398E"/>
    <w:rsid w:val="00860872"/>
    <w:rsid w:val="00864C38"/>
    <w:rsid w:val="00866780"/>
    <w:rsid w:val="008701E1"/>
    <w:rsid w:val="008724CF"/>
    <w:rsid w:val="00875C2A"/>
    <w:rsid w:val="00876088"/>
    <w:rsid w:val="00882DF8"/>
    <w:rsid w:val="00882FD3"/>
    <w:rsid w:val="00892AB2"/>
    <w:rsid w:val="008A51B1"/>
    <w:rsid w:val="008A7B17"/>
    <w:rsid w:val="008B71CF"/>
    <w:rsid w:val="008B7BBD"/>
    <w:rsid w:val="008E2F1F"/>
    <w:rsid w:val="008E6475"/>
    <w:rsid w:val="008F05A4"/>
    <w:rsid w:val="008F26A1"/>
    <w:rsid w:val="0090041C"/>
    <w:rsid w:val="0092280F"/>
    <w:rsid w:val="009232C7"/>
    <w:rsid w:val="00924B32"/>
    <w:rsid w:val="00925067"/>
    <w:rsid w:val="009261E9"/>
    <w:rsid w:val="0092648C"/>
    <w:rsid w:val="00927C6D"/>
    <w:rsid w:val="009345F8"/>
    <w:rsid w:val="00941FF5"/>
    <w:rsid w:val="0094279A"/>
    <w:rsid w:val="00945551"/>
    <w:rsid w:val="009477D5"/>
    <w:rsid w:val="00951B38"/>
    <w:rsid w:val="009615C8"/>
    <w:rsid w:val="009626CF"/>
    <w:rsid w:val="009634DD"/>
    <w:rsid w:val="0096416F"/>
    <w:rsid w:val="00965B41"/>
    <w:rsid w:val="00966112"/>
    <w:rsid w:val="009730E6"/>
    <w:rsid w:val="00981DEF"/>
    <w:rsid w:val="0098772D"/>
    <w:rsid w:val="009904F1"/>
    <w:rsid w:val="009C1E02"/>
    <w:rsid w:val="009C32B4"/>
    <w:rsid w:val="009E1345"/>
    <w:rsid w:val="009F3A8A"/>
    <w:rsid w:val="009F7951"/>
    <w:rsid w:val="00A01FFB"/>
    <w:rsid w:val="00A039B4"/>
    <w:rsid w:val="00A07AB6"/>
    <w:rsid w:val="00A20AB4"/>
    <w:rsid w:val="00A21B94"/>
    <w:rsid w:val="00A30E09"/>
    <w:rsid w:val="00A32FC8"/>
    <w:rsid w:val="00A37E91"/>
    <w:rsid w:val="00A55628"/>
    <w:rsid w:val="00A57E51"/>
    <w:rsid w:val="00A62827"/>
    <w:rsid w:val="00A62B06"/>
    <w:rsid w:val="00A64A05"/>
    <w:rsid w:val="00A80B3B"/>
    <w:rsid w:val="00A85B2F"/>
    <w:rsid w:val="00A91ECC"/>
    <w:rsid w:val="00A94833"/>
    <w:rsid w:val="00A94AE1"/>
    <w:rsid w:val="00AB1AFC"/>
    <w:rsid w:val="00AB787A"/>
    <w:rsid w:val="00AB7E13"/>
    <w:rsid w:val="00AD3AB1"/>
    <w:rsid w:val="00AD5FEF"/>
    <w:rsid w:val="00AE3179"/>
    <w:rsid w:val="00AE6FB0"/>
    <w:rsid w:val="00B03B63"/>
    <w:rsid w:val="00B15482"/>
    <w:rsid w:val="00B168DA"/>
    <w:rsid w:val="00B26AA1"/>
    <w:rsid w:val="00B30CD8"/>
    <w:rsid w:val="00B315B0"/>
    <w:rsid w:val="00B32218"/>
    <w:rsid w:val="00B36F50"/>
    <w:rsid w:val="00B41065"/>
    <w:rsid w:val="00B4187F"/>
    <w:rsid w:val="00B44206"/>
    <w:rsid w:val="00B44A0D"/>
    <w:rsid w:val="00B451A3"/>
    <w:rsid w:val="00B52D54"/>
    <w:rsid w:val="00B6177F"/>
    <w:rsid w:val="00B62906"/>
    <w:rsid w:val="00B64DF2"/>
    <w:rsid w:val="00B6506C"/>
    <w:rsid w:val="00B74DC7"/>
    <w:rsid w:val="00B752F9"/>
    <w:rsid w:val="00B776B3"/>
    <w:rsid w:val="00B82F0C"/>
    <w:rsid w:val="00B84C5B"/>
    <w:rsid w:val="00B86A13"/>
    <w:rsid w:val="00B954C4"/>
    <w:rsid w:val="00BA0C31"/>
    <w:rsid w:val="00BA352D"/>
    <w:rsid w:val="00BA4725"/>
    <w:rsid w:val="00BA5EAF"/>
    <w:rsid w:val="00BB0082"/>
    <w:rsid w:val="00BB118D"/>
    <w:rsid w:val="00BB203C"/>
    <w:rsid w:val="00BB4D21"/>
    <w:rsid w:val="00BB68D5"/>
    <w:rsid w:val="00BC3935"/>
    <w:rsid w:val="00BD0007"/>
    <w:rsid w:val="00BD56AF"/>
    <w:rsid w:val="00BD7812"/>
    <w:rsid w:val="00BE3C8D"/>
    <w:rsid w:val="00BF2710"/>
    <w:rsid w:val="00C0188B"/>
    <w:rsid w:val="00C168B0"/>
    <w:rsid w:val="00C333B9"/>
    <w:rsid w:val="00C35666"/>
    <w:rsid w:val="00C43077"/>
    <w:rsid w:val="00C462E1"/>
    <w:rsid w:val="00C51828"/>
    <w:rsid w:val="00C5689D"/>
    <w:rsid w:val="00C569AB"/>
    <w:rsid w:val="00C569B4"/>
    <w:rsid w:val="00C57F53"/>
    <w:rsid w:val="00C675F8"/>
    <w:rsid w:val="00C7462A"/>
    <w:rsid w:val="00C85CAB"/>
    <w:rsid w:val="00C874DB"/>
    <w:rsid w:val="00C95419"/>
    <w:rsid w:val="00CA16F2"/>
    <w:rsid w:val="00CA2320"/>
    <w:rsid w:val="00CB45F7"/>
    <w:rsid w:val="00CC157A"/>
    <w:rsid w:val="00CC19D4"/>
    <w:rsid w:val="00CC5421"/>
    <w:rsid w:val="00CC6F66"/>
    <w:rsid w:val="00CC76CE"/>
    <w:rsid w:val="00CD1DE2"/>
    <w:rsid w:val="00CD5F96"/>
    <w:rsid w:val="00CD6C8C"/>
    <w:rsid w:val="00CE3B39"/>
    <w:rsid w:val="00CE7A24"/>
    <w:rsid w:val="00CF2708"/>
    <w:rsid w:val="00D02003"/>
    <w:rsid w:val="00D147D7"/>
    <w:rsid w:val="00D226EE"/>
    <w:rsid w:val="00D3720A"/>
    <w:rsid w:val="00D37735"/>
    <w:rsid w:val="00D41ABF"/>
    <w:rsid w:val="00D443F0"/>
    <w:rsid w:val="00D4541A"/>
    <w:rsid w:val="00D52EFC"/>
    <w:rsid w:val="00D5325D"/>
    <w:rsid w:val="00D53738"/>
    <w:rsid w:val="00D65C5F"/>
    <w:rsid w:val="00D65DE5"/>
    <w:rsid w:val="00D6611A"/>
    <w:rsid w:val="00D70054"/>
    <w:rsid w:val="00D732A9"/>
    <w:rsid w:val="00D73F79"/>
    <w:rsid w:val="00D75D4C"/>
    <w:rsid w:val="00D76C68"/>
    <w:rsid w:val="00D91B3B"/>
    <w:rsid w:val="00D91DB1"/>
    <w:rsid w:val="00D92AE1"/>
    <w:rsid w:val="00DA42FC"/>
    <w:rsid w:val="00DA47DC"/>
    <w:rsid w:val="00DA5621"/>
    <w:rsid w:val="00DA6659"/>
    <w:rsid w:val="00DA73FD"/>
    <w:rsid w:val="00DB3386"/>
    <w:rsid w:val="00DB6EC4"/>
    <w:rsid w:val="00DC0F25"/>
    <w:rsid w:val="00DC1433"/>
    <w:rsid w:val="00DC3840"/>
    <w:rsid w:val="00DC485E"/>
    <w:rsid w:val="00DC78FC"/>
    <w:rsid w:val="00DD0BD1"/>
    <w:rsid w:val="00DD5995"/>
    <w:rsid w:val="00DD5BF8"/>
    <w:rsid w:val="00DD6247"/>
    <w:rsid w:val="00DE1290"/>
    <w:rsid w:val="00DE337D"/>
    <w:rsid w:val="00DE363D"/>
    <w:rsid w:val="00DE454B"/>
    <w:rsid w:val="00DF0080"/>
    <w:rsid w:val="00E21A70"/>
    <w:rsid w:val="00E236A8"/>
    <w:rsid w:val="00E34064"/>
    <w:rsid w:val="00E426CE"/>
    <w:rsid w:val="00E43348"/>
    <w:rsid w:val="00E44613"/>
    <w:rsid w:val="00E44A5A"/>
    <w:rsid w:val="00E55D9D"/>
    <w:rsid w:val="00E56E28"/>
    <w:rsid w:val="00E64263"/>
    <w:rsid w:val="00E84800"/>
    <w:rsid w:val="00E90320"/>
    <w:rsid w:val="00E90578"/>
    <w:rsid w:val="00E95B60"/>
    <w:rsid w:val="00EA168E"/>
    <w:rsid w:val="00EA23FC"/>
    <w:rsid w:val="00EA3DDC"/>
    <w:rsid w:val="00EA60EB"/>
    <w:rsid w:val="00EA6934"/>
    <w:rsid w:val="00EB17F6"/>
    <w:rsid w:val="00EB4AE4"/>
    <w:rsid w:val="00EB557C"/>
    <w:rsid w:val="00EC0B1D"/>
    <w:rsid w:val="00EC4411"/>
    <w:rsid w:val="00ED1DE5"/>
    <w:rsid w:val="00ED436B"/>
    <w:rsid w:val="00ED67FA"/>
    <w:rsid w:val="00ED6B71"/>
    <w:rsid w:val="00EE0942"/>
    <w:rsid w:val="00EF36B3"/>
    <w:rsid w:val="00EF7BE1"/>
    <w:rsid w:val="00F00800"/>
    <w:rsid w:val="00F009A9"/>
    <w:rsid w:val="00F10C08"/>
    <w:rsid w:val="00F13519"/>
    <w:rsid w:val="00F14EED"/>
    <w:rsid w:val="00F20FC1"/>
    <w:rsid w:val="00F23440"/>
    <w:rsid w:val="00F23F28"/>
    <w:rsid w:val="00F305A5"/>
    <w:rsid w:val="00F415C4"/>
    <w:rsid w:val="00F43770"/>
    <w:rsid w:val="00F4414E"/>
    <w:rsid w:val="00F446FC"/>
    <w:rsid w:val="00F44C6D"/>
    <w:rsid w:val="00F53F25"/>
    <w:rsid w:val="00F54517"/>
    <w:rsid w:val="00F54BA7"/>
    <w:rsid w:val="00F54E43"/>
    <w:rsid w:val="00F65062"/>
    <w:rsid w:val="00F67019"/>
    <w:rsid w:val="00F73E81"/>
    <w:rsid w:val="00F75169"/>
    <w:rsid w:val="00F811A7"/>
    <w:rsid w:val="00F843F4"/>
    <w:rsid w:val="00F94058"/>
    <w:rsid w:val="00F9627F"/>
    <w:rsid w:val="00FA2329"/>
    <w:rsid w:val="00FA4762"/>
    <w:rsid w:val="00FA7B20"/>
    <w:rsid w:val="00FB324D"/>
    <w:rsid w:val="00FC5EA9"/>
    <w:rsid w:val="00FC7CC5"/>
    <w:rsid w:val="00FD5B12"/>
    <w:rsid w:val="00FE6AF5"/>
    <w:rsid w:val="00FF5410"/>
    <w:rsid w:val="00FF5FEF"/>
    <w:rsid w:val="00FF7834"/>
    <w:rsid w:val="00FF7B4C"/>
    <w:rsid w:val="20A166A4"/>
    <w:rsid w:val="2C861018"/>
    <w:rsid w:val="39D8294A"/>
    <w:rsid w:val="5E2D3A0C"/>
    <w:rsid w:val="731109FF"/>
    <w:rsid w:val="7BCE0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footnote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A3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rsid w:val="00B451A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qFormat/>
    <w:rsid w:val="00B451A3"/>
    <w:pPr>
      <w:shd w:val="clear" w:color="auto" w:fill="000080"/>
    </w:pPr>
  </w:style>
  <w:style w:type="paragraph" w:styleId="a4">
    <w:name w:val="Balloon Text"/>
    <w:basedOn w:val="a"/>
    <w:link w:val="Char"/>
    <w:autoRedefine/>
    <w:uiPriority w:val="99"/>
    <w:semiHidden/>
    <w:unhideWhenUsed/>
    <w:qFormat/>
    <w:rsid w:val="00B451A3"/>
    <w:rPr>
      <w:sz w:val="18"/>
      <w:szCs w:val="18"/>
    </w:rPr>
  </w:style>
  <w:style w:type="paragraph" w:styleId="a5">
    <w:name w:val="footer"/>
    <w:basedOn w:val="a"/>
    <w:link w:val="Char0"/>
    <w:autoRedefine/>
    <w:qFormat/>
    <w:rsid w:val="00B451A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1"/>
    <w:qFormat/>
    <w:rsid w:val="00B45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note text"/>
    <w:basedOn w:val="a"/>
    <w:link w:val="Char2"/>
    <w:autoRedefine/>
    <w:qFormat/>
    <w:rsid w:val="00B451A3"/>
    <w:pPr>
      <w:snapToGrid w:val="0"/>
      <w:jc w:val="left"/>
    </w:pPr>
    <w:rPr>
      <w:rFonts w:ascii="Times New Roman" w:hAnsi="Times New Roman"/>
      <w:sz w:val="18"/>
    </w:rPr>
  </w:style>
  <w:style w:type="character" w:styleId="a8">
    <w:name w:val="footnote reference"/>
    <w:autoRedefine/>
    <w:qFormat/>
    <w:rsid w:val="00B451A3"/>
    <w:rPr>
      <w:vertAlign w:val="superscript"/>
    </w:rPr>
  </w:style>
  <w:style w:type="character" w:customStyle="1" w:styleId="Char1">
    <w:name w:val="页眉 Char"/>
    <w:link w:val="a6"/>
    <w:autoRedefine/>
    <w:qFormat/>
    <w:rsid w:val="00B451A3"/>
    <w:rPr>
      <w:kern w:val="2"/>
      <w:sz w:val="18"/>
    </w:rPr>
  </w:style>
  <w:style w:type="character" w:customStyle="1" w:styleId="Char2">
    <w:name w:val="脚注文本 Char"/>
    <w:link w:val="a7"/>
    <w:qFormat/>
    <w:rsid w:val="00B451A3"/>
    <w:rPr>
      <w:rFonts w:ascii="Times New Roman" w:hAnsi="Times New Roman"/>
      <w:kern w:val="2"/>
      <w:sz w:val="18"/>
    </w:rPr>
  </w:style>
  <w:style w:type="character" w:customStyle="1" w:styleId="Char0">
    <w:name w:val="页脚 Char"/>
    <w:link w:val="a5"/>
    <w:autoRedefine/>
    <w:qFormat/>
    <w:rsid w:val="00B451A3"/>
    <w:rPr>
      <w:kern w:val="2"/>
      <w:sz w:val="18"/>
    </w:rPr>
  </w:style>
  <w:style w:type="character" w:customStyle="1" w:styleId="2Char">
    <w:name w:val="标题 2 Char"/>
    <w:link w:val="2"/>
    <w:qFormat/>
    <w:rsid w:val="00B451A3"/>
    <w:rPr>
      <w:rFonts w:ascii="Arial" w:eastAsia="黑体" w:hAnsi="Arial"/>
      <w:b/>
      <w:kern w:val="2"/>
      <w:sz w:val="32"/>
    </w:rPr>
  </w:style>
  <w:style w:type="paragraph" w:customStyle="1" w:styleId="Char3">
    <w:name w:val="Char"/>
    <w:basedOn w:val="a"/>
    <w:qFormat/>
    <w:rsid w:val="00B451A3"/>
    <w:rPr>
      <w:sz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B451A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</Words>
  <Characters>1100</Characters>
  <Application>Microsoft Office Word</Application>
  <DocSecurity>4</DocSecurity>
  <Lines>9</Lines>
  <Paragraphs>2</Paragraphs>
  <ScaleCrop>false</ScaleCrop>
  <Company>CNSTOCK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2022-05-10T08:15:00Z</cp:lastPrinted>
  <dcterms:created xsi:type="dcterms:W3CDTF">2024-12-01T16:01:00Z</dcterms:created>
  <dcterms:modified xsi:type="dcterms:W3CDTF">2024-12-01T16:01:00Z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AA834D3DE42045898B89E4F007E3AB12_13</vt:lpwstr>
  </property>
</Properties>
</file>