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4E17" w:rsidRPr="00334284" w:rsidRDefault="000140D4">
      <w:pPr>
        <w:pStyle w:val="div"/>
        <w:wordWrap w:val="0"/>
        <w:jc w:val="center"/>
        <w:rPr>
          <w:rFonts w:asciiTheme="minorEastAsia" w:eastAsiaTheme="minorEastAsia" w:hAnsiTheme="minorEastAsia" w:cs="宋体"/>
          <w:kern w:val="0"/>
          <w:sz w:val="28"/>
          <w:szCs w:val="28"/>
        </w:rPr>
      </w:pPr>
      <w:r w:rsidRPr="00334284">
        <w:rPr>
          <w:rFonts w:asciiTheme="minorEastAsia" w:eastAsiaTheme="minorEastAsia" w:hAnsiTheme="minorEastAsia" w:cs="宋体"/>
          <w:b/>
          <w:bCs/>
          <w:kern w:val="0"/>
          <w:sz w:val="28"/>
          <w:szCs w:val="28"/>
        </w:rPr>
        <w:t>浦银安盛红利量化选股混合型证券投资基金</w:t>
      </w:r>
    </w:p>
    <w:p w:rsidR="00404E17" w:rsidRPr="00334284" w:rsidRDefault="000140D4">
      <w:pPr>
        <w:pStyle w:val="div"/>
        <w:wordWrap w:val="0"/>
        <w:spacing w:line="360" w:lineRule="auto"/>
        <w:ind w:firstLine="560"/>
        <w:jc w:val="center"/>
        <w:rPr>
          <w:rFonts w:asciiTheme="minorEastAsia" w:eastAsiaTheme="minorEastAsia" w:hAnsiTheme="minorEastAsia"/>
          <w:kern w:val="0"/>
          <w:sz w:val="28"/>
          <w:szCs w:val="28"/>
        </w:rPr>
      </w:pPr>
      <w:r w:rsidRPr="00334284">
        <w:rPr>
          <w:rFonts w:asciiTheme="minorEastAsia" w:eastAsiaTheme="minorEastAsia" w:hAnsiTheme="minorEastAsia" w:cs="宋体"/>
          <w:b/>
          <w:bCs/>
          <w:kern w:val="0"/>
          <w:sz w:val="28"/>
          <w:szCs w:val="28"/>
        </w:rPr>
        <w:t>基金合同生效公告</w:t>
      </w:r>
      <w:bookmarkStart w:id="0" w:name="_GoBack"/>
      <w:bookmarkEnd w:id="0"/>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wordWrap w:val="0"/>
        <w:spacing w:line="360" w:lineRule="auto"/>
        <w:ind w:firstLine="480"/>
        <w:jc w:val="center"/>
        <w:rPr>
          <w:rFonts w:asciiTheme="minorEastAsia" w:eastAsiaTheme="minorEastAsia" w:hAnsiTheme="minorEastAsia"/>
          <w:kern w:val="0"/>
          <w:sz w:val="24"/>
          <w:szCs w:val="24"/>
        </w:rPr>
      </w:pPr>
      <w:r w:rsidRPr="00334284">
        <w:rPr>
          <w:rFonts w:asciiTheme="minorEastAsia" w:eastAsiaTheme="minorEastAsia" w:hAnsiTheme="minorEastAsia" w:cs="宋体"/>
          <w:b/>
          <w:bCs/>
          <w:kern w:val="0"/>
          <w:sz w:val="24"/>
          <w:szCs w:val="24"/>
        </w:rPr>
        <w:t>公告送出日期：</w:t>
      </w:r>
      <w:r w:rsidRPr="00334284">
        <w:rPr>
          <w:rStyle w:val="custom"/>
          <w:rFonts w:asciiTheme="minorEastAsia" w:eastAsiaTheme="minorEastAsia" w:hAnsiTheme="minorEastAsia" w:cs="宋体"/>
          <w:b/>
          <w:bCs/>
          <w:kern w:val="0"/>
          <w:sz w:val="24"/>
          <w:szCs w:val="24"/>
        </w:rPr>
        <w:t>2024年11月30日</w:t>
      </w:r>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wordWrap w:val="0"/>
        <w:spacing w:line="360" w:lineRule="auto"/>
        <w:ind w:firstLine="480"/>
        <w:rPr>
          <w:rFonts w:asciiTheme="minorEastAsia" w:eastAsiaTheme="minorEastAsia" w:hAnsiTheme="minorEastAsia"/>
          <w:kern w:val="0"/>
          <w:sz w:val="24"/>
          <w:szCs w:val="24"/>
        </w:rPr>
      </w:pPr>
      <w:r w:rsidRPr="00334284">
        <w:rPr>
          <w:rFonts w:asciiTheme="minorEastAsia" w:eastAsiaTheme="minorEastAsia" w:hAnsiTheme="minorEastAsia" w:cs="宋体"/>
          <w:b/>
          <w:bCs/>
          <w:kern w:val="0"/>
          <w:sz w:val="24"/>
          <w:szCs w:val="24"/>
        </w:rPr>
        <w:t>1 公告基本信息</w:t>
      </w:r>
    </w:p>
    <w:tbl>
      <w:tblPr>
        <w:tblStyle w:val="table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tblPr>
      <w:tblGrid>
        <w:gridCol w:w="2559"/>
        <w:gridCol w:w="2983"/>
        <w:gridCol w:w="2986"/>
      </w:tblGrid>
      <w:tr w:rsidR="00404E17" w:rsidRPr="00334284" w:rsidTr="00B321A2">
        <w:trPr>
          <w:jc w:val="center"/>
        </w:trPr>
        <w:tc>
          <w:tcPr>
            <w:tcW w:w="2555" w:type="dxa"/>
            <w:tcMar>
              <w:top w:w="106"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基金名称</w:t>
            </w:r>
          </w:p>
        </w:tc>
        <w:tc>
          <w:tcPr>
            <w:tcW w:w="5957" w:type="dxa"/>
            <w:gridSpan w:val="2"/>
            <w:tcMar>
              <w:top w:w="106"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浦银安盛红利量化选股混合型证券投资基金</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基金简称</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浦银安盛红利量化混合</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基金主代码</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022488</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基金运作方式</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契约型开放式</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基金合同生效日</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2024年11月29日 </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基金管理人名称</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浦银安盛基金管理有限公司</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基金托管人名称</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中国建设银行股份有限公司</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公告依据</w:t>
            </w:r>
          </w:p>
        </w:tc>
        <w:tc>
          <w:tcPr>
            <w:tcW w:w="5957" w:type="dxa"/>
            <w:gridSpan w:val="2"/>
            <w:tcMar>
              <w:top w:w="104" w:type="dxa"/>
              <w:left w:w="108" w:type="dxa"/>
              <w:bottom w:w="104" w:type="dxa"/>
              <w:right w:w="111"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《中华人民共和国证券投资基金法》及其配套法规、《浦银安盛红利量化选股混合型证券投资基金基金合同》、《浦银安盛红利量化选股混合型证券投资基金招募说明书》等。</w:t>
            </w:r>
          </w:p>
        </w:tc>
      </w:tr>
      <w:tr w:rsidR="00404E17" w:rsidRPr="00334284" w:rsidTr="00B321A2">
        <w:trPr>
          <w:jc w:val="center"/>
        </w:trPr>
        <w:tc>
          <w:tcPr>
            <w:tcW w:w="2555" w:type="dxa"/>
            <w:tcMar>
              <w:top w:w="104" w:type="dxa"/>
              <w:left w:w="111" w:type="dxa"/>
              <w:bottom w:w="104" w:type="dxa"/>
              <w:right w:w="108" w:type="dxa"/>
            </w:tcMa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下属分级基金的基金简称</w:t>
            </w:r>
          </w:p>
        </w:tc>
        <w:tc>
          <w:tcPr>
            <w:tcW w:w="2977" w:type="dxa"/>
            <w:tcMar>
              <w:top w:w="104" w:type="dxa"/>
              <w:left w:w="108" w:type="dxa"/>
              <w:bottom w:w="104" w:type="dxa"/>
              <w:right w:w="108"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浦银安盛红利量化混合A</w:t>
            </w:r>
          </w:p>
        </w:tc>
        <w:tc>
          <w:tcPr>
            <w:tcW w:w="2980" w:type="dxa"/>
            <w:tcMar>
              <w:top w:w="104" w:type="dxa"/>
              <w:left w:w="108" w:type="dxa"/>
              <w:bottom w:w="104" w:type="dxa"/>
              <w:right w:w="111"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浦银安盛红利量化混合C</w:t>
            </w:r>
          </w:p>
        </w:tc>
      </w:tr>
      <w:tr w:rsidR="00404E17" w:rsidRPr="00334284" w:rsidTr="00B321A2">
        <w:trPr>
          <w:jc w:val="center"/>
        </w:trPr>
        <w:tc>
          <w:tcPr>
            <w:tcW w:w="2555" w:type="dxa"/>
            <w:tcMar>
              <w:top w:w="104" w:type="dxa"/>
              <w:left w:w="111" w:type="dxa"/>
              <w:bottom w:w="106"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下属分级基金的交易代码</w:t>
            </w:r>
          </w:p>
        </w:tc>
        <w:tc>
          <w:tcPr>
            <w:tcW w:w="2977" w:type="dxa"/>
            <w:tcMar>
              <w:top w:w="104" w:type="dxa"/>
              <w:left w:w="108" w:type="dxa"/>
              <w:bottom w:w="106" w:type="dxa"/>
              <w:right w:w="108"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022488</w:t>
            </w:r>
          </w:p>
        </w:tc>
        <w:tc>
          <w:tcPr>
            <w:tcW w:w="2977" w:type="dxa"/>
            <w:tcMar>
              <w:top w:w="104" w:type="dxa"/>
              <w:left w:w="108" w:type="dxa"/>
              <w:bottom w:w="106" w:type="dxa"/>
              <w:right w:w="108"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022489</w:t>
            </w:r>
          </w:p>
        </w:tc>
      </w:tr>
    </w:tbl>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注：自基金合同生效之日起，本基金管理人正式开始管理本基金。</w:t>
      </w:r>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wordWrap w:val="0"/>
        <w:spacing w:line="360" w:lineRule="auto"/>
        <w:ind w:firstLine="480"/>
        <w:rPr>
          <w:rFonts w:asciiTheme="minorEastAsia" w:eastAsiaTheme="minorEastAsia" w:hAnsiTheme="minorEastAsia"/>
          <w:kern w:val="0"/>
          <w:sz w:val="24"/>
          <w:szCs w:val="24"/>
        </w:rPr>
      </w:pPr>
      <w:r w:rsidRPr="00334284">
        <w:rPr>
          <w:rFonts w:asciiTheme="minorEastAsia" w:eastAsiaTheme="minorEastAsia" w:hAnsiTheme="minorEastAsia" w:cs="宋体"/>
          <w:b/>
          <w:bCs/>
          <w:kern w:val="0"/>
          <w:sz w:val="24"/>
          <w:szCs w:val="24"/>
        </w:rPr>
        <w:t>2 基金募集情况</w:t>
      </w:r>
    </w:p>
    <w:tbl>
      <w:tblPr>
        <w:tblStyle w:val="table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1305"/>
        <w:gridCol w:w="1252"/>
        <w:gridCol w:w="1946"/>
        <w:gridCol w:w="1944"/>
        <w:gridCol w:w="2081"/>
      </w:tblGrid>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6"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基金募集申请获中国证监会准予注册的文号</w:t>
            </w:r>
          </w:p>
        </w:tc>
        <w:tc>
          <w:tcPr>
            <w:tcW w:w="0" w:type="auto"/>
            <w:gridSpan w:val="3"/>
            <w:tcBorders>
              <w:top w:val="single" w:sz="4" w:space="0" w:color="auto"/>
              <w:left w:val="single" w:sz="4" w:space="0" w:color="auto"/>
              <w:bottom w:val="single" w:sz="4" w:space="0" w:color="auto"/>
              <w:right w:val="single" w:sz="4" w:space="0" w:color="auto"/>
            </w:tcBorders>
            <w:tcMar>
              <w:top w:w="106"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证监许可〔2024〕1455号</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lastRenderedPageBreak/>
              <w:t>基金募集期间</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自2024年11月7日至2024年11月27日止</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验资机构名称</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毕马威华振会计师事务所（特殊普通合伙）</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募集资金划入基金托管专户的日期</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2024年11月29日 </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募集有效认购总户数（单位：户）</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F16221">
            <w:pPr>
              <w:pStyle w:val="div"/>
              <w:jc w:val="center"/>
              <w:rPr>
                <w:rFonts w:asciiTheme="minorEastAsia" w:eastAsiaTheme="minorEastAsia" w:hAnsiTheme="minorEastAsia"/>
                <w:color w:val="000000"/>
                <w:kern w:val="0"/>
                <w:szCs w:val="21"/>
              </w:rPr>
            </w:pPr>
            <w:r w:rsidRPr="00F16221">
              <w:rPr>
                <w:rFonts w:asciiTheme="minorEastAsia" w:eastAsiaTheme="minorEastAsia" w:hAnsiTheme="minorEastAsia" w:cs="宋体"/>
                <w:color w:val="000000"/>
                <w:kern w:val="0"/>
                <w:szCs w:val="21"/>
              </w:rPr>
              <w:t>6,053</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份额级别</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浦银安盛红利量化混合A</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浦银安盛红利量化混合C</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spacing w:line="360" w:lineRule="auto"/>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合计</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jc w:val="left"/>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募集期间净认购金额（单位：元）</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354,338,541.91</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664,357,058.77</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1,018,695,600.68</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jc w:val="left"/>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认购资金在募集期间产生的利息（单位：元）</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142,625.62</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282,112.61</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424,738.23</w:t>
            </w:r>
          </w:p>
        </w:tc>
      </w:tr>
      <w:tr w:rsidR="00404E17" w:rsidRPr="00334284" w:rsidTr="00B321A2">
        <w:trPr>
          <w:jc w:val="center"/>
        </w:trPr>
        <w:tc>
          <w:tcPr>
            <w:tcW w:w="765" w:type="pct"/>
            <w:vMerge w:val="restart"/>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募集份额（单位：份）</w:t>
            </w: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有效认购份额</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354,338,541.91</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664,357,058.77</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1,018,695,600.68</w:t>
            </w:r>
          </w:p>
        </w:tc>
      </w:tr>
      <w:tr w:rsidR="00404E17" w:rsidRPr="00334284" w:rsidTr="00B321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E17" w:rsidRPr="00334284" w:rsidRDefault="00404E17">
            <w:pPr>
              <w:rPr>
                <w:rFonts w:asciiTheme="minorEastAsia" w:eastAsiaTheme="minorEastAsia" w:hAnsiTheme="minorEastAsia"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利息结转的份额</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142,625.62</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282,112.61</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424,738.23</w:t>
            </w:r>
          </w:p>
        </w:tc>
      </w:tr>
      <w:tr w:rsidR="00404E17" w:rsidRPr="00334284" w:rsidTr="00B321A2">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E17" w:rsidRPr="00334284" w:rsidRDefault="00404E17">
            <w:pPr>
              <w:rPr>
                <w:rFonts w:asciiTheme="minorEastAsia" w:eastAsiaTheme="minorEastAsia" w:hAnsiTheme="minorEastAsia"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合计</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354,481,167.53</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664,639,171.38</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1,019,120,338.91</w:t>
            </w:r>
          </w:p>
        </w:tc>
      </w:tr>
      <w:tr w:rsidR="00404E17" w:rsidRPr="00334284" w:rsidTr="00B321A2">
        <w:trPr>
          <w:jc w:val="center"/>
        </w:trPr>
        <w:tc>
          <w:tcPr>
            <w:tcW w:w="765" w:type="pct"/>
            <w:vMerge w:val="restart"/>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其中：募集期间基金管理人运用固有资金认购本基金情况</w:t>
            </w: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认购的基金份额（单位：份）</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w:t>
            </w:r>
          </w:p>
        </w:tc>
      </w:tr>
      <w:tr w:rsidR="00404E17" w:rsidRPr="00334284" w:rsidTr="00B321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E17" w:rsidRPr="00334284" w:rsidRDefault="00404E17">
            <w:pPr>
              <w:rPr>
                <w:rFonts w:asciiTheme="minorEastAsia" w:eastAsiaTheme="minorEastAsia" w:hAnsiTheme="minorEastAsia"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占基金总份额比例</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w:t>
            </w:r>
          </w:p>
        </w:tc>
      </w:tr>
      <w:tr w:rsidR="00404E17" w:rsidRPr="00334284" w:rsidTr="00B321A2">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E17" w:rsidRPr="00334284" w:rsidRDefault="00404E17">
            <w:pPr>
              <w:rPr>
                <w:rFonts w:asciiTheme="minorEastAsia" w:eastAsiaTheme="minorEastAsia" w:hAnsiTheme="minorEastAsia"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其他需要</w:t>
            </w:r>
            <w:r w:rsidRPr="00334284">
              <w:rPr>
                <w:rFonts w:asciiTheme="minorEastAsia" w:eastAsiaTheme="minorEastAsia" w:hAnsiTheme="minorEastAsia" w:cs="宋体"/>
                <w:color w:val="000000"/>
                <w:kern w:val="0"/>
                <w:szCs w:val="21"/>
              </w:rPr>
              <w:lastRenderedPageBreak/>
              <w:t>说明的事项</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lastRenderedPageBreak/>
              <w:t>无</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无</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无</w:t>
            </w:r>
          </w:p>
        </w:tc>
      </w:tr>
      <w:tr w:rsidR="00404E17" w:rsidRPr="00334284" w:rsidTr="00B321A2">
        <w:trPr>
          <w:trHeight w:val="688"/>
          <w:jc w:val="center"/>
        </w:trPr>
        <w:tc>
          <w:tcPr>
            <w:tcW w:w="765" w:type="pct"/>
            <w:vMerge w:val="restart"/>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lastRenderedPageBreak/>
              <w:t>其中：募集期间基金管理人的从业人员认购本基金情况</w:t>
            </w: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认购的基金份额（单位：份）</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0.99</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10,021.10</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10,022.09</w:t>
            </w:r>
          </w:p>
        </w:tc>
      </w:tr>
      <w:tr w:rsidR="00404E17" w:rsidRPr="00334284" w:rsidTr="00B321A2">
        <w:trPr>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E17" w:rsidRPr="00334284" w:rsidRDefault="00404E17">
            <w:pPr>
              <w:rPr>
                <w:rFonts w:asciiTheme="minorEastAsia" w:eastAsiaTheme="minorEastAsia" w:hAnsiTheme="minorEastAsia"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占基金总份额比例</w:t>
            </w:r>
          </w:p>
        </w:tc>
        <w:tc>
          <w:tcPr>
            <w:tcW w:w="1141"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0.0000002%</w:t>
            </w:r>
          </w:p>
        </w:tc>
        <w:tc>
          <w:tcPr>
            <w:tcW w:w="114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08"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0.001%</w:t>
            </w:r>
          </w:p>
        </w:tc>
        <w:tc>
          <w:tcPr>
            <w:tcW w:w="1220" w:type="pct"/>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0.001%</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4"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募集期限届满基金是否符合法律法规规定的办理基金备案手续的条件</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4"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是</w:t>
            </w:r>
          </w:p>
        </w:tc>
      </w:tr>
      <w:tr w:rsidR="00404E17" w:rsidRPr="00334284" w:rsidTr="00B321A2">
        <w:trPr>
          <w:jc w:val="center"/>
        </w:trPr>
        <w:tc>
          <w:tcPr>
            <w:tcW w:w="0" w:type="auto"/>
            <w:gridSpan w:val="2"/>
            <w:tcBorders>
              <w:top w:val="single" w:sz="4" w:space="0" w:color="auto"/>
              <w:left w:val="single" w:sz="4" w:space="0" w:color="auto"/>
              <w:bottom w:val="single" w:sz="4" w:space="0" w:color="auto"/>
              <w:right w:val="single" w:sz="4" w:space="0" w:color="auto"/>
            </w:tcBorders>
            <w:tcMar>
              <w:top w:w="104" w:type="dxa"/>
              <w:left w:w="111" w:type="dxa"/>
              <w:bottom w:w="106" w:type="dxa"/>
              <w:right w:w="108" w:type="dxa"/>
            </w:tcMar>
            <w:vAlign w:val="center"/>
            <w:hideMark/>
          </w:tcPr>
          <w:p w:rsidR="00404E17" w:rsidRPr="00334284" w:rsidRDefault="000140D4">
            <w:pPr>
              <w:pStyle w:val="div"/>
              <w:spacing w:line="360" w:lineRule="auto"/>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向中国证监会办理基金备案手续获得书面确认的日期</w:t>
            </w:r>
          </w:p>
        </w:tc>
        <w:tc>
          <w:tcPr>
            <w:tcW w:w="0" w:type="auto"/>
            <w:gridSpan w:val="3"/>
            <w:tcBorders>
              <w:top w:val="single" w:sz="4" w:space="0" w:color="auto"/>
              <w:left w:val="single" w:sz="4" w:space="0" w:color="auto"/>
              <w:bottom w:val="single" w:sz="4" w:space="0" w:color="auto"/>
              <w:right w:val="single" w:sz="4" w:space="0" w:color="auto"/>
            </w:tcBorders>
            <w:tcMar>
              <w:top w:w="104" w:type="dxa"/>
              <w:left w:w="108" w:type="dxa"/>
              <w:bottom w:w="106" w:type="dxa"/>
              <w:right w:w="111" w:type="dxa"/>
            </w:tcMar>
            <w:vAlign w:val="center"/>
            <w:hideMark/>
          </w:tcPr>
          <w:p w:rsidR="00404E17" w:rsidRPr="00334284" w:rsidRDefault="000140D4">
            <w:pPr>
              <w:pStyle w:val="div"/>
              <w:jc w:val="center"/>
              <w:rPr>
                <w:rFonts w:asciiTheme="minorEastAsia" w:eastAsiaTheme="minorEastAsia" w:hAnsiTheme="minorEastAsia"/>
                <w:color w:val="000000"/>
                <w:kern w:val="0"/>
                <w:szCs w:val="21"/>
              </w:rPr>
            </w:pPr>
            <w:r w:rsidRPr="00334284">
              <w:rPr>
                <w:rFonts w:asciiTheme="minorEastAsia" w:eastAsiaTheme="minorEastAsia" w:hAnsiTheme="minorEastAsia" w:cs="宋体"/>
                <w:color w:val="000000"/>
                <w:kern w:val="0"/>
                <w:szCs w:val="21"/>
              </w:rPr>
              <w:t>2024年11月29日 </w:t>
            </w:r>
          </w:p>
        </w:tc>
      </w:tr>
    </w:tbl>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注：1、按照有关法律规定，本基金募集期间的律师费、会计师费、信息披露费由基金管理人承担，不从基金资产中支付。</w:t>
      </w:r>
    </w:p>
    <w:p w:rsidR="00404E17" w:rsidRPr="00334284" w:rsidRDefault="000140D4">
      <w:pPr>
        <w:pStyle w:val="div"/>
        <w:wordWrap w:val="0"/>
        <w:spacing w:line="360" w:lineRule="auto"/>
        <w:ind w:firstLine="420"/>
        <w:rPr>
          <w:rFonts w:asciiTheme="minorEastAsia" w:eastAsiaTheme="minorEastAsia" w:hAnsiTheme="minorEastAsia" w:cs="宋体"/>
          <w:kern w:val="0"/>
          <w:szCs w:val="21"/>
        </w:rPr>
      </w:pPr>
      <w:r w:rsidRPr="00334284">
        <w:rPr>
          <w:rFonts w:asciiTheme="minorEastAsia" w:eastAsiaTheme="minorEastAsia" w:hAnsiTheme="minorEastAsia" w:cs="宋体"/>
          <w:kern w:val="0"/>
          <w:szCs w:val="21"/>
        </w:rPr>
        <w:t>2、本基金管理人高级管理人员、基金投资和研究部门负责人未持有本基金，本基金的基金经理未持有本基金。</w:t>
      </w:r>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b/>
          <w:bCs/>
          <w:kern w:val="0"/>
          <w:szCs w:val="21"/>
        </w:rPr>
        <w:t>3 其他需要提示的事项</w:t>
      </w: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（1）基金份额持有人可以到销售机构的网点进行交易确认单的查询和打印，也可以通过本基金管理人的网站（www.py-axa.com）或客户服务电话（400－8828－999或021-3307-9999）查询交易确认情况。</w:t>
      </w: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2）基金合同生效后，基金管理人在满足监管要求的情况下，根据本基金运作的需要决定本基金开始办理申购的具体日期，具体业务办理时间在相关公告中规定。基金合同生效后，基金管理人在满足监管要求的情况下，根据本基金运作的需要决定本基金开始办理赎回的具体日期，具体业务办理时间</w:t>
      </w:r>
      <w:r w:rsidR="00BE69E6" w:rsidRPr="00334284">
        <w:rPr>
          <w:rFonts w:asciiTheme="minorEastAsia" w:eastAsiaTheme="minorEastAsia" w:hAnsiTheme="minorEastAsia" w:cs="宋体" w:hint="eastAsia"/>
          <w:kern w:val="0"/>
          <w:szCs w:val="21"/>
        </w:rPr>
        <w:t>在</w:t>
      </w:r>
      <w:r w:rsidRPr="00334284">
        <w:rPr>
          <w:rFonts w:asciiTheme="minorEastAsia" w:eastAsiaTheme="minorEastAsia" w:hAnsiTheme="minorEastAsia" w:cs="宋体"/>
          <w:kern w:val="0"/>
          <w:szCs w:val="21"/>
        </w:rPr>
        <w:t>相关公告中规定。在确定申购开始与赎回开始时间后，基金管理人应在申购、赎回开放日前依照《公开募集证券投资基金信息披露管理办法》的有关规定在规定媒介上公告申购与赎回的开始时间。</w:t>
      </w:r>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b/>
          <w:bCs/>
          <w:kern w:val="0"/>
          <w:szCs w:val="21"/>
        </w:rPr>
        <w:t>风险提示：</w:t>
      </w: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本公司承诺以诚实信用、勤勉尽责的原则管理和运用基金资产，但不保证基金一定盈利，也不保证最低收益。敬请投资者于投资前认真阅读本基金的《基金合同》和《招募说明书》等法律文件，提请投资者注意投资风险。</w:t>
      </w:r>
    </w:p>
    <w:p w:rsidR="00404E17" w:rsidRPr="00334284" w:rsidRDefault="000140D4">
      <w:pPr>
        <w:pStyle w:val="div"/>
        <w:wordWrap w:val="0"/>
        <w:spacing w:line="360" w:lineRule="auto"/>
        <w:ind w:firstLine="420"/>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特此公告。</w:t>
      </w:r>
    </w:p>
    <w:p w:rsidR="00404E17" w:rsidRPr="00334284" w:rsidRDefault="00404E17">
      <w:pPr>
        <w:pStyle w:val="p"/>
        <w:wordWrap w:val="0"/>
        <w:spacing w:line="360" w:lineRule="auto"/>
        <w:ind w:firstLine="420"/>
        <w:rPr>
          <w:rFonts w:asciiTheme="minorEastAsia" w:eastAsiaTheme="minorEastAsia" w:hAnsiTheme="minorEastAsia"/>
          <w:kern w:val="0"/>
          <w:szCs w:val="21"/>
        </w:rPr>
      </w:pPr>
    </w:p>
    <w:p w:rsidR="00404E17" w:rsidRPr="00334284" w:rsidRDefault="000140D4">
      <w:pPr>
        <w:pStyle w:val="div"/>
        <w:spacing w:line="360" w:lineRule="auto"/>
        <w:ind w:firstLine="420"/>
        <w:jc w:val="right"/>
        <w:rPr>
          <w:rFonts w:asciiTheme="minorEastAsia" w:eastAsiaTheme="minorEastAsia" w:hAnsiTheme="minorEastAsia"/>
          <w:kern w:val="0"/>
          <w:szCs w:val="21"/>
        </w:rPr>
      </w:pPr>
      <w:r w:rsidRPr="00334284">
        <w:rPr>
          <w:rFonts w:asciiTheme="minorEastAsia" w:eastAsiaTheme="minorEastAsia" w:hAnsiTheme="minorEastAsia" w:cs="宋体"/>
          <w:kern w:val="0"/>
          <w:szCs w:val="21"/>
        </w:rPr>
        <w:t>浦银安盛基金管理有限公司</w:t>
      </w:r>
    </w:p>
    <w:p w:rsidR="00404E17" w:rsidRPr="00334284" w:rsidRDefault="000140D4">
      <w:pPr>
        <w:pStyle w:val="div"/>
        <w:jc w:val="right"/>
        <w:rPr>
          <w:rFonts w:asciiTheme="minorEastAsia" w:eastAsiaTheme="minorEastAsia" w:hAnsiTheme="minorEastAsia" w:cs="宋体"/>
          <w:kern w:val="0"/>
          <w:szCs w:val="21"/>
        </w:rPr>
      </w:pPr>
      <w:r w:rsidRPr="00334284">
        <w:rPr>
          <w:rFonts w:asciiTheme="minorEastAsia" w:eastAsiaTheme="minorEastAsia" w:hAnsiTheme="minorEastAsia" w:cs="宋体"/>
          <w:kern w:val="0"/>
          <w:szCs w:val="21"/>
        </w:rPr>
        <w:t>2024年11月30日</w:t>
      </w:r>
    </w:p>
    <w:sectPr w:rsidR="00404E17" w:rsidRPr="00334284" w:rsidSect="006E217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98" w:rsidRDefault="00C20198">
      <w:r>
        <w:separator/>
      </w:r>
    </w:p>
  </w:endnote>
  <w:endnote w:type="continuationSeparator" w:id="0">
    <w:p w:rsidR="00C20198" w:rsidRDefault="00C20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7" w:rsidRDefault="006E2171">
    <w:pPr>
      <w:pStyle w:val="a9"/>
      <w:jc w:val="center"/>
      <w:rPr>
        <w:color w:val="000000" w:themeColor="text1"/>
      </w:rPr>
    </w:pPr>
    <w:r>
      <w:rPr>
        <w:color w:val="000000" w:themeColor="text1"/>
      </w:rPr>
      <w:fldChar w:fldCharType="begin"/>
    </w:r>
    <w:r w:rsidR="000140D4">
      <w:rPr>
        <w:color w:val="000000" w:themeColor="text1"/>
      </w:rPr>
      <w:instrText>PAGE   \* MERGEFORMAT</w:instrText>
    </w:r>
    <w:r>
      <w:rPr>
        <w:color w:val="000000" w:themeColor="text1"/>
      </w:rPr>
      <w:fldChar w:fldCharType="separate"/>
    </w:r>
    <w:r w:rsidR="00093EFE" w:rsidRPr="00093EFE">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98" w:rsidRDefault="00C20198">
      <w:r>
        <w:separator/>
      </w:r>
    </w:p>
  </w:footnote>
  <w:footnote w:type="continuationSeparator" w:id="0">
    <w:p w:rsidR="00C20198" w:rsidRDefault="00C20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0D4"/>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26BB"/>
    <w:rsid w:val="0006588B"/>
    <w:rsid w:val="00067658"/>
    <w:rsid w:val="000700C4"/>
    <w:rsid w:val="00072899"/>
    <w:rsid w:val="0007536D"/>
    <w:rsid w:val="00080338"/>
    <w:rsid w:val="00085738"/>
    <w:rsid w:val="0008618A"/>
    <w:rsid w:val="00087617"/>
    <w:rsid w:val="00090C27"/>
    <w:rsid w:val="00093C4F"/>
    <w:rsid w:val="00093E3D"/>
    <w:rsid w:val="00093EFE"/>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4A5A"/>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34284"/>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04E17"/>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6218"/>
    <w:rsid w:val="006D73F3"/>
    <w:rsid w:val="006E0DF1"/>
    <w:rsid w:val="006E19F8"/>
    <w:rsid w:val="006E2171"/>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5328"/>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21A2"/>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9E6"/>
    <w:rsid w:val="00BE6E15"/>
    <w:rsid w:val="00BF1F0A"/>
    <w:rsid w:val="00BF223F"/>
    <w:rsid w:val="00BF4C43"/>
    <w:rsid w:val="00BF78C9"/>
    <w:rsid w:val="00C00695"/>
    <w:rsid w:val="00C00CBF"/>
    <w:rsid w:val="00C018F5"/>
    <w:rsid w:val="00C019B9"/>
    <w:rsid w:val="00C01A01"/>
    <w:rsid w:val="00C0710F"/>
    <w:rsid w:val="00C17D71"/>
    <w:rsid w:val="00C20198"/>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67B96"/>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62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171"/>
    <w:pPr>
      <w:widowControl w:val="0"/>
      <w:jc w:val="both"/>
    </w:pPr>
    <w:rPr>
      <w:kern w:val="2"/>
      <w:sz w:val="21"/>
      <w:lang w:eastAsia="zh-CN"/>
    </w:rPr>
  </w:style>
  <w:style w:type="paragraph" w:styleId="1">
    <w:name w:val="heading 1"/>
    <w:basedOn w:val="a"/>
    <w:next w:val="a"/>
    <w:link w:val="1Char"/>
    <w:qFormat/>
    <w:rsid w:val="006E217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E217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E217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2171"/>
    <w:pPr>
      <w:ind w:firstLineChars="200" w:firstLine="420"/>
    </w:pPr>
  </w:style>
  <w:style w:type="paragraph" w:styleId="a4">
    <w:name w:val="Document Map"/>
    <w:basedOn w:val="a"/>
    <w:qFormat/>
    <w:rsid w:val="006E2171"/>
    <w:pPr>
      <w:shd w:val="clear" w:color="auto" w:fill="000080"/>
    </w:pPr>
  </w:style>
  <w:style w:type="paragraph" w:styleId="a5">
    <w:name w:val="annotation text"/>
    <w:basedOn w:val="a"/>
    <w:link w:val="Char"/>
    <w:qFormat/>
    <w:rsid w:val="006E2171"/>
    <w:pPr>
      <w:jc w:val="left"/>
    </w:pPr>
  </w:style>
  <w:style w:type="paragraph" w:styleId="a6">
    <w:name w:val="Body Text"/>
    <w:basedOn w:val="a"/>
    <w:link w:val="Char0"/>
    <w:qFormat/>
    <w:rsid w:val="006E2171"/>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6E2171"/>
    <w:pPr>
      <w:ind w:leftChars="400" w:left="840"/>
    </w:pPr>
  </w:style>
  <w:style w:type="paragraph" w:styleId="a7">
    <w:name w:val="Plain Text"/>
    <w:basedOn w:val="a"/>
    <w:qFormat/>
    <w:rsid w:val="006E2171"/>
    <w:pPr>
      <w:adjustRightInd w:val="0"/>
      <w:spacing w:line="312" w:lineRule="atLeast"/>
      <w:textAlignment w:val="baseline"/>
    </w:pPr>
    <w:rPr>
      <w:rFonts w:ascii="宋体" w:hAnsi="Courier New"/>
      <w:kern w:val="0"/>
    </w:rPr>
  </w:style>
  <w:style w:type="paragraph" w:styleId="20">
    <w:name w:val="Body Text Indent 2"/>
    <w:basedOn w:val="a"/>
    <w:qFormat/>
    <w:rsid w:val="006E2171"/>
    <w:pPr>
      <w:spacing w:line="360" w:lineRule="auto"/>
      <w:ind w:firstLine="425"/>
    </w:pPr>
    <w:rPr>
      <w:rFonts w:ascii="仿宋_GB2312" w:eastAsia="仿宋_GB2312"/>
      <w:sz w:val="28"/>
    </w:rPr>
  </w:style>
  <w:style w:type="paragraph" w:styleId="a8">
    <w:name w:val="Balloon Text"/>
    <w:basedOn w:val="a"/>
    <w:qFormat/>
    <w:rsid w:val="006E2171"/>
    <w:rPr>
      <w:sz w:val="18"/>
    </w:rPr>
  </w:style>
  <w:style w:type="paragraph" w:styleId="a9">
    <w:name w:val="footer"/>
    <w:basedOn w:val="a"/>
    <w:link w:val="Char1"/>
    <w:uiPriority w:val="99"/>
    <w:qFormat/>
    <w:rsid w:val="006E2171"/>
    <w:pPr>
      <w:tabs>
        <w:tab w:val="center" w:pos="4153"/>
        <w:tab w:val="right" w:pos="8306"/>
      </w:tabs>
      <w:snapToGrid w:val="0"/>
      <w:jc w:val="left"/>
    </w:pPr>
    <w:rPr>
      <w:sz w:val="18"/>
    </w:rPr>
  </w:style>
  <w:style w:type="paragraph" w:styleId="aa">
    <w:name w:val="header"/>
    <w:basedOn w:val="a"/>
    <w:link w:val="Char2"/>
    <w:uiPriority w:val="99"/>
    <w:qFormat/>
    <w:rsid w:val="006E217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E2171"/>
    <w:pPr>
      <w:tabs>
        <w:tab w:val="right" w:leader="dot" w:pos="8296"/>
      </w:tabs>
      <w:spacing w:line="360" w:lineRule="auto"/>
    </w:pPr>
  </w:style>
  <w:style w:type="paragraph" w:styleId="ab">
    <w:name w:val="footnote text"/>
    <w:basedOn w:val="a"/>
    <w:qFormat/>
    <w:rsid w:val="006E2171"/>
    <w:pPr>
      <w:snapToGrid w:val="0"/>
      <w:jc w:val="left"/>
    </w:pPr>
    <w:rPr>
      <w:sz w:val="18"/>
    </w:rPr>
  </w:style>
  <w:style w:type="paragraph" w:styleId="31">
    <w:name w:val="Body Text Indent 3"/>
    <w:basedOn w:val="a"/>
    <w:qFormat/>
    <w:rsid w:val="006E2171"/>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6E2171"/>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6E2171"/>
    <w:pPr>
      <w:spacing w:before="240" w:after="60"/>
      <w:jc w:val="center"/>
      <w:outlineLvl w:val="0"/>
    </w:pPr>
    <w:rPr>
      <w:rFonts w:ascii="Cambria" w:hAnsi="Cambria"/>
      <w:b/>
      <w:sz w:val="32"/>
      <w:lang w:val="zh-CN"/>
    </w:rPr>
  </w:style>
  <w:style w:type="paragraph" w:styleId="ae">
    <w:name w:val="annotation subject"/>
    <w:basedOn w:val="a5"/>
    <w:next w:val="a5"/>
    <w:qFormat/>
    <w:rsid w:val="006E2171"/>
    <w:rPr>
      <w:b/>
    </w:rPr>
  </w:style>
  <w:style w:type="character" w:styleId="af">
    <w:name w:val="page number"/>
    <w:basedOn w:val="a0"/>
    <w:rsid w:val="006E2171"/>
  </w:style>
  <w:style w:type="character" w:styleId="af0">
    <w:name w:val="Hyperlink"/>
    <w:qFormat/>
    <w:rsid w:val="006E2171"/>
    <w:rPr>
      <w:color w:val="0000FF"/>
      <w:u w:val="single"/>
    </w:rPr>
  </w:style>
  <w:style w:type="character" w:styleId="af1">
    <w:name w:val="annotation reference"/>
    <w:rsid w:val="006E2171"/>
    <w:rPr>
      <w:sz w:val="21"/>
    </w:rPr>
  </w:style>
  <w:style w:type="character" w:styleId="af2">
    <w:name w:val="footnote reference"/>
    <w:rsid w:val="006E2171"/>
    <w:rPr>
      <w:vertAlign w:val="superscript"/>
    </w:rPr>
  </w:style>
  <w:style w:type="character" w:customStyle="1" w:styleId="Char0">
    <w:name w:val="正文文本 Char"/>
    <w:link w:val="a6"/>
    <w:rsid w:val="006E2171"/>
    <w:rPr>
      <w:rFonts w:ascii="宋体"/>
      <w:lang w:val="zh-CN" w:eastAsia="zh-CN"/>
    </w:rPr>
  </w:style>
  <w:style w:type="character" w:customStyle="1" w:styleId="unnamed11">
    <w:name w:val="unnamed11"/>
    <w:rsid w:val="006E2171"/>
    <w:rPr>
      <w:rFonts w:ascii="宋体" w:eastAsia="宋体" w:hAnsi="宋体" w:hint="eastAsia"/>
      <w:sz w:val="18"/>
    </w:rPr>
  </w:style>
  <w:style w:type="character" w:customStyle="1" w:styleId="Char3">
    <w:name w:val="标题 Char"/>
    <w:link w:val="ad"/>
    <w:rsid w:val="006E2171"/>
    <w:rPr>
      <w:rFonts w:ascii="Cambria" w:hAnsi="Cambria"/>
      <w:b/>
      <w:kern w:val="2"/>
      <w:sz w:val="32"/>
      <w:lang w:val="zh-CN" w:eastAsia="zh-CN"/>
    </w:rPr>
  </w:style>
  <w:style w:type="character" w:customStyle="1" w:styleId="Char2">
    <w:name w:val="页眉 Char"/>
    <w:link w:val="aa"/>
    <w:uiPriority w:val="99"/>
    <w:qFormat/>
    <w:rsid w:val="006E2171"/>
    <w:rPr>
      <w:kern w:val="2"/>
      <w:sz w:val="18"/>
    </w:rPr>
  </w:style>
  <w:style w:type="character" w:customStyle="1" w:styleId="read">
    <w:name w:val="read"/>
    <w:basedOn w:val="a0"/>
    <w:qFormat/>
    <w:rsid w:val="006E2171"/>
  </w:style>
  <w:style w:type="paragraph" w:customStyle="1" w:styleId="CharChar">
    <w:name w:val="Char Char"/>
    <w:basedOn w:val="a"/>
    <w:qFormat/>
    <w:rsid w:val="006E2171"/>
  </w:style>
  <w:style w:type="paragraph" w:customStyle="1" w:styleId="Default">
    <w:name w:val="Default"/>
    <w:qFormat/>
    <w:rsid w:val="006E2171"/>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6E2171"/>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6E2171"/>
    <w:pPr>
      <w:widowControl/>
      <w:numPr>
        <w:numId w:val="1"/>
      </w:numPr>
      <w:jc w:val="left"/>
    </w:pPr>
    <w:rPr>
      <w:kern w:val="0"/>
      <w:sz w:val="24"/>
    </w:rPr>
  </w:style>
  <w:style w:type="paragraph" w:customStyle="1" w:styleId="msonormal1">
    <w:name w:val="msonormal1"/>
    <w:qFormat/>
    <w:rsid w:val="006E2171"/>
    <w:pPr>
      <w:widowControl w:val="0"/>
      <w:jc w:val="both"/>
    </w:pPr>
    <w:rPr>
      <w:kern w:val="2"/>
      <w:sz w:val="21"/>
      <w:lang w:eastAsia="zh-CN"/>
    </w:rPr>
  </w:style>
  <w:style w:type="paragraph" w:customStyle="1" w:styleId="af3">
    <w:name w:val="正文正文"/>
    <w:basedOn w:val="a"/>
    <w:qFormat/>
    <w:rsid w:val="006E2171"/>
    <w:pPr>
      <w:spacing w:afterLines="25" w:line="360" w:lineRule="auto"/>
      <w:ind w:firstLineChars="200" w:firstLine="200"/>
    </w:pPr>
    <w:rPr>
      <w:sz w:val="24"/>
    </w:rPr>
  </w:style>
  <w:style w:type="paragraph" w:customStyle="1" w:styleId="Char4">
    <w:name w:val="Char"/>
    <w:basedOn w:val="a"/>
    <w:qFormat/>
    <w:rsid w:val="006E2171"/>
  </w:style>
  <w:style w:type="paragraph" w:customStyle="1" w:styleId="Char10">
    <w:name w:val="Char1"/>
    <w:basedOn w:val="a"/>
    <w:qFormat/>
    <w:rsid w:val="006E2171"/>
  </w:style>
  <w:style w:type="paragraph" w:customStyle="1" w:styleId="CharCharChar">
    <w:name w:val="Char Char Char"/>
    <w:basedOn w:val="a"/>
    <w:qFormat/>
    <w:rsid w:val="006E2171"/>
  </w:style>
  <w:style w:type="paragraph" w:customStyle="1" w:styleId="InfoBlue">
    <w:name w:val="InfoBlue"/>
    <w:basedOn w:val="a"/>
    <w:next w:val="a6"/>
    <w:qFormat/>
    <w:rsid w:val="006E217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6E2171"/>
    <w:pPr>
      <w:tabs>
        <w:tab w:val="left" w:pos="360"/>
      </w:tabs>
    </w:pPr>
  </w:style>
  <w:style w:type="paragraph" w:customStyle="1" w:styleId="CharChar1">
    <w:name w:val="Char Char1"/>
    <w:basedOn w:val="a"/>
    <w:qFormat/>
    <w:rsid w:val="006E2171"/>
  </w:style>
  <w:style w:type="paragraph" w:customStyle="1" w:styleId="af4">
    <w:name w:val="正文所"/>
    <w:basedOn w:val="a"/>
    <w:qFormat/>
    <w:rsid w:val="006E2171"/>
    <w:pPr>
      <w:spacing w:line="360" w:lineRule="auto"/>
      <w:ind w:firstLineChars="200" w:firstLine="420"/>
    </w:pPr>
    <w:rPr>
      <w:rFonts w:ascii="宋体"/>
    </w:rPr>
  </w:style>
  <w:style w:type="paragraph" w:customStyle="1" w:styleId="11">
    <w:name w:val="修订1"/>
    <w:hidden/>
    <w:uiPriority w:val="99"/>
    <w:semiHidden/>
    <w:qFormat/>
    <w:rsid w:val="006E2171"/>
    <w:rPr>
      <w:kern w:val="2"/>
      <w:sz w:val="21"/>
      <w:lang w:eastAsia="zh-CN"/>
    </w:rPr>
  </w:style>
  <w:style w:type="character" w:customStyle="1" w:styleId="1Char">
    <w:name w:val="标题 1 Char"/>
    <w:link w:val="1"/>
    <w:qFormat/>
    <w:rsid w:val="006E2171"/>
    <w:rPr>
      <w:rFonts w:ascii="宋体"/>
      <w:b/>
      <w:color w:val="000000"/>
      <w:sz w:val="24"/>
    </w:rPr>
  </w:style>
  <w:style w:type="character" w:customStyle="1" w:styleId="Char">
    <w:name w:val="批注文字 Char"/>
    <w:link w:val="a5"/>
    <w:qFormat/>
    <w:rsid w:val="006E2171"/>
    <w:rPr>
      <w:kern w:val="2"/>
      <w:sz w:val="21"/>
    </w:rPr>
  </w:style>
  <w:style w:type="paragraph" w:customStyle="1" w:styleId="CharChar2">
    <w:name w:val="Char Char2"/>
    <w:basedOn w:val="a"/>
    <w:qFormat/>
    <w:rsid w:val="006E2171"/>
  </w:style>
  <w:style w:type="paragraph" w:customStyle="1" w:styleId="CharChar3">
    <w:name w:val="Char Char3"/>
    <w:basedOn w:val="a"/>
    <w:qFormat/>
    <w:rsid w:val="006E2171"/>
  </w:style>
  <w:style w:type="paragraph" w:customStyle="1" w:styleId="Char20">
    <w:name w:val="Char2"/>
    <w:basedOn w:val="a"/>
    <w:qFormat/>
    <w:rsid w:val="006E2171"/>
  </w:style>
  <w:style w:type="paragraph" w:customStyle="1" w:styleId="CharCharChar1">
    <w:name w:val="Char Char Char1"/>
    <w:basedOn w:val="a"/>
    <w:qFormat/>
    <w:rsid w:val="006E2171"/>
  </w:style>
  <w:style w:type="paragraph" w:customStyle="1" w:styleId="CharCharCharChar1">
    <w:name w:val="Char Char Char Char1"/>
    <w:basedOn w:val="a"/>
    <w:qFormat/>
    <w:rsid w:val="006E2171"/>
    <w:pPr>
      <w:tabs>
        <w:tab w:val="left" w:pos="360"/>
      </w:tabs>
    </w:pPr>
  </w:style>
  <w:style w:type="paragraph" w:customStyle="1" w:styleId="CharChar11">
    <w:name w:val="Char Char11"/>
    <w:basedOn w:val="a"/>
    <w:qFormat/>
    <w:rsid w:val="006E2171"/>
  </w:style>
  <w:style w:type="paragraph" w:customStyle="1" w:styleId="CharChar4">
    <w:name w:val="Char Char4"/>
    <w:basedOn w:val="a"/>
    <w:qFormat/>
    <w:rsid w:val="006E2171"/>
  </w:style>
  <w:style w:type="paragraph" w:styleId="af5">
    <w:name w:val="List Paragraph"/>
    <w:basedOn w:val="a"/>
    <w:uiPriority w:val="34"/>
    <w:qFormat/>
    <w:rsid w:val="006E2171"/>
    <w:pPr>
      <w:ind w:firstLineChars="200" w:firstLine="420"/>
    </w:pPr>
  </w:style>
  <w:style w:type="paragraph" w:customStyle="1" w:styleId="CharChar12">
    <w:name w:val="Char Char12"/>
    <w:basedOn w:val="a"/>
    <w:qFormat/>
    <w:rsid w:val="006E2171"/>
  </w:style>
  <w:style w:type="paragraph" w:customStyle="1" w:styleId="Char30">
    <w:name w:val="Char3"/>
    <w:basedOn w:val="a"/>
    <w:qFormat/>
    <w:rsid w:val="006E2171"/>
  </w:style>
  <w:style w:type="paragraph" w:customStyle="1" w:styleId="CharChar13">
    <w:name w:val="Char Char13"/>
    <w:basedOn w:val="a"/>
    <w:qFormat/>
    <w:rsid w:val="006E2171"/>
  </w:style>
  <w:style w:type="paragraph" w:customStyle="1" w:styleId="Char40">
    <w:name w:val="Char4"/>
    <w:basedOn w:val="a"/>
    <w:qFormat/>
    <w:rsid w:val="006E2171"/>
  </w:style>
  <w:style w:type="paragraph" w:customStyle="1" w:styleId="CharChar14">
    <w:name w:val="Char Char14"/>
    <w:basedOn w:val="a"/>
    <w:qFormat/>
    <w:rsid w:val="006E2171"/>
  </w:style>
  <w:style w:type="paragraph" w:customStyle="1" w:styleId="Char5">
    <w:name w:val="Char5"/>
    <w:basedOn w:val="a"/>
    <w:qFormat/>
    <w:rsid w:val="006E2171"/>
  </w:style>
  <w:style w:type="paragraph" w:customStyle="1" w:styleId="CharChar5">
    <w:name w:val="Char Char5"/>
    <w:basedOn w:val="a"/>
    <w:qFormat/>
    <w:rsid w:val="006E2171"/>
  </w:style>
  <w:style w:type="character" w:customStyle="1" w:styleId="Char1">
    <w:name w:val="页脚 Char"/>
    <w:basedOn w:val="a0"/>
    <w:link w:val="a9"/>
    <w:uiPriority w:val="99"/>
    <w:qFormat/>
    <w:rsid w:val="006E2171"/>
    <w:rPr>
      <w:kern w:val="2"/>
      <w:sz w:val="18"/>
    </w:rPr>
  </w:style>
  <w:style w:type="paragraph" w:customStyle="1" w:styleId="div">
    <w:name w:val="div"/>
    <w:basedOn w:val="a"/>
    <w:rsid w:val="006E2171"/>
  </w:style>
  <w:style w:type="paragraph" w:customStyle="1" w:styleId="p">
    <w:name w:val="p"/>
    <w:basedOn w:val="a"/>
    <w:rsid w:val="006E2171"/>
  </w:style>
  <w:style w:type="character" w:customStyle="1" w:styleId="custom">
    <w:name w:val="custom"/>
    <w:basedOn w:val="a0"/>
    <w:rsid w:val="006E2171"/>
  </w:style>
  <w:style w:type="paragraph" w:customStyle="1" w:styleId="table">
    <w:name w:val="table"/>
    <w:basedOn w:val="a"/>
    <w:rsid w:val="006E2171"/>
  </w:style>
  <w:style w:type="table" w:customStyle="1" w:styleId="tableTable">
    <w:name w:val="table Table"/>
    <w:basedOn w:val="a1"/>
    <w:rsid w:val="006E2171"/>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88F4-4F96-4F49-B5A4-26870D0CC0AA}">
  <ds:schemaRefs>
    <ds:schemaRef ds:uri="http://schemas.openxmlformats.org/officeDocument/2006/bibliography"/>
  </ds:schemaRefs>
</ds:datastoreItem>
</file>

<file path=customXml/itemProps2.xml><?xml version="1.0" encoding="utf-8"?>
<ds:datastoreItem xmlns:ds="http://schemas.openxmlformats.org/officeDocument/2006/customXml" ds:itemID="{9C15C8E3-C36F-4CA8-BB47-84E3A2E3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4</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2024-11-29T16:01:00Z</dcterms:created>
  <dcterms:modified xsi:type="dcterms:W3CDTF">2024-11-29T16:01:00Z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