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CA" w:rsidRDefault="004F0132" w:rsidP="00E047F2">
      <w:pPr>
        <w:widowControl/>
        <w:spacing w:line="360" w:lineRule="auto"/>
        <w:jc w:val="center"/>
        <w:rPr>
          <w:rFonts w:ascii="Arial" w:eastAsiaTheme="minorEastAsia" w:hAnsi="Arial" w:cs="Arial"/>
          <w:b/>
          <w:bCs/>
          <w:kern w:val="0"/>
          <w:szCs w:val="21"/>
        </w:rPr>
      </w:pPr>
      <w:r w:rsidRPr="00622415">
        <w:rPr>
          <w:rFonts w:ascii="Arial" w:eastAsiaTheme="minorEastAsia" w:hAnsi="Arial" w:cs="Arial"/>
          <w:b/>
          <w:bCs/>
          <w:kern w:val="0"/>
          <w:szCs w:val="21"/>
        </w:rPr>
        <w:t>景顺长城基金管理有限公司关于旗下部分基金新增</w:t>
      </w:r>
      <w:r w:rsidR="00F855CA" w:rsidRPr="00F855CA">
        <w:rPr>
          <w:rFonts w:ascii="Arial" w:eastAsiaTheme="minorEastAsia" w:hAnsi="Arial" w:cs="Arial" w:hint="eastAsia"/>
          <w:b/>
          <w:bCs/>
          <w:kern w:val="0"/>
          <w:szCs w:val="21"/>
        </w:rPr>
        <w:t>招商银行股份有限公司招赢通平台</w:t>
      </w:r>
    </w:p>
    <w:p w:rsidR="0098471D" w:rsidRPr="00FD5083" w:rsidRDefault="00F855CA" w:rsidP="00E047F2">
      <w:pPr>
        <w:widowControl/>
        <w:spacing w:line="360" w:lineRule="auto"/>
        <w:jc w:val="center"/>
        <w:rPr>
          <w:rFonts w:ascii="Arial" w:hAnsi="Arial" w:cs="Arial"/>
          <w:b/>
          <w:bCs/>
          <w:kern w:val="0"/>
          <w:szCs w:val="21"/>
        </w:rPr>
      </w:pPr>
      <w:r w:rsidRPr="00F855CA">
        <w:rPr>
          <w:rFonts w:ascii="Arial" w:eastAsiaTheme="minorEastAsia" w:hAnsi="Arial" w:cs="Arial" w:hint="eastAsia"/>
          <w:b/>
          <w:bCs/>
          <w:kern w:val="0"/>
          <w:szCs w:val="21"/>
        </w:rPr>
        <w:t>为销售平台</w:t>
      </w:r>
      <w:r w:rsidR="00A80836" w:rsidRPr="00FD5083">
        <w:rPr>
          <w:rFonts w:ascii="Arial" w:hAnsi="Arial" w:cs="Arial"/>
          <w:b/>
          <w:bCs/>
          <w:kern w:val="0"/>
          <w:szCs w:val="21"/>
        </w:rPr>
        <w:t>的</w:t>
      </w:r>
      <w:r w:rsidR="00E3464C" w:rsidRPr="00FD5083">
        <w:rPr>
          <w:rFonts w:ascii="Arial" w:hAnsi="Arial" w:cs="Arial"/>
          <w:b/>
          <w:bCs/>
          <w:kern w:val="0"/>
          <w:szCs w:val="21"/>
        </w:rPr>
        <w:t>公告</w:t>
      </w:r>
    </w:p>
    <w:p w:rsidR="0098471D" w:rsidRPr="004F0132" w:rsidRDefault="0098471D">
      <w:pPr>
        <w:widowControl/>
        <w:spacing w:line="360" w:lineRule="auto"/>
        <w:jc w:val="center"/>
        <w:rPr>
          <w:rFonts w:ascii="Arial" w:hAnsi="Arial" w:cs="Arial"/>
          <w:kern w:val="0"/>
          <w:szCs w:val="21"/>
        </w:rPr>
      </w:pPr>
    </w:p>
    <w:p w:rsidR="0098471D" w:rsidRDefault="000528B7" w:rsidP="000147DB">
      <w:pPr>
        <w:widowControl/>
        <w:spacing w:line="360" w:lineRule="auto"/>
        <w:ind w:firstLineChars="200" w:firstLine="420"/>
        <w:jc w:val="left"/>
        <w:rPr>
          <w:rFonts w:ascii="Arial" w:hAnsi="Arial" w:cs="Arial"/>
          <w:szCs w:val="21"/>
        </w:rPr>
      </w:pPr>
      <w:r w:rsidRPr="000147DB">
        <w:rPr>
          <w:rFonts w:ascii="Arial" w:hAnsi="Arial" w:cs="Arial" w:hint="eastAsia"/>
          <w:szCs w:val="21"/>
        </w:rPr>
        <w:t>为更好地满足广大投资者的理财需求，根据景顺长城基金管理有限公司（以下简称</w:t>
      </w:r>
      <w:r w:rsidRPr="000147DB">
        <w:rPr>
          <w:rFonts w:ascii="Arial" w:hAnsi="Arial" w:cs="Arial"/>
          <w:szCs w:val="21"/>
        </w:rPr>
        <w:t>“</w:t>
      </w:r>
      <w:r w:rsidRPr="000147DB">
        <w:rPr>
          <w:rFonts w:ascii="Arial" w:hAnsi="Arial" w:cs="Arial" w:hint="eastAsia"/>
          <w:szCs w:val="21"/>
        </w:rPr>
        <w:t>本公司</w:t>
      </w:r>
      <w:r w:rsidRPr="000147DB">
        <w:rPr>
          <w:rFonts w:ascii="Arial" w:hAnsi="Arial" w:cs="Arial"/>
          <w:szCs w:val="21"/>
        </w:rPr>
        <w:t>”</w:t>
      </w:r>
      <w:r w:rsidRPr="000147DB">
        <w:rPr>
          <w:rFonts w:ascii="Arial" w:hAnsi="Arial" w:cs="Arial" w:hint="eastAsia"/>
          <w:szCs w:val="21"/>
        </w:rPr>
        <w:t>）与</w:t>
      </w:r>
      <w:r w:rsidR="00F855CA" w:rsidRPr="002876CD">
        <w:rPr>
          <w:rFonts w:ascii="Arial" w:hAnsi="Arial" w:cs="Arial"/>
          <w:color w:val="000000"/>
          <w:kern w:val="0"/>
          <w:szCs w:val="21"/>
        </w:rPr>
        <w:t>招商银行股份有限公司（以下简称</w:t>
      </w:r>
      <w:r w:rsidR="00F855CA" w:rsidRPr="002876CD">
        <w:rPr>
          <w:rFonts w:ascii="Arial" w:hAnsi="Arial" w:cs="Arial" w:hint="eastAsia"/>
          <w:color w:val="000000"/>
          <w:kern w:val="0"/>
          <w:szCs w:val="21"/>
        </w:rPr>
        <w:t>“</w:t>
      </w:r>
      <w:r w:rsidR="00F855CA" w:rsidRPr="002876CD">
        <w:rPr>
          <w:rFonts w:ascii="Arial" w:hAnsi="Arial" w:cs="Arial"/>
          <w:color w:val="000000"/>
          <w:kern w:val="0"/>
          <w:szCs w:val="21"/>
        </w:rPr>
        <w:t>招商银行</w:t>
      </w:r>
      <w:r w:rsidR="00F855CA" w:rsidRPr="002876CD">
        <w:rPr>
          <w:rFonts w:ascii="Arial" w:hAnsi="Arial" w:cs="Arial" w:hint="eastAsia"/>
          <w:color w:val="000000"/>
          <w:kern w:val="0"/>
          <w:szCs w:val="21"/>
        </w:rPr>
        <w:t>”</w:t>
      </w:r>
      <w:r w:rsidR="00F855CA" w:rsidRPr="002876CD">
        <w:rPr>
          <w:rFonts w:ascii="Arial" w:hAnsi="Arial" w:cs="Arial"/>
          <w:color w:val="000000"/>
          <w:kern w:val="0"/>
          <w:szCs w:val="21"/>
        </w:rPr>
        <w:t>）签署的招赢通第三方产品合作协议</w:t>
      </w:r>
      <w:r w:rsidRPr="000147DB">
        <w:rPr>
          <w:rFonts w:ascii="Arial" w:hAnsi="Arial" w:cs="Arial" w:hint="eastAsia"/>
          <w:szCs w:val="21"/>
        </w:rPr>
        <w:t>，自</w:t>
      </w:r>
      <w:r w:rsidR="00B64921" w:rsidRPr="000147DB">
        <w:rPr>
          <w:rFonts w:ascii="Arial" w:hAnsi="Arial" w:cs="Arial"/>
          <w:szCs w:val="21"/>
        </w:rPr>
        <w:t>20</w:t>
      </w:r>
      <w:r w:rsidR="00B64921">
        <w:rPr>
          <w:rFonts w:ascii="Arial" w:hAnsi="Arial" w:cs="Arial" w:hint="eastAsia"/>
          <w:szCs w:val="21"/>
        </w:rPr>
        <w:t>24</w:t>
      </w:r>
      <w:r w:rsidR="00B64921" w:rsidRPr="000147DB">
        <w:rPr>
          <w:rFonts w:ascii="Arial" w:hAnsi="Arial" w:cs="Arial" w:hint="eastAsia"/>
          <w:szCs w:val="21"/>
        </w:rPr>
        <w:t>年</w:t>
      </w:r>
      <w:r w:rsidR="00B64921">
        <w:rPr>
          <w:rFonts w:ascii="Arial" w:hAnsi="Arial" w:cs="Arial"/>
          <w:szCs w:val="21"/>
        </w:rPr>
        <w:t>11</w:t>
      </w:r>
      <w:r w:rsidR="00032518" w:rsidRPr="000147DB">
        <w:rPr>
          <w:rFonts w:ascii="Arial" w:hAnsi="Arial" w:cs="Arial" w:hint="eastAsia"/>
          <w:szCs w:val="21"/>
        </w:rPr>
        <w:t>月</w:t>
      </w:r>
      <w:r w:rsidR="00B64921">
        <w:rPr>
          <w:rFonts w:ascii="Arial" w:hAnsi="Arial" w:cs="Arial"/>
          <w:szCs w:val="21"/>
        </w:rPr>
        <w:t>29</w:t>
      </w:r>
      <w:r w:rsidRPr="000147DB">
        <w:rPr>
          <w:rFonts w:ascii="Arial" w:hAnsi="Arial" w:cs="Arial" w:hint="eastAsia"/>
          <w:szCs w:val="21"/>
        </w:rPr>
        <w:t>日起新增委托</w:t>
      </w:r>
      <w:r w:rsidR="00F855CA" w:rsidRPr="002876CD">
        <w:rPr>
          <w:rFonts w:ascii="Arial" w:hAnsi="Arial" w:cs="Arial"/>
          <w:color w:val="000000"/>
          <w:kern w:val="0"/>
          <w:szCs w:val="21"/>
        </w:rPr>
        <w:t>招商银行旗下招赢通平台（以下简称</w:t>
      </w:r>
      <w:r w:rsidR="00F855CA" w:rsidRPr="002876CD">
        <w:rPr>
          <w:rFonts w:ascii="Arial" w:hAnsi="Arial" w:cs="Arial" w:hint="eastAsia"/>
          <w:color w:val="000000"/>
          <w:kern w:val="0"/>
          <w:szCs w:val="21"/>
        </w:rPr>
        <w:t>“</w:t>
      </w:r>
      <w:r w:rsidR="00F855CA" w:rsidRPr="002876CD">
        <w:rPr>
          <w:rFonts w:ascii="Arial" w:hAnsi="Arial" w:cs="Arial"/>
          <w:color w:val="000000"/>
          <w:kern w:val="0"/>
          <w:szCs w:val="21"/>
        </w:rPr>
        <w:t>招商银行招赢通</w:t>
      </w:r>
      <w:r w:rsidR="00F855CA" w:rsidRPr="002876CD">
        <w:rPr>
          <w:rFonts w:ascii="Arial" w:hAnsi="Arial" w:cs="Arial" w:hint="eastAsia"/>
          <w:color w:val="000000"/>
          <w:kern w:val="0"/>
          <w:szCs w:val="21"/>
        </w:rPr>
        <w:t>”</w:t>
      </w:r>
      <w:r w:rsidR="00F855CA" w:rsidRPr="002876CD">
        <w:rPr>
          <w:rFonts w:ascii="Arial" w:hAnsi="Arial" w:cs="Arial"/>
          <w:color w:val="000000"/>
          <w:kern w:val="0"/>
          <w:szCs w:val="21"/>
        </w:rPr>
        <w:t>）</w:t>
      </w:r>
      <w:r w:rsidR="004F0132" w:rsidRPr="000147DB">
        <w:rPr>
          <w:rFonts w:ascii="Arial" w:hAnsi="Arial" w:cs="Arial" w:hint="eastAsia"/>
          <w:szCs w:val="21"/>
        </w:rPr>
        <w:t>销售本公司旗下部分基金</w:t>
      </w:r>
      <w:r w:rsidR="006B759B" w:rsidRPr="000147DB">
        <w:rPr>
          <w:rFonts w:ascii="Arial" w:hAnsi="Arial" w:cs="Arial" w:hint="eastAsia"/>
          <w:szCs w:val="21"/>
        </w:rPr>
        <w:t>，具体的业务流程、办理时间和办理方式以</w:t>
      </w:r>
      <w:r w:rsidR="00F855CA" w:rsidRPr="002876CD">
        <w:rPr>
          <w:rFonts w:ascii="Arial" w:hAnsi="Arial" w:cs="Arial"/>
          <w:color w:val="000000"/>
          <w:kern w:val="0"/>
          <w:szCs w:val="21"/>
        </w:rPr>
        <w:t>招商银行招赢通</w:t>
      </w:r>
      <w:r w:rsidR="006B759B" w:rsidRPr="000147DB">
        <w:rPr>
          <w:rFonts w:ascii="Arial" w:hAnsi="Arial" w:cs="Arial" w:hint="eastAsia"/>
          <w:szCs w:val="21"/>
        </w:rPr>
        <w:t>的规定为准。现将相关事项公告如下：</w:t>
      </w:r>
      <w:bookmarkStart w:id="0" w:name="_GoBack"/>
      <w:bookmarkEnd w:id="0"/>
    </w:p>
    <w:p w:rsidR="00157191" w:rsidRPr="000147DB" w:rsidRDefault="00157191" w:rsidP="000147DB">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0147DB">
        <w:rPr>
          <w:rFonts w:ascii="Arial" w:hAnsi="Arial" w:cs="Arial" w:hint="eastAsia"/>
          <w:szCs w:val="21"/>
        </w:rPr>
        <w:t>适用基金</w:t>
      </w:r>
      <w:r w:rsidR="000F7255" w:rsidRPr="000147DB">
        <w:rPr>
          <w:rFonts w:ascii="Arial" w:hAnsi="Arial" w:cs="Arial" w:hint="eastAsia"/>
          <w:szCs w:val="21"/>
        </w:rPr>
        <w:t>及</w:t>
      </w:r>
      <w:r>
        <w:rPr>
          <w:rFonts w:ascii="Arial" w:hAnsi="Arial" w:cs="Arial" w:hint="eastAsia"/>
          <w:szCs w:val="21"/>
        </w:rPr>
        <w:t>基金业务开通情况</w:t>
      </w:r>
    </w:p>
    <w:tbl>
      <w:tblPr>
        <w:tblW w:w="10349" w:type="dxa"/>
        <w:tblInd w:w="-998" w:type="dxa"/>
        <w:tblLook w:val="04A0"/>
      </w:tblPr>
      <w:tblGrid>
        <w:gridCol w:w="1277"/>
        <w:gridCol w:w="3260"/>
        <w:gridCol w:w="1276"/>
        <w:gridCol w:w="1134"/>
        <w:gridCol w:w="1701"/>
        <w:gridCol w:w="1701"/>
      </w:tblGrid>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F3828" w:rsidRPr="00622415" w:rsidRDefault="00BF3828" w:rsidP="00BF3828">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基金代码</w:t>
            </w:r>
          </w:p>
        </w:tc>
        <w:tc>
          <w:tcPr>
            <w:tcW w:w="3260" w:type="dxa"/>
            <w:tcBorders>
              <w:top w:val="single" w:sz="4" w:space="0" w:color="auto"/>
              <w:left w:val="nil"/>
              <w:bottom w:val="single" w:sz="4" w:space="0" w:color="auto"/>
              <w:right w:val="single" w:sz="4" w:space="0" w:color="auto"/>
            </w:tcBorders>
            <w:shd w:val="clear" w:color="000000" w:fill="D9D9D9"/>
            <w:noWrap/>
            <w:vAlign w:val="center"/>
            <w:hideMark/>
          </w:tcPr>
          <w:p w:rsidR="00BF3828" w:rsidRPr="00622415" w:rsidRDefault="00BF3828" w:rsidP="00BF3828">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基金名称</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BF3828" w:rsidRDefault="00BF3828" w:rsidP="00BF3828">
            <w:pPr>
              <w:widowControl/>
              <w:jc w:val="center"/>
              <w:rPr>
                <w:rFonts w:ascii="Arial" w:eastAsiaTheme="minorEastAsia" w:hAnsi="Arial" w:cs="Arial"/>
                <w:b/>
                <w:bCs/>
                <w:kern w:val="0"/>
                <w:szCs w:val="21"/>
              </w:rPr>
            </w:pPr>
            <w:r>
              <w:rPr>
                <w:rFonts w:ascii="Arial" w:eastAsiaTheme="minorEastAsia" w:hAnsi="Arial" w:cs="Arial"/>
                <w:b/>
                <w:bCs/>
                <w:kern w:val="0"/>
                <w:szCs w:val="21"/>
              </w:rPr>
              <w:t>是否开通</w:t>
            </w:r>
          </w:p>
          <w:p w:rsidR="00BF3828" w:rsidRPr="00622415" w:rsidRDefault="00BF3828" w:rsidP="00BF3828">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BF3828" w:rsidRDefault="00BF3828" w:rsidP="00BF3828">
            <w:pPr>
              <w:widowControl/>
              <w:jc w:val="center"/>
              <w:rPr>
                <w:rFonts w:ascii="Arial" w:eastAsiaTheme="minorEastAsia" w:hAnsi="Arial" w:cs="Arial"/>
                <w:b/>
                <w:bCs/>
                <w:kern w:val="0"/>
                <w:szCs w:val="21"/>
              </w:rPr>
            </w:pPr>
            <w:r w:rsidRPr="00177C9A">
              <w:rPr>
                <w:rFonts w:ascii="Arial" w:eastAsiaTheme="minorEastAsia" w:hAnsi="Arial" w:cs="Arial" w:hint="eastAsia"/>
                <w:b/>
                <w:bCs/>
                <w:kern w:val="0"/>
                <w:szCs w:val="21"/>
              </w:rPr>
              <w:t>是否开通</w:t>
            </w:r>
          </w:p>
          <w:p w:rsidR="00BF3828" w:rsidRPr="00622415" w:rsidRDefault="00BF3828" w:rsidP="00BF3828">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转换业务</w:t>
            </w:r>
          </w:p>
        </w:tc>
        <w:tc>
          <w:tcPr>
            <w:tcW w:w="1701" w:type="dxa"/>
            <w:tcBorders>
              <w:top w:val="single" w:sz="4" w:space="0" w:color="auto"/>
              <w:left w:val="nil"/>
              <w:bottom w:val="single" w:sz="4" w:space="0" w:color="auto"/>
              <w:right w:val="single" w:sz="4" w:space="0" w:color="auto"/>
            </w:tcBorders>
            <w:shd w:val="clear" w:color="000000" w:fill="D9D9D9"/>
            <w:vAlign w:val="center"/>
          </w:tcPr>
          <w:p w:rsidR="00BF3828" w:rsidRPr="00BF3828" w:rsidRDefault="00BF3828" w:rsidP="00BF3828">
            <w:pPr>
              <w:widowControl/>
              <w:jc w:val="center"/>
              <w:rPr>
                <w:rFonts w:ascii="Arial" w:eastAsiaTheme="minorEastAsia" w:hAnsi="Arial" w:cs="Arial"/>
                <w:b/>
                <w:bCs/>
                <w:kern w:val="0"/>
                <w:szCs w:val="21"/>
                <w:highlight w:val="yellow"/>
              </w:rPr>
            </w:pPr>
            <w:r w:rsidRPr="00A96BAB">
              <w:rPr>
                <w:rFonts w:ascii="Arial" w:eastAsiaTheme="minorEastAsia" w:hAnsi="Arial" w:cs="Arial" w:hint="eastAsia"/>
                <w:b/>
                <w:bCs/>
                <w:kern w:val="0"/>
                <w:szCs w:val="21"/>
              </w:rPr>
              <w:t>是否参加销售机构认购费率优惠</w:t>
            </w:r>
          </w:p>
        </w:tc>
        <w:tc>
          <w:tcPr>
            <w:tcW w:w="1701" w:type="dxa"/>
            <w:tcBorders>
              <w:top w:val="single" w:sz="4" w:space="0" w:color="auto"/>
              <w:left w:val="nil"/>
              <w:bottom w:val="single" w:sz="4" w:space="0" w:color="auto"/>
              <w:right w:val="single" w:sz="4" w:space="0" w:color="auto"/>
            </w:tcBorders>
            <w:shd w:val="clear" w:color="000000" w:fill="D9D9D9"/>
            <w:vAlign w:val="center"/>
          </w:tcPr>
          <w:p w:rsidR="00BF3828" w:rsidRDefault="00BF3828" w:rsidP="00BF3828">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是否参加销售机构申购（含定期定额申购）费率优惠</w:t>
            </w:r>
          </w:p>
        </w:tc>
      </w:tr>
      <w:tr w:rsidR="00BF3828" w:rsidRPr="00622415" w:rsidTr="00A96BAB">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001506</w:t>
            </w:r>
          </w:p>
        </w:tc>
        <w:tc>
          <w:tcPr>
            <w:tcW w:w="3260" w:type="dxa"/>
            <w:tcBorders>
              <w:top w:val="nil"/>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景顺长城泰和回报灵活配置混合型证券投资基金</w:t>
            </w:r>
            <w:r>
              <w:rPr>
                <w:rFonts w:ascii="Arial" w:hAnsi="Arial" w:cs="Arial"/>
                <w:sz w:val="20"/>
                <w:szCs w:val="20"/>
              </w:rPr>
              <w:t>A</w:t>
            </w:r>
          </w:p>
        </w:tc>
        <w:tc>
          <w:tcPr>
            <w:tcW w:w="1276" w:type="dxa"/>
            <w:tcBorders>
              <w:top w:val="nil"/>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134" w:type="dxa"/>
            <w:tcBorders>
              <w:top w:val="nil"/>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nil"/>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nil"/>
              <w:left w:val="nil"/>
              <w:bottom w:val="single" w:sz="4" w:space="0" w:color="auto"/>
              <w:right w:val="single" w:sz="4" w:space="0" w:color="auto"/>
            </w:tcBorders>
            <w:shd w:val="clear" w:color="000000" w:fill="FFFFFF"/>
            <w:vAlign w:val="center"/>
          </w:tcPr>
          <w:p w:rsidR="00BF3828" w:rsidRDefault="00BF3828" w:rsidP="00BF3828">
            <w:pPr>
              <w:widowControl/>
              <w:jc w:val="center"/>
              <w:rPr>
                <w:rFonts w:ascii="Arial" w:hAnsi="Arial" w:cs="Arial"/>
                <w:sz w:val="20"/>
                <w:szCs w:val="20"/>
              </w:rPr>
            </w:pPr>
            <w:r>
              <w:rPr>
                <w:rFonts w:ascii="Arial" w:hAnsi="Arial" w:cs="Arial" w:hint="eastAsia"/>
                <w:sz w:val="20"/>
                <w:szCs w:val="20"/>
              </w:rPr>
              <w:t>是</w:t>
            </w:r>
          </w:p>
        </w:tc>
      </w:tr>
      <w:tr w:rsidR="00BF3828" w:rsidRPr="00622415" w:rsidTr="00A96BAB">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001507</w:t>
            </w:r>
          </w:p>
        </w:tc>
        <w:tc>
          <w:tcPr>
            <w:tcW w:w="3260" w:type="dxa"/>
            <w:tcBorders>
              <w:top w:val="nil"/>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景顺长城泰和回报灵活配置混合型证券投资基金</w:t>
            </w:r>
            <w:r>
              <w:rPr>
                <w:rFonts w:ascii="Arial" w:hAnsi="Arial" w:cs="Arial"/>
                <w:sz w:val="20"/>
                <w:szCs w:val="20"/>
              </w:rPr>
              <w:t>C</w:t>
            </w:r>
          </w:p>
        </w:tc>
        <w:tc>
          <w:tcPr>
            <w:tcW w:w="1276" w:type="dxa"/>
            <w:tcBorders>
              <w:top w:val="nil"/>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134" w:type="dxa"/>
            <w:tcBorders>
              <w:top w:val="nil"/>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nil"/>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nil"/>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r>
      <w:tr w:rsidR="00BF3828" w:rsidRPr="00622415" w:rsidTr="00A96BAB">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004707</w:t>
            </w:r>
          </w:p>
        </w:tc>
        <w:tc>
          <w:tcPr>
            <w:tcW w:w="3260" w:type="dxa"/>
            <w:tcBorders>
              <w:top w:val="nil"/>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景顺长城睿成灵活配置混合型证券投资基金</w:t>
            </w:r>
            <w:r>
              <w:rPr>
                <w:rFonts w:ascii="Arial" w:hAnsi="Arial" w:cs="Arial"/>
                <w:sz w:val="20"/>
                <w:szCs w:val="20"/>
              </w:rPr>
              <w:t>A</w:t>
            </w:r>
          </w:p>
        </w:tc>
        <w:tc>
          <w:tcPr>
            <w:tcW w:w="1276" w:type="dxa"/>
            <w:tcBorders>
              <w:top w:val="nil"/>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134" w:type="dxa"/>
            <w:tcBorders>
              <w:top w:val="nil"/>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nil"/>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nil"/>
              <w:left w:val="nil"/>
              <w:bottom w:val="single" w:sz="4" w:space="0" w:color="auto"/>
              <w:right w:val="single" w:sz="4" w:space="0" w:color="auto"/>
            </w:tcBorders>
            <w:shd w:val="clear" w:color="000000" w:fill="FFFFFF"/>
            <w:vAlign w:val="center"/>
          </w:tcPr>
          <w:p w:rsidR="00BF3828" w:rsidRDefault="00BF3828" w:rsidP="00BF3828">
            <w:pPr>
              <w:widowControl/>
              <w:jc w:val="center"/>
              <w:rPr>
                <w:rFonts w:ascii="Arial" w:hAnsi="Arial" w:cs="Arial"/>
                <w:sz w:val="20"/>
                <w:szCs w:val="20"/>
              </w:rPr>
            </w:pPr>
            <w:r>
              <w:rPr>
                <w:rFonts w:ascii="Arial" w:hAnsi="Arial" w:cs="Arial" w:hint="eastAsia"/>
                <w:sz w:val="20"/>
                <w:szCs w:val="20"/>
              </w:rPr>
              <w:t>是</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004719</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景顺长城睿成灵活配置混合型证券投资基金</w:t>
            </w:r>
            <w:r>
              <w:rPr>
                <w:rFonts w:ascii="Arial" w:hAnsi="Arial" w:cs="Arial"/>
                <w:sz w:val="20"/>
                <w:szCs w:val="20"/>
              </w:rPr>
              <w:t>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009871</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景顺长城景瑞收益债券型证券投资基金</w:t>
            </w:r>
            <w:r>
              <w:rPr>
                <w:rFonts w:ascii="Arial" w:hAnsi="Arial" w:cs="Arial"/>
                <w:sz w:val="20"/>
                <w:szCs w:val="20"/>
              </w:rPr>
              <w:t>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011997</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景顺长城安盈回报一年持有期混合型证券投资基金</w:t>
            </w:r>
            <w:r>
              <w:rPr>
                <w:rFonts w:ascii="Arial" w:hAnsi="Arial" w:cs="Arial"/>
                <w:sz w:val="20"/>
                <w:szCs w:val="20"/>
              </w:rPr>
              <w:t>A</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不开通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Default="00BF3828" w:rsidP="00BF3828">
            <w:pPr>
              <w:widowControl/>
              <w:jc w:val="center"/>
              <w:rPr>
                <w:rFonts w:ascii="Arial" w:hAnsi="Arial" w:cs="Arial"/>
                <w:sz w:val="20"/>
                <w:szCs w:val="20"/>
              </w:rPr>
            </w:pPr>
            <w:r>
              <w:rPr>
                <w:rFonts w:ascii="Arial" w:hAnsi="Arial" w:cs="Arial" w:hint="eastAsia"/>
                <w:sz w:val="20"/>
                <w:szCs w:val="20"/>
              </w:rPr>
              <w:t>是</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011998</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景顺长城安盈回报一年持有期混合型证券投资基金</w:t>
            </w:r>
            <w:r>
              <w:rPr>
                <w:rFonts w:ascii="Arial" w:hAnsi="Arial" w:cs="Arial"/>
                <w:sz w:val="20"/>
                <w:szCs w:val="20"/>
              </w:rPr>
              <w:t>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不开通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014767</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景顺长城华城稳健</w:t>
            </w:r>
            <w:r>
              <w:rPr>
                <w:rFonts w:ascii="Arial" w:hAnsi="Arial" w:cs="Arial"/>
                <w:sz w:val="20"/>
                <w:szCs w:val="20"/>
              </w:rPr>
              <w:t>6</w:t>
            </w:r>
            <w:r>
              <w:rPr>
                <w:rFonts w:ascii="Arial" w:hAnsi="Arial" w:cs="Arial"/>
                <w:sz w:val="20"/>
                <w:szCs w:val="20"/>
              </w:rPr>
              <w:t>个月持有期混合型证券投资基金</w:t>
            </w:r>
            <w:r>
              <w:rPr>
                <w:rFonts w:ascii="Arial" w:hAnsi="Arial" w:cs="Arial"/>
                <w:sz w:val="20"/>
                <w:szCs w:val="20"/>
              </w:rPr>
              <w:t>A</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不开通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Default="00BF3828" w:rsidP="00BF3828">
            <w:pPr>
              <w:widowControl/>
              <w:jc w:val="center"/>
              <w:rPr>
                <w:rFonts w:ascii="Arial" w:hAnsi="Arial" w:cs="Arial"/>
                <w:sz w:val="20"/>
                <w:szCs w:val="20"/>
              </w:rPr>
            </w:pPr>
            <w:r>
              <w:rPr>
                <w:rFonts w:ascii="Arial" w:hAnsi="Arial" w:cs="Arial" w:hint="eastAsia"/>
                <w:sz w:val="20"/>
                <w:szCs w:val="20"/>
              </w:rPr>
              <w:t>是</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014768</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景顺长城华城稳健</w:t>
            </w:r>
            <w:r>
              <w:rPr>
                <w:rFonts w:ascii="Arial" w:hAnsi="Arial" w:cs="Arial"/>
                <w:sz w:val="20"/>
                <w:szCs w:val="20"/>
              </w:rPr>
              <w:t>6</w:t>
            </w:r>
            <w:r>
              <w:rPr>
                <w:rFonts w:ascii="Arial" w:hAnsi="Arial" w:cs="Arial"/>
                <w:sz w:val="20"/>
                <w:szCs w:val="20"/>
              </w:rPr>
              <w:t>个月持有期混合型证券投资基金</w:t>
            </w:r>
            <w:r>
              <w:rPr>
                <w:rFonts w:ascii="Arial" w:hAnsi="Arial" w:cs="Arial"/>
                <w:sz w:val="20"/>
                <w:szCs w:val="20"/>
              </w:rPr>
              <w:t>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不开通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016126</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景顺长城景泰永利纯债债券型证券投资基金</w:t>
            </w:r>
            <w:r>
              <w:rPr>
                <w:rFonts w:ascii="Arial" w:hAnsi="Arial" w:cs="Arial"/>
                <w:sz w:val="20"/>
                <w:szCs w:val="20"/>
              </w:rPr>
              <w:t>A</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不开通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Default="00BF3828" w:rsidP="00BF3828">
            <w:pPr>
              <w:widowControl/>
              <w:jc w:val="center"/>
              <w:rPr>
                <w:rFonts w:ascii="Arial" w:hAnsi="Arial" w:cs="Arial"/>
                <w:sz w:val="20"/>
                <w:szCs w:val="20"/>
              </w:rPr>
            </w:pPr>
            <w:r>
              <w:rPr>
                <w:rFonts w:ascii="Arial" w:hAnsi="Arial" w:cs="Arial" w:hint="eastAsia"/>
                <w:sz w:val="20"/>
                <w:szCs w:val="20"/>
              </w:rPr>
              <w:t>是</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016127</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景顺长城景泰永利纯债债券型证券投资基金</w:t>
            </w:r>
            <w:r>
              <w:rPr>
                <w:rFonts w:ascii="Arial" w:hAnsi="Arial" w:cs="Arial"/>
                <w:sz w:val="20"/>
                <w:szCs w:val="20"/>
              </w:rPr>
              <w:t>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不开通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016869</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景顺长城稳健增益债券型证券投资基金</w:t>
            </w:r>
            <w:r>
              <w:rPr>
                <w:rFonts w:ascii="Arial" w:hAnsi="Arial" w:cs="Arial"/>
                <w:sz w:val="20"/>
                <w:szCs w:val="20"/>
              </w:rPr>
              <w:t>A</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Default="00BF3828" w:rsidP="00BF3828">
            <w:pPr>
              <w:widowControl/>
              <w:jc w:val="center"/>
              <w:rPr>
                <w:rFonts w:ascii="Arial" w:hAnsi="Arial" w:cs="Arial"/>
                <w:sz w:val="20"/>
                <w:szCs w:val="20"/>
              </w:rPr>
            </w:pPr>
            <w:r>
              <w:rPr>
                <w:rFonts w:ascii="Arial" w:hAnsi="Arial" w:cs="Arial" w:hint="eastAsia"/>
                <w:sz w:val="20"/>
                <w:szCs w:val="20"/>
              </w:rPr>
              <w:t>是</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016870</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景顺长城稳健增益债券型证券投资</w:t>
            </w:r>
            <w:r>
              <w:rPr>
                <w:rFonts w:ascii="Arial" w:hAnsi="Arial" w:cs="Arial"/>
                <w:sz w:val="20"/>
                <w:szCs w:val="20"/>
              </w:rPr>
              <w:lastRenderedPageBreak/>
              <w:t>基金</w:t>
            </w:r>
            <w:r>
              <w:rPr>
                <w:rFonts w:ascii="Arial" w:hAnsi="Arial" w:cs="Arial"/>
                <w:sz w:val="20"/>
                <w:szCs w:val="20"/>
              </w:rPr>
              <w:t>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lastRenderedPageBreak/>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lastRenderedPageBreak/>
              <w:t>017123</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景顺长城景泰臻利纯债债券型证券投资基金</w:t>
            </w:r>
            <w:r>
              <w:rPr>
                <w:rFonts w:ascii="Arial" w:hAnsi="Arial" w:cs="Arial"/>
                <w:sz w:val="20"/>
                <w:szCs w:val="20"/>
              </w:rPr>
              <w:t>A</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不开通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Default="00BF3828" w:rsidP="00BF3828">
            <w:pPr>
              <w:widowControl/>
              <w:jc w:val="center"/>
              <w:rPr>
                <w:rFonts w:ascii="Arial" w:hAnsi="Arial" w:cs="Arial"/>
                <w:sz w:val="20"/>
                <w:szCs w:val="20"/>
              </w:rPr>
            </w:pPr>
            <w:r>
              <w:rPr>
                <w:rFonts w:ascii="Arial" w:hAnsi="Arial" w:cs="Arial" w:hint="eastAsia"/>
                <w:sz w:val="20"/>
                <w:szCs w:val="20"/>
              </w:rPr>
              <w:t>是</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017124</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景顺长城景泰臻利纯债债券型证券投资基金</w:t>
            </w:r>
            <w:r>
              <w:rPr>
                <w:rFonts w:ascii="Arial" w:hAnsi="Arial" w:cs="Arial"/>
                <w:sz w:val="20"/>
                <w:szCs w:val="20"/>
              </w:rPr>
              <w:t>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不开通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021313</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景顺长城沪港深精选股票型证券投资基金</w:t>
            </w:r>
            <w:r>
              <w:rPr>
                <w:rFonts w:ascii="Arial" w:hAnsi="Arial" w:cs="Arial"/>
                <w:sz w:val="20"/>
                <w:szCs w:val="20"/>
              </w:rPr>
              <w:t>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021500</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景顺长城优质成长股票型证券投资基金</w:t>
            </w:r>
            <w:r>
              <w:rPr>
                <w:rFonts w:ascii="Arial" w:hAnsi="Arial" w:cs="Arial"/>
                <w:sz w:val="20"/>
                <w:szCs w:val="20"/>
              </w:rPr>
              <w:t>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021512</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Pr>
                <w:rFonts w:ascii="Arial" w:hAnsi="Arial" w:cs="Arial"/>
                <w:sz w:val="20"/>
                <w:szCs w:val="20"/>
              </w:rPr>
              <w:t>景顺长城支柱产业混合型证券投资基金</w:t>
            </w:r>
            <w:r>
              <w:rPr>
                <w:rFonts w:ascii="Arial" w:hAnsi="Arial" w:cs="Arial"/>
                <w:sz w:val="20"/>
                <w:szCs w:val="20"/>
              </w:rPr>
              <w:t>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sz w:val="20"/>
                <w:szCs w:val="20"/>
              </w:rPr>
              <w:t>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022391</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sidRPr="00A96BAB">
              <w:rPr>
                <w:rFonts w:ascii="Arial" w:hAnsi="Arial" w:cs="Arial" w:hint="eastAsia"/>
                <w:sz w:val="20"/>
                <w:szCs w:val="20"/>
              </w:rPr>
              <w:t>景顺长城中债</w:t>
            </w:r>
            <w:r w:rsidRPr="00A96BAB">
              <w:rPr>
                <w:rFonts w:ascii="Arial" w:hAnsi="Arial" w:cs="Arial"/>
                <w:sz w:val="20"/>
                <w:szCs w:val="20"/>
              </w:rPr>
              <w:t>0-3</w:t>
            </w:r>
            <w:r w:rsidRPr="00A96BAB">
              <w:rPr>
                <w:rFonts w:ascii="Arial" w:hAnsi="Arial" w:cs="Arial"/>
                <w:sz w:val="20"/>
                <w:szCs w:val="20"/>
              </w:rPr>
              <w:t>年国开行债券指数证券投资基金</w:t>
            </w:r>
            <w:r w:rsidRPr="00A96BAB">
              <w:rPr>
                <w:rFonts w:ascii="Arial" w:hAnsi="Arial" w:cs="Arial" w:hint="eastAsia"/>
                <w:sz w:val="20"/>
                <w:szCs w:val="20"/>
              </w:rPr>
              <w:t>A</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是</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r>
      <w:tr w:rsidR="00BF3828" w:rsidRPr="00622415" w:rsidTr="00A96BA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28" w:rsidRPr="00A96BAB" w:rsidRDefault="00BF3828" w:rsidP="00BF3828">
            <w:pPr>
              <w:widowControl/>
              <w:jc w:val="center"/>
              <w:rPr>
                <w:rFonts w:ascii="Arial" w:hAnsi="Arial" w:cs="Arial"/>
                <w:sz w:val="20"/>
                <w:szCs w:val="20"/>
              </w:rPr>
            </w:pPr>
            <w:r>
              <w:rPr>
                <w:rFonts w:ascii="Arial" w:hAnsi="Arial" w:cs="Arial"/>
                <w:sz w:val="20"/>
                <w:szCs w:val="20"/>
              </w:rPr>
              <w:t>022392</w:t>
            </w:r>
          </w:p>
        </w:tc>
        <w:tc>
          <w:tcPr>
            <w:tcW w:w="3260" w:type="dxa"/>
            <w:tcBorders>
              <w:top w:val="single" w:sz="4" w:space="0" w:color="auto"/>
              <w:left w:val="nil"/>
              <w:bottom w:val="single" w:sz="4" w:space="0" w:color="auto"/>
              <w:right w:val="single" w:sz="4" w:space="0" w:color="auto"/>
            </w:tcBorders>
            <w:shd w:val="clear" w:color="000000" w:fill="FFFFFF"/>
            <w:noWrap/>
            <w:vAlign w:val="center"/>
          </w:tcPr>
          <w:p w:rsidR="00BF3828" w:rsidRPr="00A96BAB" w:rsidRDefault="00BF3828" w:rsidP="00BF3828">
            <w:pPr>
              <w:widowControl/>
              <w:rPr>
                <w:rFonts w:ascii="Arial" w:hAnsi="Arial" w:cs="Arial"/>
                <w:sz w:val="20"/>
                <w:szCs w:val="20"/>
              </w:rPr>
            </w:pPr>
            <w:r w:rsidRPr="00A96BAB">
              <w:rPr>
                <w:rFonts w:ascii="Arial" w:hAnsi="Arial" w:cs="Arial" w:hint="eastAsia"/>
                <w:sz w:val="20"/>
                <w:szCs w:val="20"/>
              </w:rPr>
              <w:t>景顺长城中债</w:t>
            </w:r>
            <w:r w:rsidRPr="00A96BAB">
              <w:rPr>
                <w:rFonts w:ascii="Arial" w:hAnsi="Arial" w:cs="Arial"/>
                <w:sz w:val="20"/>
                <w:szCs w:val="20"/>
              </w:rPr>
              <w:t>0-3</w:t>
            </w:r>
            <w:r w:rsidRPr="00A96BAB">
              <w:rPr>
                <w:rFonts w:ascii="Arial" w:hAnsi="Arial" w:cs="Arial"/>
                <w:sz w:val="20"/>
                <w:szCs w:val="20"/>
              </w:rPr>
              <w:t>年国开行债券指数证券投资基金</w:t>
            </w:r>
            <w:r w:rsidRPr="00A96BAB">
              <w:rPr>
                <w:rFonts w:ascii="Arial" w:hAnsi="Arial" w:cs="Arial" w:hint="eastAsia"/>
                <w:sz w:val="20"/>
                <w:szCs w:val="20"/>
              </w:rPr>
              <w:t>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不开通</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F3828" w:rsidRPr="00A96BAB" w:rsidRDefault="00BF3828" w:rsidP="00BF3828">
            <w:pPr>
              <w:widowControl/>
              <w:jc w:val="center"/>
              <w:rPr>
                <w:rFonts w:ascii="Arial" w:hAnsi="Arial" w:cs="Arial"/>
                <w:sz w:val="20"/>
                <w:szCs w:val="20"/>
              </w:rPr>
            </w:pPr>
            <w:r w:rsidRPr="00A96BAB">
              <w:rPr>
                <w:rFonts w:ascii="Arial" w:hAnsi="Arial" w:cs="Arial" w:hint="eastAsia"/>
                <w:sz w:val="20"/>
                <w:szCs w:val="20"/>
              </w:rPr>
              <w:t>不适用</w:t>
            </w:r>
          </w:p>
        </w:tc>
      </w:tr>
    </w:tbl>
    <w:p w:rsidR="008D02B7" w:rsidRDefault="004F0132" w:rsidP="008D02B7">
      <w:pPr>
        <w:widowControl/>
        <w:spacing w:line="360" w:lineRule="auto"/>
        <w:jc w:val="left"/>
        <w:rPr>
          <w:rFonts w:ascii="Arial" w:hAnsi="Arial" w:cs="Arial"/>
          <w:color w:val="000000"/>
          <w:kern w:val="0"/>
          <w:szCs w:val="21"/>
        </w:rPr>
      </w:pPr>
      <w:r w:rsidRPr="000147DB">
        <w:rPr>
          <w:rFonts w:ascii="Arial" w:hAnsi="Arial" w:cs="Arial" w:hint="eastAsia"/>
          <w:color w:val="000000"/>
          <w:kern w:val="0"/>
          <w:szCs w:val="21"/>
        </w:rPr>
        <w:t>注：</w:t>
      </w:r>
      <w:r w:rsidR="0091077C">
        <w:rPr>
          <w:rFonts w:ascii="Arial" w:hAnsi="Arial" w:cs="Arial" w:hint="eastAsia"/>
          <w:color w:val="000000"/>
          <w:kern w:val="0"/>
          <w:szCs w:val="21"/>
        </w:rPr>
        <w:t>（</w:t>
      </w:r>
      <w:r w:rsidR="0091077C">
        <w:rPr>
          <w:rFonts w:ascii="Arial" w:hAnsi="Arial" w:cs="Arial" w:hint="eastAsia"/>
          <w:color w:val="000000"/>
          <w:kern w:val="0"/>
          <w:szCs w:val="21"/>
        </w:rPr>
        <w:t>1</w:t>
      </w:r>
      <w:r w:rsidR="0091077C">
        <w:rPr>
          <w:rFonts w:ascii="Arial" w:hAnsi="Arial" w:cs="Arial" w:hint="eastAsia"/>
          <w:color w:val="000000"/>
          <w:kern w:val="0"/>
          <w:szCs w:val="21"/>
        </w:rPr>
        <w:t>）</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7B63BD" w:rsidRPr="002876CD">
        <w:rPr>
          <w:rFonts w:ascii="Arial" w:hAnsi="Arial" w:cs="Arial"/>
          <w:color w:val="000000"/>
          <w:kern w:val="0"/>
          <w:szCs w:val="21"/>
        </w:rPr>
        <w:t>招商银行招赢通</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w:t>
      </w:r>
      <w:r w:rsidR="00BF3828">
        <w:rPr>
          <w:rFonts w:ascii="Arial" w:hAnsi="Arial" w:cs="Arial" w:hint="eastAsia"/>
          <w:color w:val="000000"/>
          <w:kern w:val="0"/>
          <w:szCs w:val="21"/>
        </w:rPr>
        <w:t>认购、</w:t>
      </w:r>
      <w:r w:rsidR="002B7241" w:rsidRPr="002B7241">
        <w:rPr>
          <w:rFonts w:ascii="Arial" w:hAnsi="Arial" w:cs="Arial" w:hint="eastAsia"/>
          <w:color w:val="000000"/>
          <w:kern w:val="0"/>
          <w:szCs w:val="21"/>
        </w:rPr>
        <w:t>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DE2ECE" w:rsidRDefault="0091077C" w:rsidP="00DE2ECE">
      <w:pPr>
        <w:widowControl/>
        <w:spacing w:line="360" w:lineRule="auto"/>
        <w:ind w:firstLineChars="200" w:firstLine="420"/>
        <w:jc w:val="left"/>
        <w:rPr>
          <w:rFonts w:ascii="Arial" w:hAnsi="Arial" w:cs="Arial"/>
          <w:color w:val="000000"/>
          <w:szCs w:val="21"/>
        </w:rPr>
      </w:pPr>
      <w:r w:rsidRPr="00DE2ECE">
        <w:rPr>
          <w:rFonts w:ascii="Arial" w:hAnsi="Arial" w:cs="Arial" w:hint="eastAsia"/>
          <w:kern w:val="0"/>
          <w:szCs w:val="21"/>
        </w:rPr>
        <w:t>（</w:t>
      </w:r>
      <w:r w:rsidRPr="00DE2ECE">
        <w:rPr>
          <w:rFonts w:ascii="Arial" w:hAnsi="Arial" w:cs="Arial" w:hint="eastAsia"/>
          <w:kern w:val="0"/>
          <w:szCs w:val="21"/>
        </w:rPr>
        <w:t>2</w:t>
      </w:r>
      <w:r w:rsidRPr="00DE2ECE">
        <w:rPr>
          <w:rFonts w:ascii="Arial" w:hAnsi="Arial" w:cs="Arial" w:hint="eastAsia"/>
          <w:kern w:val="0"/>
          <w:szCs w:val="21"/>
        </w:rPr>
        <w:t>）</w:t>
      </w:r>
      <w:r w:rsidR="00DE2ECE" w:rsidRPr="00CE773D">
        <w:rPr>
          <w:rFonts w:ascii="Arial" w:hAnsi="Arial" w:cs="Arial" w:hint="eastAsia"/>
          <w:kern w:val="0"/>
          <w:szCs w:val="21"/>
        </w:rPr>
        <w:t>景顺长城中债</w:t>
      </w:r>
      <w:r w:rsidR="00DE2ECE" w:rsidRPr="00CE773D">
        <w:rPr>
          <w:rFonts w:ascii="Arial" w:hAnsi="Arial" w:cs="Arial"/>
          <w:kern w:val="0"/>
          <w:szCs w:val="21"/>
        </w:rPr>
        <w:t>0-3</w:t>
      </w:r>
      <w:r w:rsidR="00DE2ECE" w:rsidRPr="00CE773D">
        <w:rPr>
          <w:rFonts w:ascii="Arial" w:hAnsi="Arial" w:cs="Arial"/>
          <w:kern w:val="0"/>
          <w:szCs w:val="21"/>
        </w:rPr>
        <w:t>年国开行债券指数证券投资基金</w:t>
      </w:r>
      <w:r w:rsidR="00DE2ECE" w:rsidRPr="00DE2ECE">
        <w:rPr>
          <w:rFonts w:ascii="Arial" w:hAnsi="Arial" w:cs="Arial" w:hint="eastAsia"/>
          <w:kern w:val="0"/>
          <w:szCs w:val="21"/>
        </w:rPr>
        <w:t>（基金代码：</w:t>
      </w:r>
      <w:r w:rsidR="00DE2ECE" w:rsidRPr="00DE2ECE">
        <w:rPr>
          <w:rFonts w:ascii="Arial" w:hAnsi="Arial" w:cs="Arial" w:hint="eastAsia"/>
          <w:kern w:val="0"/>
          <w:szCs w:val="21"/>
        </w:rPr>
        <w:t>A</w:t>
      </w:r>
      <w:r w:rsidR="00DE2ECE" w:rsidRPr="00DE2ECE">
        <w:rPr>
          <w:rFonts w:ascii="Arial" w:hAnsi="Arial" w:cs="Arial" w:hint="eastAsia"/>
          <w:kern w:val="0"/>
          <w:szCs w:val="21"/>
        </w:rPr>
        <w:t>类</w:t>
      </w:r>
      <w:r w:rsidR="00DE2ECE" w:rsidRPr="00DE2ECE">
        <w:rPr>
          <w:rFonts w:ascii="Arial" w:hAnsi="Arial" w:cs="Arial"/>
          <w:kern w:val="0"/>
          <w:szCs w:val="21"/>
        </w:rPr>
        <w:t>022391</w:t>
      </w:r>
      <w:r w:rsidR="00DE2ECE" w:rsidRPr="00DE2ECE">
        <w:rPr>
          <w:rFonts w:ascii="Arial" w:hAnsi="Arial" w:cs="Arial" w:hint="eastAsia"/>
          <w:kern w:val="0"/>
          <w:szCs w:val="21"/>
        </w:rPr>
        <w:t>；</w:t>
      </w:r>
      <w:r w:rsidR="00DE2ECE" w:rsidRPr="00DE2ECE">
        <w:rPr>
          <w:rFonts w:ascii="Arial" w:hAnsi="Arial" w:cs="Arial"/>
          <w:kern w:val="0"/>
          <w:szCs w:val="21"/>
        </w:rPr>
        <w:t>C</w:t>
      </w:r>
      <w:r w:rsidR="00DE2ECE" w:rsidRPr="00DE2ECE">
        <w:rPr>
          <w:rFonts w:ascii="Arial" w:hAnsi="Arial" w:cs="Arial" w:hint="eastAsia"/>
          <w:kern w:val="0"/>
          <w:szCs w:val="21"/>
        </w:rPr>
        <w:t>类</w:t>
      </w:r>
      <w:r w:rsidR="00DE2ECE" w:rsidRPr="00DE2ECE">
        <w:rPr>
          <w:rFonts w:ascii="Arial" w:hAnsi="Arial" w:cs="Arial"/>
          <w:kern w:val="0"/>
          <w:szCs w:val="21"/>
        </w:rPr>
        <w:t>02239</w:t>
      </w:r>
      <w:r w:rsidR="00DE2ECE">
        <w:rPr>
          <w:rFonts w:ascii="Arial" w:hAnsi="Arial" w:cs="Arial"/>
          <w:kern w:val="0"/>
          <w:szCs w:val="21"/>
        </w:rPr>
        <w:t>2</w:t>
      </w:r>
      <w:r w:rsidR="00DE2ECE" w:rsidRPr="00DE2ECE">
        <w:rPr>
          <w:rFonts w:ascii="Arial" w:hAnsi="Arial" w:cs="Arial" w:hint="eastAsia"/>
          <w:kern w:val="0"/>
          <w:szCs w:val="21"/>
        </w:rPr>
        <w:t>）目</w:t>
      </w:r>
      <w:r w:rsidR="00DE2ECE">
        <w:rPr>
          <w:rFonts w:hint="eastAsia"/>
          <w:color w:val="000000"/>
          <w:szCs w:val="21"/>
        </w:rPr>
        <w:t>前处于募集期，</w:t>
      </w:r>
      <w:r w:rsidR="00BF3828">
        <w:rPr>
          <w:rFonts w:hint="eastAsia"/>
          <w:color w:val="000000"/>
          <w:szCs w:val="21"/>
        </w:rPr>
        <w:t>请投资者留意销售时间。募集期间该基金暂不开通</w:t>
      </w:r>
      <w:r w:rsidR="004213A0" w:rsidRPr="00866689">
        <w:rPr>
          <w:rFonts w:ascii="Arial" w:hAnsi="Arial" w:cs="Arial" w:hint="eastAsia"/>
          <w:color w:val="000000"/>
          <w:kern w:val="0"/>
          <w:szCs w:val="21"/>
        </w:rPr>
        <w:t>定期定额投资</w:t>
      </w:r>
      <w:r w:rsidR="004213A0">
        <w:rPr>
          <w:rFonts w:ascii="Arial" w:hAnsi="Arial" w:cs="Arial" w:hint="eastAsia"/>
          <w:color w:val="000000"/>
          <w:kern w:val="0"/>
          <w:szCs w:val="21"/>
        </w:rPr>
        <w:t>和</w:t>
      </w:r>
      <w:r w:rsidR="004213A0" w:rsidRPr="00866689">
        <w:rPr>
          <w:rFonts w:ascii="Arial" w:hAnsi="Arial" w:cs="Arial" w:hint="eastAsia"/>
          <w:color w:val="000000"/>
          <w:kern w:val="0"/>
          <w:szCs w:val="21"/>
        </w:rPr>
        <w:t>转换</w:t>
      </w:r>
      <w:r w:rsidR="00BF3828">
        <w:rPr>
          <w:rFonts w:hint="eastAsia"/>
          <w:color w:val="000000"/>
          <w:szCs w:val="21"/>
        </w:rPr>
        <w:t>业务。</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735537" w:rsidRPr="00735537" w:rsidRDefault="00EF4360" w:rsidP="00735537">
      <w:pPr>
        <w:widowControl/>
        <w:spacing w:line="360" w:lineRule="auto"/>
        <w:ind w:firstLineChars="200" w:firstLine="420"/>
        <w:jc w:val="left"/>
        <w:rPr>
          <w:rFonts w:ascii="Arial" w:hAnsi="Arial" w:cs="Arial"/>
          <w:kern w:val="0"/>
          <w:szCs w:val="21"/>
        </w:rPr>
      </w:pPr>
      <w:r w:rsidRPr="00EF4360">
        <w:rPr>
          <w:rFonts w:ascii="Arial" w:hAnsi="Arial" w:cs="Arial" w:hint="eastAsia"/>
          <w:color w:val="000000"/>
          <w:kern w:val="0"/>
          <w:szCs w:val="21"/>
        </w:rPr>
        <w:t>销售机构名称：</w:t>
      </w:r>
      <w:r w:rsidR="007B63BD" w:rsidRPr="007B63BD">
        <w:rPr>
          <w:rFonts w:ascii="Arial" w:hAnsi="Arial" w:cs="Arial" w:hint="eastAsia"/>
          <w:kern w:val="0"/>
          <w:szCs w:val="21"/>
        </w:rPr>
        <w:t>招商银行股份有限公司招赢通</w:t>
      </w:r>
    </w:p>
    <w:p w:rsidR="007B63BD" w:rsidRPr="007B63BD" w:rsidRDefault="007B63BD" w:rsidP="007B63BD">
      <w:pPr>
        <w:widowControl/>
        <w:spacing w:line="360" w:lineRule="auto"/>
        <w:ind w:firstLineChars="200" w:firstLine="420"/>
        <w:jc w:val="left"/>
        <w:rPr>
          <w:rFonts w:ascii="Arial" w:hAnsi="Arial" w:cs="Arial"/>
          <w:kern w:val="0"/>
          <w:szCs w:val="21"/>
        </w:rPr>
      </w:pPr>
      <w:r w:rsidRPr="007B63BD">
        <w:rPr>
          <w:rFonts w:ascii="Arial" w:hAnsi="Arial" w:cs="Arial" w:hint="eastAsia"/>
          <w:kern w:val="0"/>
          <w:szCs w:val="21"/>
        </w:rPr>
        <w:t>网址：</w:t>
      </w:r>
      <w:r w:rsidRPr="007B63BD">
        <w:rPr>
          <w:rFonts w:ascii="Arial" w:hAnsi="Arial" w:cs="Arial" w:hint="eastAsia"/>
          <w:kern w:val="0"/>
          <w:szCs w:val="21"/>
        </w:rPr>
        <w:t>fi.cmbchina.com</w:t>
      </w:r>
    </w:p>
    <w:p w:rsidR="008D02B7" w:rsidRDefault="007B63BD" w:rsidP="007B63BD">
      <w:pPr>
        <w:widowControl/>
        <w:spacing w:line="360" w:lineRule="auto"/>
        <w:ind w:firstLineChars="200" w:firstLine="420"/>
        <w:jc w:val="left"/>
        <w:rPr>
          <w:rFonts w:ascii="Arial" w:hAnsi="Arial" w:cs="Arial"/>
          <w:kern w:val="0"/>
          <w:szCs w:val="21"/>
        </w:rPr>
      </w:pPr>
      <w:r w:rsidRPr="007B63BD">
        <w:rPr>
          <w:rFonts w:ascii="Arial" w:hAnsi="Arial" w:cs="Arial" w:hint="eastAsia"/>
          <w:kern w:val="0"/>
          <w:szCs w:val="21"/>
        </w:rPr>
        <w:t>客服电话：</w:t>
      </w:r>
      <w:r w:rsidRPr="007B63BD">
        <w:rPr>
          <w:rFonts w:ascii="Arial" w:hAnsi="Arial" w:cs="Arial" w:hint="eastAsia"/>
          <w:kern w:val="0"/>
          <w:szCs w:val="21"/>
        </w:rPr>
        <w:t>95555</w:t>
      </w:r>
    </w:p>
    <w:p w:rsidR="007B63BD" w:rsidRDefault="007B63BD" w:rsidP="00B84339">
      <w:pPr>
        <w:widowControl/>
        <w:spacing w:line="360" w:lineRule="auto"/>
        <w:ind w:firstLineChars="200" w:firstLine="420"/>
        <w:jc w:val="left"/>
        <w:rPr>
          <w:rFonts w:ascii="Arial" w:hAnsi="Arial" w:cs="Arial"/>
          <w:kern w:val="0"/>
          <w:szCs w:val="21"/>
        </w:rPr>
      </w:pPr>
    </w:p>
    <w:p w:rsidR="00EF4BB2" w:rsidRDefault="002B7241" w:rsidP="00B84339">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w:t>
      </w:r>
      <w:r w:rsidR="005D4255" w:rsidRPr="005D4255">
        <w:rPr>
          <w:rFonts w:ascii="Arial" w:hAnsi="Arial" w:cs="Arial" w:hint="eastAsia"/>
          <w:szCs w:val="21"/>
        </w:rPr>
        <w:lastRenderedPageBreak/>
        <w:t>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B358C5"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00B358C5">
        <w:rPr>
          <w:rFonts w:ascii="Arial" w:hAnsi="Arial" w:cs="Arial" w:hint="eastAsia"/>
          <w:szCs w:val="21"/>
        </w:rPr>
        <w:t>认购、</w:t>
      </w:r>
      <w:r w:rsidRPr="003740F8">
        <w:rPr>
          <w:rFonts w:ascii="Arial" w:hAnsi="Arial" w:cs="Arial" w:hint="eastAsia"/>
          <w:szCs w:val="21"/>
        </w:rPr>
        <w:t>一次性</w:t>
      </w:r>
    </w:p>
    <w:p w:rsidR="008A7E4F" w:rsidRPr="00FD5083" w:rsidRDefault="008A7E4F" w:rsidP="00B358C5">
      <w:pPr>
        <w:widowControl/>
        <w:spacing w:line="360" w:lineRule="auto"/>
        <w:jc w:val="left"/>
        <w:rPr>
          <w:rFonts w:ascii="Arial" w:hAnsi="Arial" w:cs="Arial"/>
          <w:szCs w:val="21"/>
        </w:rPr>
      </w:pPr>
      <w:r w:rsidRPr="003740F8">
        <w:rPr>
          <w:rFonts w:ascii="Arial" w:hAnsi="Arial" w:cs="Arial" w:hint="eastAsia"/>
          <w:szCs w:val="21"/>
        </w:rPr>
        <w:t>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w:t>
      </w:r>
      <w:r w:rsidR="00B358C5">
        <w:rPr>
          <w:rFonts w:ascii="Arial" w:hAnsi="Arial" w:cs="Arial" w:hint="eastAsia"/>
          <w:szCs w:val="21"/>
        </w:rPr>
        <w:t>认购、</w:t>
      </w:r>
      <w:r w:rsidRPr="003740F8">
        <w:rPr>
          <w:rFonts w:ascii="Arial" w:hAnsi="Arial" w:cs="Arial" w:hint="eastAsia"/>
          <w:szCs w:val="21"/>
        </w:rPr>
        <w:t>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0147DB" w:rsidRDefault="007838F6" w:rsidP="000147DB">
      <w:pPr>
        <w:widowControl/>
        <w:spacing w:line="360" w:lineRule="auto"/>
        <w:ind w:firstLineChars="200" w:firstLine="420"/>
        <w:jc w:val="left"/>
        <w:rPr>
          <w:rFonts w:ascii="Arial" w:hAnsi="Arial" w:cs="Arial"/>
          <w:szCs w:val="21"/>
        </w:rPr>
      </w:pPr>
    </w:p>
    <w:p w:rsidR="0098471D" w:rsidRPr="000147DB" w:rsidRDefault="00117968">
      <w:pPr>
        <w:widowControl/>
        <w:spacing w:line="360" w:lineRule="auto"/>
        <w:ind w:firstLineChars="200" w:firstLine="420"/>
        <w:jc w:val="left"/>
        <w:rPr>
          <w:rFonts w:ascii="Arial" w:hAnsi="Arial" w:cs="Arial"/>
          <w:szCs w:val="21"/>
        </w:rPr>
      </w:pPr>
      <w:r w:rsidRPr="000147DB">
        <w:rPr>
          <w:rFonts w:ascii="Arial" w:hAnsi="Arial" w:cs="Arial" w:hint="eastAsia"/>
          <w:szCs w:val="21"/>
        </w:rPr>
        <w:t>四</w:t>
      </w:r>
      <w:r w:rsidR="000528B7" w:rsidRPr="000147DB">
        <w:rPr>
          <w:rFonts w:ascii="Arial" w:hAnsi="Arial" w:cs="Arial" w:hint="eastAsia"/>
          <w:szCs w:val="21"/>
        </w:rPr>
        <w:t>、</w:t>
      </w:r>
      <w:r w:rsidR="000237E9" w:rsidRPr="00FD5083">
        <w:rPr>
          <w:rFonts w:ascii="Arial" w:hAnsi="Arial" w:cs="Arial"/>
          <w:szCs w:val="21"/>
        </w:rPr>
        <w:t>投资者可通过以下途径咨询有关详</w:t>
      </w:r>
      <w:r w:rsidR="000237E9" w:rsidRPr="000147DB">
        <w:rPr>
          <w:rFonts w:ascii="Arial" w:hAnsi="Arial" w:cs="Arial" w:hint="eastAsia"/>
          <w:szCs w:val="21"/>
        </w:rPr>
        <w:t>情</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hyperlink r:id="rId7" w:history="1">
        <w:r w:rsidR="008D02B7" w:rsidRPr="006D3FF3">
          <w:rPr>
            <w:rStyle w:val="a8"/>
            <w:rFonts w:ascii="Arial" w:hAnsi="Arial" w:cs="Arial" w:hint="eastAsia"/>
            <w:szCs w:val="21"/>
          </w:rPr>
          <w:t>www.igwfmc.com</w:t>
        </w:r>
      </w:hyperlink>
    </w:p>
    <w:p w:rsidR="008D02B7" w:rsidRPr="00EF4360" w:rsidRDefault="008D02B7" w:rsidP="000147DB">
      <w:pPr>
        <w:widowControl/>
        <w:spacing w:line="360" w:lineRule="auto"/>
        <w:ind w:firstLineChars="200" w:firstLine="420"/>
        <w:jc w:val="left"/>
        <w:rPr>
          <w:rFonts w:ascii="Arial" w:hAnsi="Arial" w:cs="Arial"/>
          <w:szCs w:val="21"/>
        </w:rPr>
      </w:pPr>
    </w:p>
    <w:p w:rsidR="007B63BD" w:rsidRPr="00735537" w:rsidRDefault="00EF4360" w:rsidP="007B63BD">
      <w:pPr>
        <w:widowControl/>
        <w:spacing w:line="360" w:lineRule="auto"/>
        <w:ind w:firstLineChars="200" w:firstLine="420"/>
        <w:jc w:val="left"/>
        <w:rPr>
          <w:rFonts w:ascii="Arial" w:hAnsi="Arial" w:cs="Arial"/>
          <w:kern w:val="0"/>
          <w:szCs w:val="21"/>
        </w:rPr>
      </w:pPr>
      <w:r w:rsidRPr="00EF4360">
        <w:rPr>
          <w:rFonts w:ascii="Arial" w:hAnsi="Arial" w:cs="Arial" w:hint="eastAsia"/>
          <w:szCs w:val="21"/>
        </w:rPr>
        <w:t>2</w:t>
      </w:r>
      <w:r w:rsidRPr="00EF4360">
        <w:rPr>
          <w:rFonts w:ascii="Arial" w:hAnsi="Arial" w:cs="Arial" w:hint="eastAsia"/>
          <w:szCs w:val="21"/>
        </w:rPr>
        <w:t>、</w:t>
      </w:r>
      <w:r w:rsidR="007B63BD" w:rsidRPr="007B63BD">
        <w:rPr>
          <w:rFonts w:ascii="Arial" w:hAnsi="Arial" w:cs="Arial" w:hint="eastAsia"/>
          <w:kern w:val="0"/>
          <w:szCs w:val="21"/>
        </w:rPr>
        <w:t>招商银行股份有限公司招赢通</w:t>
      </w:r>
    </w:p>
    <w:p w:rsidR="007B63BD" w:rsidRPr="007B63BD" w:rsidRDefault="007B63BD" w:rsidP="007B63BD">
      <w:pPr>
        <w:widowControl/>
        <w:spacing w:line="360" w:lineRule="auto"/>
        <w:ind w:firstLineChars="200" w:firstLine="420"/>
        <w:jc w:val="left"/>
        <w:rPr>
          <w:rFonts w:ascii="Arial" w:hAnsi="Arial" w:cs="Arial"/>
          <w:kern w:val="0"/>
          <w:szCs w:val="21"/>
        </w:rPr>
      </w:pPr>
      <w:r w:rsidRPr="007B63BD">
        <w:rPr>
          <w:rFonts w:ascii="Arial" w:hAnsi="Arial" w:cs="Arial" w:hint="eastAsia"/>
          <w:kern w:val="0"/>
          <w:szCs w:val="21"/>
        </w:rPr>
        <w:t>网址：</w:t>
      </w:r>
      <w:r w:rsidRPr="007B63BD">
        <w:rPr>
          <w:rFonts w:ascii="Arial" w:hAnsi="Arial" w:cs="Arial" w:hint="eastAsia"/>
          <w:kern w:val="0"/>
          <w:szCs w:val="21"/>
        </w:rPr>
        <w:t>fi.cmbchina.com</w:t>
      </w:r>
    </w:p>
    <w:p w:rsidR="007B63BD" w:rsidRDefault="007B63BD" w:rsidP="007B63BD">
      <w:pPr>
        <w:widowControl/>
        <w:spacing w:line="360" w:lineRule="auto"/>
        <w:ind w:firstLineChars="200" w:firstLine="420"/>
        <w:jc w:val="left"/>
        <w:rPr>
          <w:rFonts w:ascii="Arial" w:hAnsi="Arial" w:cs="Arial"/>
          <w:kern w:val="0"/>
          <w:szCs w:val="21"/>
        </w:rPr>
      </w:pPr>
      <w:r w:rsidRPr="007B63BD">
        <w:rPr>
          <w:rFonts w:ascii="Arial" w:hAnsi="Arial" w:cs="Arial" w:hint="eastAsia"/>
          <w:kern w:val="0"/>
          <w:szCs w:val="21"/>
        </w:rPr>
        <w:t>客服电话：</w:t>
      </w:r>
      <w:r w:rsidRPr="007B63BD">
        <w:rPr>
          <w:rFonts w:ascii="Arial" w:hAnsi="Arial" w:cs="Arial" w:hint="eastAsia"/>
          <w:kern w:val="0"/>
          <w:szCs w:val="21"/>
        </w:rPr>
        <w:t>95555</w:t>
      </w:r>
    </w:p>
    <w:p w:rsidR="008D02B7" w:rsidRPr="00B84339" w:rsidRDefault="008D02B7" w:rsidP="008D02B7">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0147DB">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8D02B7" w:rsidRDefault="008D02B7">
      <w:pPr>
        <w:widowControl/>
        <w:spacing w:line="360" w:lineRule="auto"/>
        <w:ind w:firstLineChars="200" w:firstLine="420"/>
        <w:jc w:val="right"/>
        <w:rPr>
          <w:rFonts w:ascii="Arial" w:hAnsi="Arial" w:cs="Arial"/>
          <w:kern w:val="0"/>
          <w:szCs w:val="21"/>
        </w:rPr>
      </w:pPr>
    </w:p>
    <w:p w:rsidR="008D02B7" w:rsidRDefault="008D02B7">
      <w:pPr>
        <w:widowControl/>
        <w:spacing w:line="360" w:lineRule="auto"/>
        <w:ind w:firstLineChars="200" w:firstLine="420"/>
        <w:jc w:val="right"/>
        <w:rPr>
          <w:rFonts w:ascii="Arial" w:hAnsi="Arial" w:cs="Arial"/>
          <w:kern w:val="0"/>
          <w:szCs w:val="21"/>
        </w:rPr>
      </w:pPr>
    </w:p>
    <w:p w:rsidR="008D02B7" w:rsidRDefault="008D02B7">
      <w:pPr>
        <w:widowControl/>
        <w:spacing w:line="360" w:lineRule="auto"/>
        <w:ind w:firstLineChars="200" w:firstLine="420"/>
        <w:jc w:val="righ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735537">
        <w:rPr>
          <w:rFonts w:ascii="Arial" w:hAnsi="Arial" w:cs="Arial" w:hint="eastAsia"/>
          <w:kern w:val="0"/>
          <w:szCs w:val="21"/>
        </w:rPr>
        <w:t>〇</w:t>
      </w:r>
      <w:r w:rsidR="00A7005D" w:rsidRPr="00FD5083">
        <w:rPr>
          <w:rFonts w:ascii="Arial" w:hAnsi="Arial" w:cs="Arial"/>
          <w:kern w:val="0"/>
          <w:szCs w:val="21"/>
        </w:rPr>
        <w:t>二</w:t>
      </w:r>
      <w:r w:rsidR="00B773B0">
        <w:rPr>
          <w:rFonts w:ascii="Arial" w:hAnsi="Arial" w:cs="Arial" w:hint="eastAsia"/>
          <w:kern w:val="0"/>
          <w:szCs w:val="21"/>
        </w:rPr>
        <w:t>四</w:t>
      </w:r>
      <w:r w:rsidRPr="00FD5083">
        <w:rPr>
          <w:rFonts w:ascii="Arial" w:hAnsi="Arial" w:cs="Arial"/>
          <w:kern w:val="0"/>
          <w:szCs w:val="21"/>
        </w:rPr>
        <w:t>年</w:t>
      </w:r>
      <w:r w:rsidR="00DE2ECE">
        <w:rPr>
          <w:rFonts w:ascii="Arial" w:hAnsi="Arial" w:cs="Arial" w:hint="eastAsia"/>
          <w:kern w:val="0"/>
          <w:szCs w:val="21"/>
        </w:rPr>
        <w:t>十一</w:t>
      </w:r>
      <w:r w:rsidR="00527CFF" w:rsidRPr="00FD5083">
        <w:rPr>
          <w:rFonts w:ascii="Arial" w:hAnsi="Arial" w:cs="Arial"/>
          <w:kern w:val="0"/>
          <w:szCs w:val="21"/>
        </w:rPr>
        <w:t>月</w:t>
      </w:r>
      <w:r w:rsidR="00DE2ECE">
        <w:rPr>
          <w:rFonts w:ascii="Arial" w:hAnsi="Arial" w:cs="Arial" w:hint="eastAsia"/>
          <w:kern w:val="0"/>
          <w:szCs w:val="21"/>
        </w:rPr>
        <w:t>二十九</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830" w:rsidRDefault="00363830" w:rsidP="008E6554">
      <w:r>
        <w:separator/>
      </w:r>
    </w:p>
  </w:endnote>
  <w:endnote w:type="continuationSeparator" w:id="0">
    <w:p w:rsidR="00363830" w:rsidRDefault="00363830"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830" w:rsidRDefault="00363830" w:rsidP="008E6554">
      <w:r>
        <w:separator/>
      </w:r>
    </w:p>
  </w:footnote>
  <w:footnote w:type="continuationSeparator" w:id="0">
    <w:p w:rsidR="00363830" w:rsidRDefault="00363830"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44302"/>
    <w:rsid w:val="00047E91"/>
    <w:rsid w:val="00050352"/>
    <w:rsid w:val="00050DD0"/>
    <w:rsid w:val="000528B7"/>
    <w:rsid w:val="0006655E"/>
    <w:rsid w:val="00073E17"/>
    <w:rsid w:val="000863EA"/>
    <w:rsid w:val="0009138D"/>
    <w:rsid w:val="00093D33"/>
    <w:rsid w:val="000975F7"/>
    <w:rsid w:val="000A2295"/>
    <w:rsid w:val="000B4D9B"/>
    <w:rsid w:val="000C1AEC"/>
    <w:rsid w:val="000C47B7"/>
    <w:rsid w:val="000E0F94"/>
    <w:rsid w:val="000E27C1"/>
    <w:rsid w:val="000E4EFF"/>
    <w:rsid w:val="000E519B"/>
    <w:rsid w:val="000F2CC2"/>
    <w:rsid w:val="000F523B"/>
    <w:rsid w:val="000F7255"/>
    <w:rsid w:val="000F77C2"/>
    <w:rsid w:val="000F7828"/>
    <w:rsid w:val="00100AC0"/>
    <w:rsid w:val="001177E7"/>
    <w:rsid w:val="00117968"/>
    <w:rsid w:val="00127C63"/>
    <w:rsid w:val="00136B2A"/>
    <w:rsid w:val="00144AA1"/>
    <w:rsid w:val="00147743"/>
    <w:rsid w:val="0015086E"/>
    <w:rsid w:val="00156239"/>
    <w:rsid w:val="00156ED8"/>
    <w:rsid w:val="00157191"/>
    <w:rsid w:val="00160AC4"/>
    <w:rsid w:val="001634A3"/>
    <w:rsid w:val="00163E29"/>
    <w:rsid w:val="00165135"/>
    <w:rsid w:val="001672E8"/>
    <w:rsid w:val="0017061B"/>
    <w:rsid w:val="001745A4"/>
    <w:rsid w:val="00174B31"/>
    <w:rsid w:val="00177C9A"/>
    <w:rsid w:val="001821D8"/>
    <w:rsid w:val="00182CCD"/>
    <w:rsid w:val="00193333"/>
    <w:rsid w:val="001B13A9"/>
    <w:rsid w:val="001C13F3"/>
    <w:rsid w:val="001D2CB0"/>
    <w:rsid w:val="001D51A2"/>
    <w:rsid w:val="001E4619"/>
    <w:rsid w:val="001E7D97"/>
    <w:rsid w:val="001F2A04"/>
    <w:rsid w:val="001F2E05"/>
    <w:rsid w:val="001F526F"/>
    <w:rsid w:val="00202B24"/>
    <w:rsid w:val="00203FAC"/>
    <w:rsid w:val="00204C10"/>
    <w:rsid w:val="0020656B"/>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57A96"/>
    <w:rsid w:val="002603E0"/>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3830"/>
    <w:rsid w:val="003648A3"/>
    <w:rsid w:val="00366EAA"/>
    <w:rsid w:val="00370778"/>
    <w:rsid w:val="00374180"/>
    <w:rsid w:val="003762D2"/>
    <w:rsid w:val="003771C3"/>
    <w:rsid w:val="003801D7"/>
    <w:rsid w:val="00384C5E"/>
    <w:rsid w:val="003861FC"/>
    <w:rsid w:val="00387125"/>
    <w:rsid w:val="003A0B39"/>
    <w:rsid w:val="003A1F16"/>
    <w:rsid w:val="003A5DF4"/>
    <w:rsid w:val="003A64B2"/>
    <w:rsid w:val="003A7FBF"/>
    <w:rsid w:val="003B2CB1"/>
    <w:rsid w:val="003B5AD4"/>
    <w:rsid w:val="003B5AE0"/>
    <w:rsid w:val="003C51B9"/>
    <w:rsid w:val="003C6C3E"/>
    <w:rsid w:val="003D265E"/>
    <w:rsid w:val="003D3E12"/>
    <w:rsid w:val="003E0E29"/>
    <w:rsid w:val="003E4B8E"/>
    <w:rsid w:val="003F03E2"/>
    <w:rsid w:val="003F5F55"/>
    <w:rsid w:val="003F691A"/>
    <w:rsid w:val="003F7E2A"/>
    <w:rsid w:val="003F7F0F"/>
    <w:rsid w:val="00401ABC"/>
    <w:rsid w:val="004055B6"/>
    <w:rsid w:val="00410A84"/>
    <w:rsid w:val="004213A0"/>
    <w:rsid w:val="0042334C"/>
    <w:rsid w:val="00427A8C"/>
    <w:rsid w:val="00433A06"/>
    <w:rsid w:val="0043521C"/>
    <w:rsid w:val="004526A0"/>
    <w:rsid w:val="00454120"/>
    <w:rsid w:val="00462C3A"/>
    <w:rsid w:val="004635E1"/>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C1509"/>
    <w:rsid w:val="004D7080"/>
    <w:rsid w:val="004F0132"/>
    <w:rsid w:val="004F7288"/>
    <w:rsid w:val="00500F24"/>
    <w:rsid w:val="00511B95"/>
    <w:rsid w:val="005250BF"/>
    <w:rsid w:val="00527CFF"/>
    <w:rsid w:val="00532059"/>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68E"/>
    <w:rsid w:val="005B4907"/>
    <w:rsid w:val="005B501A"/>
    <w:rsid w:val="005B5F71"/>
    <w:rsid w:val="005C0B0B"/>
    <w:rsid w:val="005C3C00"/>
    <w:rsid w:val="005C4444"/>
    <w:rsid w:val="005C6ACA"/>
    <w:rsid w:val="005D4255"/>
    <w:rsid w:val="005E0079"/>
    <w:rsid w:val="005E0635"/>
    <w:rsid w:val="005E110D"/>
    <w:rsid w:val="005E2FEF"/>
    <w:rsid w:val="005E5012"/>
    <w:rsid w:val="005F0033"/>
    <w:rsid w:val="006072AD"/>
    <w:rsid w:val="00610BEC"/>
    <w:rsid w:val="00610E26"/>
    <w:rsid w:val="006126E5"/>
    <w:rsid w:val="006171A2"/>
    <w:rsid w:val="00622B06"/>
    <w:rsid w:val="0062408D"/>
    <w:rsid w:val="006274D8"/>
    <w:rsid w:val="00636162"/>
    <w:rsid w:val="006363A7"/>
    <w:rsid w:val="0063778C"/>
    <w:rsid w:val="006427C4"/>
    <w:rsid w:val="0064495D"/>
    <w:rsid w:val="00650350"/>
    <w:rsid w:val="006542BA"/>
    <w:rsid w:val="006553FD"/>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1E6B"/>
    <w:rsid w:val="00702AC9"/>
    <w:rsid w:val="007124FC"/>
    <w:rsid w:val="0071254D"/>
    <w:rsid w:val="00716F24"/>
    <w:rsid w:val="0073236E"/>
    <w:rsid w:val="00732E71"/>
    <w:rsid w:val="007332D9"/>
    <w:rsid w:val="00735537"/>
    <w:rsid w:val="007459FF"/>
    <w:rsid w:val="00747446"/>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3BD"/>
    <w:rsid w:val="007B6639"/>
    <w:rsid w:val="007D3CD6"/>
    <w:rsid w:val="007D6EA3"/>
    <w:rsid w:val="007E228A"/>
    <w:rsid w:val="007E72F2"/>
    <w:rsid w:val="007F4E1C"/>
    <w:rsid w:val="007F62BF"/>
    <w:rsid w:val="007F6941"/>
    <w:rsid w:val="007F6D8E"/>
    <w:rsid w:val="0080592A"/>
    <w:rsid w:val="0081417C"/>
    <w:rsid w:val="008201EF"/>
    <w:rsid w:val="00826885"/>
    <w:rsid w:val="00830255"/>
    <w:rsid w:val="008302C5"/>
    <w:rsid w:val="00832E38"/>
    <w:rsid w:val="00834CC8"/>
    <w:rsid w:val="00840CA7"/>
    <w:rsid w:val="00846590"/>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D02B7"/>
    <w:rsid w:val="008E6554"/>
    <w:rsid w:val="008E69FE"/>
    <w:rsid w:val="008E6BF4"/>
    <w:rsid w:val="008F10FB"/>
    <w:rsid w:val="008F5136"/>
    <w:rsid w:val="00903B4A"/>
    <w:rsid w:val="00906B42"/>
    <w:rsid w:val="0091077C"/>
    <w:rsid w:val="0091122A"/>
    <w:rsid w:val="009253FF"/>
    <w:rsid w:val="00932391"/>
    <w:rsid w:val="009354DB"/>
    <w:rsid w:val="00937946"/>
    <w:rsid w:val="00940389"/>
    <w:rsid w:val="00946C01"/>
    <w:rsid w:val="00952C06"/>
    <w:rsid w:val="00954275"/>
    <w:rsid w:val="009562E6"/>
    <w:rsid w:val="009617F9"/>
    <w:rsid w:val="009652A4"/>
    <w:rsid w:val="00966397"/>
    <w:rsid w:val="009669E7"/>
    <w:rsid w:val="00966B34"/>
    <w:rsid w:val="00967C70"/>
    <w:rsid w:val="009700F3"/>
    <w:rsid w:val="00982692"/>
    <w:rsid w:val="0098471D"/>
    <w:rsid w:val="00987576"/>
    <w:rsid w:val="00990D0C"/>
    <w:rsid w:val="00991EB6"/>
    <w:rsid w:val="009A1CCB"/>
    <w:rsid w:val="009A4310"/>
    <w:rsid w:val="009B5F59"/>
    <w:rsid w:val="009B6ABF"/>
    <w:rsid w:val="009B6C46"/>
    <w:rsid w:val="009C0FFA"/>
    <w:rsid w:val="009C172E"/>
    <w:rsid w:val="009C52F8"/>
    <w:rsid w:val="009D4784"/>
    <w:rsid w:val="009D49BB"/>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7005D"/>
    <w:rsid w:val="00A80836"/>
    <w:rsid w:val="00A87611"/>
    <w:rsid w:val="00A934A4"/>
    <w:rsid w:val="00A94AE7"/>
    <w:rsid w:val="00A96BAB"/>
    <w:rsid w:val="00AA3A74"/>
    <w:rsid w:val="00AB47F9"/>
    <w:rsid w:val="00AC4801"/>
    <w:rsid w:val="00AD2FF8"/>
    <w:rsid w:val="00AD7B70"/>
    <w:rsid w:val="00AE0483"/>
    <w:rsid w:val="00AE0E6D"/>
    <w:rsid w:val="00AE5342"/>
    <w:rsid w:val="00AE7198"/>
    <w:rsid w:val="00AF10BF"/>
    <w:rsid w:val="00B0433F"/>
    <w:rsid w:val="00B07B2B"/>
    <w:rsid w:val="00B16AFD"/>
    <w:rsid w:val="00B22640"/>
    <w:rsid w:val="00B3369A"/>
    <w:rsid w:val="00B358C5"/>
    <w:rsid w:val="00B42242"/>
    <w:rsid w:val="00B425D5"/>
    <w:rsid w:val="00B46D00"/>
    <w:rsid w:val="00B55515"/>
    <w:rsid w:val="00B61B14"/>
    <w:rsid w:val="00B64921"/>
    <w:rsid w:val="00B753AD"/>
    <w:rsid w:val="00B773B0"/>
    <w:rsid w:val="00B84339"/>
    <w:rsid w:val="00B86E81"/>
    <w:rsid w:val="00B94F4F"/>
    <w:rsid w:val="00B951BD"/>
    <w:rsid w:val="00B962A1"/>
    <w:rsid w:val="00BA0262"/>
    <w:rsid w:val="00BA119A"/>
    <w:rsid w:val="00BA44DB"/>
    <w:rsid w:val="00BB03D2"/>
    <w:rsid w:val="00BB12A1"/>
    <w:rsid w:val="00BB190B"/>
    <w:rsid w:val="00BB3D54"/>
    <w:rsid w:val="00BB53CC"/>
    <w:rsid w:val="00BC6565"/>
    <w:rsid w:val="00BC657E"/>
    <w:rsid w:val="00BD02BA"/>
    <w:rsid w:val="00BD15FF"/>
    <w:rsid w:val="00BD3681"/>
    <w:rsid w:val="00BD417A"/>
    <w:rsid w:val="00BD61AD"/>
    <w:rsid w:val="00BF3828"/>
    <w:rsid w:val="00C057E4"/>
    <w:rsid w:val="00C06895"/>
    <w:rsid w:val="00C11517"/>
    <w:rsid w:val="00C229F4"/>
    <w:rsid w:val="00C22DC9"/>
    <w:rsid w:val="00C35F6A"/>
    <w:rsid w:val="00C37100"/>
    <w:rsid w:val="00C405EC"/>
    <w:rsid w:val="00C4350D"/>
    <w:rsid w:val="00C53026"/>
    <w:rsid w:val="00C531E5"/>
    <w:rsid w:val="00C618F3"/>
    <w:rsid w:val="00C62558"/>
    <w:rsid w:val="00C63875"/>
    <w:rsid w:val="00C7034F"/>
    <w:rsid w:val="00C77876"/>
    <w:rsid w:val="00C816E4"/>
    <w:rsid w:val="00C83A06"/>
    <w:rsid w:val="00C84AB3"/>
    <w:rsid w:val="00C87754"/>
    <w:rsid w:val="00C91010"/>
    <w:rsid w:val="00C930D5"/>
    <w:rsid w:val="00C94AEA"/>
    <w:rsid w:val="00C95E03"/>
    <w:rsid w:val="00C978D0"/>
    <w:rsid w:val="00CA0DBB"/>
    <w:rsid w:val="00CB095C"/>
    <w:rsid w:val="00CB11BE"/>
    <w:rsid w:val="00CB465C"/>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5324E"/>
    <w:rsid w:val="00D608E7"/>
    <w:rsid w:val="00D60D84"/>
    <w:rsid w:val="00D65C0F"/>
    <w:rsid w:val="00D65C39"/>
    <w:rsid w:val="00D81AA4"/>
    <w:rsid w:val="00D82018"/>
    <w:rsid w:val="00D870ED"/>
    <w:rsid w:val="00D91FA3"/>
    <w:rsid w:val="00D93689"/>
    <w:rsid w:val="00DA2931"/>
    <w:rsid w:val="00DA34C7"/>
    <w:rsid w:val="00DA4B15"/>
    <w:rsid w:val="00DA57CC"/>
    <w:rsid w:val="00DB545C"/>
    <w:rsid w:val="00DC0D2B"/>
    <w:rsid w:val="00DC1E66"/>
    <w:rsid w:val="00DC458A"/>
    <w:rsid w:val="00DC5FCC"/>
    <w:rsid w:val="00DD3DBC"/>
    <w:rsid w:val="00DE079F"/>
    <w:rsid w:val="00DE2ECE"/>
    <w:rsid w:val="00DF1224"/>
    <w:rsid w:val="00DF3229"/>
    <w:rsid w:val="00DF41E4"/>
    <w:rsid w:val="00DF57DF"/>
    <w:rsid w:val="00DF7912"/>
    <w:rsid w:val="00E04306"/>
    <w:rsid w:val="00E047F2"/>
    <w:rsid w:val="00E11B16"/>
    <w:rsid w:val="00E15C1D"/>
    <w:rsid w:val="00E23889"/>
    <w:rsid w:val="00E3464C"/>
    <w:rsid w:val="00E41019"/>
    <w:rsid w:val="00E415FF"/>
    <w:rsid w:val="00E41BE9"/>
    <w:rsid w:val="00E50F8D"/>
    <w:rsid w:val="00E512DC"/>
    <w:rsid w:val="00E6250C"/>
    <w:rsid w:val="00E642ED"/>
    <w:rsid w:val="00E70226"/>
    <w:rsid w:val="00E73DE9"/>
    <w:rsid w:val="00E769E0"/>
    <w:rsid w:val="00E847F6"/>
    <w:rsid w:val="00E84F28"/>
    <w:rsid w:val="00E913F6"/>
    <w:rsid w:val="00EA161C"/>
    <w:rsid w:val="00EA2824"/>
    <w:rsid w:val="00EA6778"/>
    <w:rsid w:val="00EB3448"/>
    <w:rsid w:val="00EB40D2"/>
    <w:rsid w:val="00EB5B6E"/>
    <w:rsid w:val="00EB5D68"/>
    <w:rsid w:val="00EB6A0C"/>
    <w:rsid w:val="00EC1D5D"/>
    <w:rsid w:val="00EC431C"/>
    <w:rsid w:val="00EC558F"/>
    <w:rsid w:val="00ED4BFA"/>
    <w:rsid w:val="00ED6928"/>
    <w:rsid w:val="00EF4360"/>
    <w:rsid w:val="00EF4BB2"/>
    <w:rsid w:val="00F0297F"/>
    <w:rsid w:val="00F03DB3"/>
    <w:rsid w:val="00F06DDB"/>
    <w:rsid w:val="00F14B04"/>
    <w:rsid w:val="00F343D0"/>
    <w:rsid w:val="00F34693"/>
    <w:rsid w:val="00F401A7"/>
    <w:rsid w:val="00F42F90"/>
    <w:rsid w:val="00F5481C"/>
    <w:rsid w:val="00F83ABF"/>
    <w:rsid w:val="00F8402A"/>
    <w:rsid w:val="00F855CA"/>
    <w:rsid w:val="00F90593"/>
    <w:rsid w:val="00F94E2B"/>
    <w:rsid w:val="00F962CA"/>
    <w:rsid w:val="00F9726D"/>
    <w:rsid w:val="00F979F8"/>
    <w:rsid w:val="00FA0D4C"/>
    <w:rsid w:val="00FA0F8B"/>
    <w:rsid w:val="00FA2BBD"/>
    <w:rsid w:val="00FB22BB"/>
    <w:rsid w:val="00FC3235"/>
    <w:rsid w:val="00FC3C00"/>
    <w:rsid w:val="00FC5B13"/>
    <w:rsid w:val="00FD4F6A"/>
    <w:rsid w:val="00FD5083"/>
    <w:rsid w:val="00FD6080"/>
    <w:rsid w:val="00FE13BA"/>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qFormat="1"/>
    <w:lsdException w:name="annotation subject" w:semiHidden="0" w:qFormat="1"/>
    <w:lsdException w:name="Table Subtle 2" w:semiHidden="0" w:unhideWhenUsed="0"/>
    <w:lsdException w:name="Table Web 3" w:semiHidden="0" w:unhideWhenUsed="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74669648">
      <w:bodyDiv w:val="1"/>
      <w:marLeft w:val="0"/>
      <w:marRight w:val="0"/>
      <w:marTop w:val="0"/>
      <w:marBottom w:val="0"/>
      <w:divBdr>
        <w:top w:val="none" w:sz="0" w:space="0" w:color="auto"/>
        <w:left w:val="none" w:sz="0" w:space="0" w:color="auto"/>
        <w:bottom w:val="none" w:sz="0" w:space="0" w:color="auto"/>
        <w:right w:val="none" w:sz="0" w:space="0" w:color="auto"/>
      </w:divBdr>
      <w:divsChild>
        <w:div w:id="627861791">
          <w:marLeft w:val="0"/>
          <w:marRight w:val="0"/>
          <w:marTop w:val="0"/>
          <w:marBottom w:val="0"/>
          <w:divBdr>
            <w:top w:val="none" w:sz="0" w:space="0" w:color="auto"/>
            <w:left w:val="none" w:sz="0" w:space="0" w:color="auto"/>
            <w:bottom w:val="none" w:sz="0" w:space="0" w:color="auto"/>
            <w:right w:val="none" w:sz="0" w:space="0" w:color="auto"/>
          </w:divBdr>
          <w:divsChild>
            <w:div w:id="1963998824">
              <w:marLeft w:val="0"/>
              <w:marRight w:val="0"/>
              <w:marTop w:val="0"/>
              <w:marBottom w:val="0"/>
              <w:divBdr>
                <w:top w:val="single" w:sz="6" w:space="12" w:color="DDDDDD"/>
                <w:left w:val="single" w:sz="6" w:space="12" w:color="DDDDDD"/>
                <w:bottom w:val="single" w:sz="6" w:space="12" w:color="DDDDDD"/>
                <w:right w:val="single" w:sz="6" w:space="12" w:color="DDDDDD"/>
              </w:divBdr>
              <w:divsChild>
                <w:div w:id="1108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69482379">
      <w:bodyDiv w:val="1"/>
      <w:marLeft w:val="0"/>
      <w:marRight w:val="0"/>
      <w:marTop w:val="0"/>
      <w:marBottom w:val="0"/>
      <w:divBdr>
        <w:top w:val="none" w:sz="0" w:space="0" w:color="auto"/>
        <w:left w:val="none" w:sz="0" w:space="0" w:color="auto"/>
        <w:bottom w:val="none" w:sz="0" w:space="0" w:color="auto"/>
        <w:right w:val="none" w:sz="0" w:space="0" w:color="auto"/>
      </w:divBdr>
      <w:divsChild>
        <w:div w:id="1518932945">
          <w:marLeft w:val="0"/>
          <w:marRight w:val="0"/>
          <w:marTop w:val="0"/>
          <w:marBottom w:val="0"/>
          <w:divBdr>
            <w:top w:val="none" w:sz="0" w:space="0" w:color="auto"/>
            <w:left w:val="none" w:sz="0" w:space="0" w:color="auto"/>
            <w:bottom w:val="none" w:sz="0" w:space="0" w:color="auto"/>
            <w:right w:val="none" w:sz="0" w:space="0" w:color="auto"/>
          </w:divBdr>
          <w:divsChild>
            <w:div w:id="1798446034">
              <w:marLeft w:val="0"/>
              <w:marRight w:val="0"/>
              <w:marTop w:val="0"/>
              <w:marBottom w:val="0"/>
              <w:divBdr>
                <w:top w:val="single" w:sz="6" w:space="12" w:color="DDDDDD"/>
                <w:left w:val="single" w:sz="6" w:space="12" w:color="DDDDDD"/>
                <w:bottom w:val="single" w:sz="6" w:space="12" w:color="DDDDDD"/>
                <w:right w:val="single" w:sz="6" w:space="12" w:color="DDDDDD"/>
              </w:divBdr>
              <w:divsChild>
                <w:div w:id="21252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gwfm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2131</Characters>
  <Application>Microsoft Office Word</Application>
  <DocSecurity>4</DocSecurity>
  <Lines>17</Lines>
  <Paragraphs>4</Paragraphs>
  <ScaleCrop>false</ScaleCrop>
  <Company>JDJR</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陈淼</dc:creator>
  <cp:lastModifiedBy>ZHONGM</cp:lastModifiedBy>
  <cp:revision>2</cp:revision>
  <cp:lastPrinted>2016-11-22T01:06:00Z</cp:lastPrinted>
  <dcterms:created xsi:type="dcterms:W3CDTF">2024-11-28T16:02:00Z</dcterms:created>
  <dcterms:modified xsi:type="dcterms:W3CDTF">2024-11-28T16:02:00Z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