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2E3" w:rsidRDefault="00E53164">
      <w:pPr>
        <w:spacing w:line="360" w:lineRule="auto"/>
        <w:jc w:val="center"/>
        <w:rPr>
          <w:sz w:val="32"/>
        </w:rPr>
      </w:pPr>
      <w:r>
        <w:rPr>
          <w:rFonts w:hint="eastAsia"/>
          <w:sz w:val="32"/>
        </w:rPr>
        <w:t>富国基金管理有限公司关于旗下部分基金</w:t>
      </w:r>
    </w:p>
    <w:p w:rsidR="006952E3" w:rsidRDefault="00E53164">
      <w:pPr>
        <w:spacing w:line="360" w:lineRule="auto"/>
        <w:jc w:val="center"/>
        <w:rPr>
          <w:sz w:val="32"/>
        </w:rPr>
      </w:pPr>
      <w:r>
        <w:rPr>
          <w:rFonts w:hint="eastAsia"/>
          <w:sz w:val="32"/>
        </w:rPr>
        <w:t>在直销渠道开通转换业务的公告</w:t>
      </w:r>
    </w:p>
    <w:p w:rsidR="006952E3" w:rsidRDefault="006952E3">
      <w:pPr>
        <w:spacing w:line="360" w:lineRule="auto"/>
        <w:jc w:val="center"/>
      </w:pPr>
    </w:p>
    <w:p w:rsidR="006952E3" w:rsidRDefault="00E53164">
      <w:pPr>
        <w:spacing w:line="360" w:lineRule="auto"/>
        <w:ind w:firstLineChars="200" w:firstLine="420"/>
      </w:pPr>
      <w:r>
        <w:rPr>
          <w:rFonts w:hint="eastAsia"/>
        </w:rPr>
        <w:t>为了更好地服务客户，富国基金管理有限公司（以下简称“本公司”）直销渠道（仅限直销柜台）将从</w:t>
      </w:r>
      <w:r>
        <w:rPr>
          <w:rFonts w:hint="eastAsia"/>
        </w:rPr>
        <w:t>2024</w:t>
      </w:r>
      <w:r>
        <w:rPr>
          <w:rFonts w:hint="eastAsia"/>
        </w:rPr>
        <w:t>年</w:t>
      </w:r>
      <w:r>
        <w:t>12</w:t>
      </w:r>
      <w:r>
        <w:rPr>
          <w:rFonts w:hint="eastAsia"/>
        </w:rPr>
        <w:t>月</w:t>
      </w:r>
      <w:r>
        <w:t>2</w:t>
      </w:r>
      <w:r>
        <w:rPr>
          <w:rFonts w:hint="eastAsia"/>
        </w:rPr>
        <w:t>日起，对注册登记在本公司的以下基金产品开通转换业务，具体内容如下：</w:t>
      </w:r>
    </w:p>
    <w:p w:rsidR="006952E3" w:rsidRDefault="006952E3">
      <w:pPr>
        <w:spacing w:line="360" w:lineRule="auto"/>
        <w:ind w:firstLineChars="200" w:firstLine="420"/>
      </w:pPr>
    </w:p>
    <w:p w:rsidR="006952E3" w:rsidRDefault="00E53164">
      <w:pPr>
        <w:numPr>
          <w:ilvl w:val="0"/>
          <w:numId w:val="1"/>
        </w:numPr>
        <w:spacing w:line="360" w:lineRule="auto"/>
      </w:pPr>
      <w:r>
        <w:rPr>
          <w:rFonts w:hint="eastAsia"/>
        </w:rPr>
        <w:t>开通转换业务的产品列表</w:t>
      </w:r>
    </w:p>
    <w:tbl>
      <w:tblPr>
        <w:tblStyle w:val="a8"/>
        <w:tblW w:w="0" w:type="auto"/>
        <w:jc w:val="center"/>
        <w:tblLook w:val="04A0"/>
      </w:tblPr>
      <w:tblGrid>
        <w:gridCol w:w="704"/>
        <w:gridCol w:w="3402"/>
        <w:gridCol w:w="2086"/>
        <w:gridCol w:w="1056"/>
      </w:tblGrid>
      <w:tr w:rsidR="006952E3">
        <w:trPr>
          <w:jc w:val="center"/>
        </w:trPr>
        <w:tc>
          <w:tcPr>
            <w:tcW w:w="704" w:type="dxa"/>
            <w:vAlign w:val="center"/>
          </w:tcPr>
          <w:p w:rsidR="006952E3" w:rsidRDefault="00E53164">
            <w:pPr>
              <w:spacing w:line="360" w:lineRule="auto"/>
              <w:jc w:val="center"/>
            </w:pPr>
            <w:r>
              <w:rPr>
                <w:rFonts w:hint="eastAsia"/>
              </w:rPr>
              <w:t>序号</w:t>
            </w:r>
          </w:p>
        </w:tc>
        <w:tc>
          <w:tcPr>
            <w:tcW w:w="3402" w:type="dxa"/>
            <w:vAlign w:val="center"/>
          </w:tcPr>
          <w:p w:rsidR="006952E3" w:rsidRDefault="00E53164">
            <w:pPr>
              <w:spacing w:line="360" w:lineRule="auto"/>
              <w:jc w:val="center"/>
            </w:pPr>
            <w:r>
              <w:rPr>
                <w:rFonts w:hint="eastAsia"/>
              </w:rPr>
              <w:t>基金名称</w:t>
            </w:r>
          </w:p>
        </w:tc>
        <w:tc>
          <w:tcPr>
            <w:tcW w:w="2086" w:type="dxa"/>
            <w:vAlign w:val="center"/>
          </w:tcPr>
          <w:p w:rsidR="006952E3" w:rsidRDefault="00E53164">
            <w:pPr>
              <w:spacing w:line="360" w:lineRule="auto"/>
              <w:jc w:val="center"/>
            </w:pPr>
            <w:r>
              <w:rPr>
                <w:rFonts w:hint="eastAsia"/>
              </w:rPr>
              <w:t>份额类别</w:t>
            </w:r>
          </w:p>
        </w:tc>
        <w:tc>
          <w:tcPr>
            <w:tcW w:w="0" w:type="auto"/>
            <w:vAlign w:val="center"/>
          </w:tcPr>
          <w:p w:rsidR="006952E3" w:rsidRDefault="00E53164">
            <w:pPr>
              <w:spacing w:line="360" w:lineRule="auto"/>
              <w:jc w:val="center"/>
            </w:pPr>
            <w:r>
              <w:rPr>
                <w:rFonts w:hint="eastAsia"/>
              </w:rPr>
              <w:t>份额代码</w:t>
            </w:r>
          </w:p>
        </w:tc>
      </w:tr>
      <w:tr w:rsidR="006952E3">
        <w:trPr>
          <w:jc w:val="center"/>
        </w:trPr>
        <w:tc>
          <w:tcPr>
            <w:tcW w:w="704" w:type="dxa"/>
            <w:vAlign w:val="center"/>
          </w:tcPr>
          <w:p w:rsidR="006952E3" w:rsidRDefault="00E53164">
            <w:pPr>
              <w:spacing w:line="360" w:lineRule="auto"/>
              <w:jc w:val="center"/>
            </w:pPr>
            <w:r>
              <w:rPr>
                <w:rFonts w:hint="eastAsia"/>
              </w:rPr>
              <w:t>1</w:t>
            </w:r>
          </w:p>
        </w:tc>
        <w:tc>
          <w:tcPr>
            <w:tcW w:w="3402" w:type="dxa"/>
            <w:vAlign w:val="center"/>
          </w:tcPr>
          <w:p w:rsidR="006952E3" w:rsidRDefault="00E53164">
            <w:pPr>
              <w:spacing w:line="360" w:lineRule="auto"/>
              <w:jc w:val="center"/>
            </w:pPr>
            <w:r>
              <w:rPr>
                <w:rFonts w:hint="eastAsia"/>
              </w:rPr>
              <w:t>富国港股通策略精选混合型证券投资基金</w:t>
            </w:r>
          </w:p>
        </w:tc>
        <w:tc>
          <w:tcPr>
            <w:tcW w:w="2086" w:type="dxa"/>
            <w:vAlign w:val="center"/>
          </w:tcPr>
          <w:p w:rsidR="006952E3" w:rsidRDefault="00E53164">
            <w:pPr>
              <w:spacing w:line="360" w:lineRule="auto"/>
              <w:jc w:val="center"/>
            </w:pPr>
            <w:r>
              <w:t>A</w:t>
            </w:r>
            <w:r>
              <w:t>类份额</w:t>
            </w:r>
          </w:p>
        </w:tc>
        <w:tc>
          <w:tcPr>
            <w:tcW w:w="0" w:type="auto"/>
            <w:vAlign w:val="center"/>
          </w:tcPr>
          <w:p w:rsidR="006952E3" w:rsidRDefault="00E53164">
            <w:pPr>
              <w:spacing w:line="360" w:lineRule="auto"/>
              <w:jc w:val="center"/>
            </w:pPr>
            <w:r>
              <w:t>011635</w:t>
            </w:r>
          </w:p>
        </w:tc>
      </w:tr>
      <w:tr w:rsidR="006952E3">
        <w:trPr>
          <w:jc w:val="center"/>
        </w:trPr>
        <w:tc>
          <w:tcPr>
            <w:tcW w:w="704" w:type="dxa"/>
            <w:vAlign w:val="center"/>
          </w:tcPr>
          <w:p w:rsidR="006952E3" w:rsidRDefault="00E53164">
            <w:pPr>
              <w:spacing w:line="360" w:lineRule="auto"/>
              <w:jc w:val="center"/>
            </w:pPr>
            <w:r>
              <w:rPr>
                <w:rFonts w:hint="eastAsia"/>
              </w:rPr>
              <w:t>2</w:t>
            </w:r>
          </w:p>
        </w:tc>
        <w:tc>
          <w:tcPr>
            <w:tcW w:w="3402" w:type="dxa"/>
            <w:vAlign w:val="center"/>
          </w:tcPr>
          <w:p w:rsidR="006952E3" w:rsidRDefault="00E53164">
            <w:pPr>
              <w:spacing w:line="360" w:lineRule="auto"/>
              <w:jc w:val="center"/>
            </w:pPr>
            <w:r>
              <w:rPr>
                <w:rFonts w:hint="eastAsia"/>
              </w:rPr>
              <w:t>富国港股通策略精选混合型证券投资基金</w:t>
            </w:r>
          </w:p>
        </w:tc>
        <w:tc>
          <w:tcPr>
            <w:tcW w:w="2086" w:type="dxa"/>
            <w:vAlign w:val="center"/>
          </w:tcPr>
          <w:p w:rsidR="006952E3" w:rsidRDefault="00E53164">
            <w:pPr>
              <w:spacing w:line="360" w:lineRule="auto"/>
              <w:jc w:val="center"/>
            </w:pPr>
            <w:r>
              <w:rPr>
                <w:rFonts w:hint="eastAsia"/>
              </w:rPr>
              <w:t>C</w:t>
            </w:r>
            <w:r>
              <w:t>类份额</w:t>
            </w:r>
          </w:p>
        </w:tc>
        <w:tc>
          <w:tcPr>
            <w:tcW w:w="0" w:type="auto"/>
            <w:vAlign w:val="center"/>
          </w:tcPr>
          <w:p w:rsidR="006952E3" w:rsidRDefault="00E53164">
            <w:pPr>
              <w:spacing w:line="360" w:lineRule="auto"/>
              <w:jc w:val="center"/>
            </w:pPr>
            <w:r>
              <w:t>011636</w:t>
            </w:r>
          </w:p>
        </w:tc>
      </w:tr>
      <w:tr w:rsidR="006952E3">
        <w:trPr>
          <w:jc w:val="center"/>
        </w:trPr>
        <w:tc>
          <w:tcPr>
            <w:tcW w:w="704" w:type="dxa"/>
            <w:vAlign w:val="center"/>
          </w:tcPr>
          <w:p w:rsidR="006952E3" w:rsidRDefault="00E53164">
            <w:pPr>
              <w:spacing w:line="360" w:lineRule="auto"/>
              <w:jc w:val="center"/>
            </w:pPr>
            <w:r>
              <w:rPr>
                <w:rFonts w:hint="eastAsia"/>
              </w:rPr>
              <w:t>3</w:t>
            </w:r>
          </w:p>
        </w:tc>
        <w:tc>
          <w:tcPr>
            <w:tcW w:w="3402" w:type="dxa"/>
            <w:vAlign w:val="center"/>
          </w:tcPr>
          <w:p w:rsidR="006952E3" w:rsidRDefault="00E53164">
            <w:pPr>
              <w:spacing w:line="360" w:lineRule="auto"/>
              <w:jc w:val="center"/>
            </w:pPr>
            <w:r>
              <w:rPr>
                <w:rFonts w:hint="eastAsia"/>
              </w:rPr>
              <w:t>富国港股通红利精选混合型证券投资基金</w:t>
            </w:r>
          </w:p>
        </w:tc>
        <w:tc>
          <w:tcPr>
            <w:tcW w:w="2086" w:type="dxa"/>
            <w:vAlign w:val="center"/>
          </w:tcPr>
          <w:p w:rsidR="006952E3" w:rsidRDefault="00E53164">
            <w:pPr>
              <w:spacing w:line="360" w:lineRule="auto"/>
              <w:jc w:val="center"/>
            </w:pPr>
            <w:r>
              <w:t>A</w:t>
            </w:r>
            <w:r>
              <w:t>类份额</w:t>
            </w:r>
          </w:p>
        </w:tc>
        <w:tc>
          <w:tcPr>
            <w:tcW w:w="0" w:type="auto"/>
            <w:vAlign w:val="center"/>
          </w:tcPr>
          <w:p w:rsidR="006952E3" w:rsidRDefault="00E53164">
            <w:pPr>
              <w:spacing w:line="360" w:lineRule="auto"/>
              <w:jc w:val="center"/>
            </w:pPr>
            <w:r>
              <w:t>021513</w:t>
            </w:r>
          </w:p>
        </w:tc>
      </w:tr>
      <w:tr w:rsidR="006952E3">
        <w:trPr>
          <w:jc w:val="center"/>
        </w:trPr>
        <w:tc>
          <w:tcPr>
            <w:tcW w:w="704" w:type="dxa"/>
            <w:vAlign w:val="center"/>
          </w:tcPr>
          <w:p w:rsidR="006952E3" w:rsidRDefault="00E53164">
            <w:pPr>
              <w:spacing w:line="360" w:lineRule="auto"/>
              <w:jc w:val="center"/>
            </w:pPr>
            <w:r>
              <w:rPr>
                <w:rFonts w:hint="eastAsia"/>
              </w:rPr>
              <w:t>4</w:t>
            </w:r>
          </w:p>
        </w:tc>
        <w:tc>
          <w:tcPr>
            <w:tcW w:w="3402" w:type="dxa"/>
            <w:vAlign w:val="center"/>
          </w:tcPr>
          <w:p w:rsidR="006952E3" w:rsidRDefault="00E53164">
            <w:pPr>
              <w:spacing w:line="360" w:lineRule="auto"/>
              <w:jc w:val="center"/>
            </w:pPr>
            <w:r>
              <w:rPr>
                <w:rFonts w:hint="eastAsia"/>
              </w:rPr>
              <w:t>富国港股通红利精选混合型证券投资基金</w:t>
            </w:r>
          </w:p>
        </w:tc>
        <w:tc>
          <w:tcPr>
            <w:tcW w:w="2086" w:type="dxa"/>
            <w:vAlign w:val="center"/>
          </w:tcPr>
          <w:p w:rsidR="006952E3" w:rsidRDefault="00E53164">
            <w:pPr>
              <w:spacing w:line="360" w:lineRule="auto"/>
              <w:jc w:val="center"/>
            </w:pPr>
            <w:r>
              <w:rPr>
                <w:rFonts w:hint="eastAsia"/>
              </w:rPr>
              <w:t>C</w:t>
            </w:r>
            <w:r>
              <w:t>类份额</w:t>
            </w:r>
          </w:p>
        </w:tc>
        <w:tc>
          <w:tcPr>
            <w:tcW w:w="0" w:type="auto"/>
            <w:vAlign w:val="center"/>
          </w:tcPr>
          <w:p w:rsidR="006952E3" w:rsidRDefault="00E53164">
            <w:pPr>
              <w:spacing w:line="360" w:lineRule="auto"/>
              <w:jc w:val="center"/>
            </w:pPr>
            <w:r>
              <w:t>021514</w:t>
            </w:r>
          </w:p>
        </w:tc>
      </w:tr>
      <w:tr w:rsidR="006952E3">
        <w:trPr>
          <w:jc w:val="center"/>
        </w:trPr>
        <w:tc>
          <w:tcPr>
            <w:tcW w:w="704" w:type="dxa"/>
            <w:vAlign w:val="center"/>
          </w:tcPr>
          <w:p w:rsidR="006952E3" w:rsidRDefault="00E53164">
            <w:pPr>
              <w:spacing w:line="360" w:lineRule="auto"/>
              <w:jc w:val="center"/>
            </w:pPr>
            <w:r>
              <w:rPr>
                <w:rFonts w:hint="eastAsia"/>
              </w:rPr>
              <w:t>5</w:t>
            </w:r>
          </w:p>
        </w:tc>
        <w:tc>
          <w:tcPr>
            <w:tcW w:w="3402" w:type="dxa"/>
            <w:vAlign w:val="center"/>
          </w:tcPr>
          <w:p w:rsidR="006952E3" w:rsidRDefault="00E53164">
            <w:pPr>
              <w:spacing w:line="360" w:lineRule="auto"/>
              <w:jc w:val="center"/>
            </w:pPr>
            <w:r>
              <w:rPr>
                <w:rFonts w:hint="eastAsia"/>
              </w:rPr>
              <w:t>富国沪港深行业精选灵活配置混合型发起式证券投资基金</w:t>
            </w:r>
          </w:p>
        </w:tc>
        <w:tc>
          <w:tcPr>
            <w:tcW w:w="2086" w:type="dxa"/>
            <w:vAlign w:val="center"/>
          </w:tcPr>
          <w:p w:rsidR="006952E3" w:rsidRDefault="00E53164">
            <w:pPr>
              <w:spacing w:line="360" w:lineRule="auto"/>
              <w:jc w:val="center"/>
            </w:pPr>
            <w:r>
              <w:t>A</w:t>
            </w:r>
            <w:r>
              <w:t>类份额</w:t>
            </w:r>
          </w:p>
        </w:tc>
        <w:tc>
          <w:tcPr>
            <w:tcW w:w="0" w:type="auto"/>
            <w:vAlign w:val="center"/>
          </w:tcPr>
          <w:p w:rsidR="006952E3" w:rsidRDefault="00E53164">
            <w:pPr>
              <w:spacing w:line="360" w:lineRule="auto"/>
              <w:jc w:val="center"/>
            </w:pPr>
            <w:r>
              <w:rPr>
                <w:rFonts w:hint="eastAsia"/>
              </w:rPr>
              <w:t>0</w:t>
            </w:r>
            <w:r>
              <w:t>05354</w:t>
            </w:r>
          </w:p>
        </w:tc>
      </w:tr>
      <w:tr w:rsidR="006952E3">
        <w:trPr>
          <w:jc w:val="center"/>
        </w:trPr>
        <w:tc>
          <w:tcPr>
            <w:tcW w:w="704" w:type="dxa"/>
            <w:vAlign w:val="center"/>
          </w:tcPr>
          <w:p w:rsidR="006952E3" w:rsidRDefault="00E53164">
            <w:pPr>
              <w:spacing w:line="360" w:lineRule="auto"/>
              <w:jc w:val="center"/>
            </w:pPr>
            <w:r>
              <w:rPr>
                <w:rFonts w:hint="eastAsia"/>
              </w:rPr>
              <w:t>6</w:t>
            </w:r>
          </w:p>
        </w:tc>
        <w:tc>
          <w:tcPr>
            <w:tcW w:w="3402" w:type="dxa"/>
            <w:vAlign w:val="center"/>
          </w:tcPr>
          <w:p w:rsidR="006952E3" w:rsidRDefault="00E53164">
            <w:pPr>
              <w:spacing w:line="360" w:lineRule="auto"/>
              <w:jc w:val="center"/>
            </w:pPr>
            <w:r>
              <w:rPr>
                <w:rFonts w:hint="eastAsia"/>
              </w:rPr>
              <w:t>富国沪港深行业精选灵活配置混合型发起式证券投资基金</w:t>
            </w:r>
          </w:p>
        </w:tc>
        <w:tc>
          <w:tcPr>
            <w:tcW w:w="2086" w:type="dxa"/>
            <w:vAlign w:val="center"/>
          </w:tcPr>
          <w:p w:rsidR="006952E3" w:rsidRDefault="00E53164">
            <w:pPr>
              <w:spacing w:line="360" w:lineRule="auto"/>
              <w:jc w:val="center"/>
            </w:pPr>
            <w:r>
              <w:rPr>
                <w:rFonts w:hint="eastAsia"/>
              </w:rPr>
              <w:t>C</w:t>
            </w:r>
            <w:r>
              <w:t>类份额</w:t>
            </w:r>
          </w:p>
        </w:tc>
        <w:tc>
          <w:tcPr>
            <w:tcW w:w="0" w:type="auto"/>
            <w:vAlign w:val="center"/>
          </w:tcPr>
          <w:p w:rsidR="006952E3" w:rsidRDefault="00E53164">
            <w:pPr>
              <w:spacing w:line="360" w:lineRule="auto"/>
              <w:jc w:val="center"/>
            </w:pPr>
            <w:r>
              <w:rPr>
                <w:rFonts w:hint="eastAsia"/>
              </w:rPr>
              <w:t>0</w:t>
            </w:r>
            <w:r>
              <w:t>11114</w:t>
            </w:r>
          </w:p>
        </w:tc>
      </w:tr>
      <w:tr w:rsidR="006952E3">
        <w:trPr>
          <w:jc w:val="center"/>
        </w:trPr>
        <w:tc>
          <w:tcPr>
            <w:tcW w:w="704" w:type="dxa"/>
            <w:vAlign w:val="center"/>
          </w:tcPr>
          <w:p w:rsidR="006952E3" w:rsidRDefault="00E53164">
            <w:pPr>
              <w:spacing w:line="360" w:lineRule="auto"/>
              <w:jc w:val="center"/>
            </w:pPr>
            <w:r>
              <w:rPr>
                <w:rFonts w:hint="eastAsia"/>
              </w:rPr>
              <w:t>7</w:t>
            </w:r>
          </w:p>
        </w:tc>
        <w:tc>
          <w:tcPr>
            <w:tcW w:w="3402" w:type="dxa"/>
            <w:vAlign w:val="center"/>
          </w:tcPr>
          <w:p w:rsidR="006952E3" w:rsidRDefault="00E53164">
            <w:pPr>
              <w:spacing w:line="360" w:lineRule="auto"/>
              <w:jc w:val="center"/>
            </w:pPr>
            <w:r>
              <w:rPr>
                <w:rFonts w:hint="eastAsia"/>
              </w:rPr>
              <w:t>富国沪港深价值精选灵活配置混合型证券投资基金</w:t>
            </w:r>
          </w:p>
        </w:tc>
        <w:tc>
          <w:tcPr>
            <w:tcW w:w="2086" w:type="dxa"/>
            <w:vAlign w:val="center"/>
          </w:tcPr>
          <w:p w:rsidR="006952E3" w:rsidRDefault="00E53164">
            <w:pPr>
              <w:spacing w:line="360" w:lineRule="auto"/>
              <w:jc w:val="center"/>
            </w:pPr>
            <w:r>
              <w:t>A</w:t>
            </w:r>
            <w:r>
              <w:t>类份额</w:t>
            </w:r>
          </w:p>
        </w:tc>
        <w:tc>
          <w:tcPr>
            <w:tcW w:w="0" w:type="auto"/>
            <w:vAlign w:val="center"/>
          </w:tcPr>
          <w:p w:rsidR="006952E3" w:rsidRDefault="00E53164">
            <w:pPr>
              <w:spacing w:line="360" w:lineRule="auto"/>
              <w:jc w:val="center"/>
            </w:pPr>
            <w:r>
              <w:rPr>
                <w:rFonts w:hint="eastAsia"/>
              </w:rPr>
              <w:t>0</w:t>
            </w:r>
            <w:r>
              <w:t>01371</w:t>
            </w:r>
          </w:p>
        </w:tc>
      </w:tr>
      <w:tr w:rsidR="006952E3">
        <w:trPr>
          <w:jc w:val="center"/>
        </w:trPr>
        <w:tc>
          <w:tcPr>
            <w:tcW w:w="704" w:type="dxa"/>
            <w:vAlign w:val="center"/>
          </w:tcPr>
          <w:p w:rsidR="006952E3" w:rsidRDefault="00E53164">
            <w:pPr>
              <w:spacing w:line="360" w:lineRule="auto"/>
              <w:jc w:val="center"/>
            </w:pPr>
            <w:r>
              <w:rPr>
                <w:rFonts w:hint="eastAsia"/>
              </w:rPr>
              <w:t>8</w:t>
            </w:r>
          </w:p>
        </w:tc>
        <w:tc>
          <w:tcPr>
            <w:tcW w:w="3402" w:type="dxa"/>
            <w:vAlign w:val="center"/>
          </w:tcPr>
          <w:p w:rsidR="006952E3" w:rsidRDefault="00E53164">
            <w:pPr>
              <w:spacing w:line="360" w:lineRule="auto"/>
              <w:jc w:val="center"/>
            </w:pPr>
            <w:r>
              <w:rPr>
                <w:rFonts w:hint="eastAsia"/>
              </w:rPr>
              <w:t>富国沪港深价值精选灵活配置混合型证券投资基金</w:t>
            </w:r>
          </w:p>
        </w:tc>
        <w:tc>
          <w:tcPr>
            <w:tcW w:w="2086" w:type="dxa"/>
            <w:vAlign w:val="center"/>
          </w:tcPr>
          <w:p w:rsidR="006952E3" w:rsidRDefault="00E53164">
            <w:pPr>
              <w:spacing w:line="360" w:lineRule="auto"/>
              <w:jc w:val="center"/>
            </w:pPr>
            <w:r>
              <w:rPr>
                <w:rFonts w:hint="eastAsia"/>
              </w:rPr>
              <w:t>C</w:t>
            </w:r>
            <w:r>
              <w:t>类份额</w:t>
            </w:r>
          </w:p>
        </w:tc>
        <w:tc>
          <w:tcPr>
            <w:tcW w:w="0" w:type="auto"/>
            <w:vAlign w:val="center"/>
          </w:tcPr>
          <w:p w:rsidR="006952E3" w:rsidRDefault="00E53164">
            <w:pPr>
              <w:spacing w:line="360" w:lineRule="auto"/>
              <w:jc w:val="center"/>
            </w:pPr>
            <w:r>
              <w:rPr>
                <w:rFonts w:hint="eastAsia"/>
              </w:rPr>
              <w:t>0</w:t>
            </w:r>
            <w:r>
              <w:t>11131</w:t>
            </w:r>
          </w:p>
        </w:tc>
      </w:tr>
      <w:tr w:rsidR="006952E3">
        <w:trPr>
          <w:jc w:val="center"/>
        </w:trPr>
        <w:tc>
          <w:tcPr>
            <w:tcW w:w="704" w:type="dxa"/>
            <w:vAlign w:val="center"/>
          </w:tcPr>
          <w:p w:rsidR="006952E3" w:rsidRDefault="00E53164">
            <w:pPr>
              <w:spacing w:line="360" w:lineRule="auto"/>
              <w:jc w:val="center"/>
            </w:pPr>
            <w:r>
              <w:rPr>
                <w:rFonts w:hint="eastAsia"/>
              </w:rPr>
              <w:t>9</w:t>
            </w:r>
          </w:p>
        </w:tc>
        <w:tc>
          <w:tcPr>
            <w:tcW w:w="3402" w:type="dxa"/>
            <w:vAlign w:val="center"/>
          </w:tcPr>
          <w:p w:rsidR="006952E3" w:rsidRDefault="00E53164">
            <w:pPr>
              <w:spacing w:line="360" w:lineRule="auto"/>
              <w:jc w:val="center"/>
            </w:pPr>
            <w:r>
              <w:rPr>
                <w:rFonts w:hint="eastAsia"/>
              </w:rPr>
              <w:t>富国沪港深业绩驱动混合型证券投资基金</w:t>
            </w:r>
          </w:p>
        </w:tc>
        <w:tc>
          <w:tcPr>
            <w:tcW w:w="2086" w:type="dxa"/>
            <w:vAlign w:val="center"/>
          </w:tcPr>
          <w:p w:rsidR="006952E3" w:rsidRDefault="00E53164">
            <w:pPr>
              <w:spacing w:line="360" w:lineRule="auto"/>
              <w:jc w:val="center"/>
            </w:pPr>
            <w:r>
              <w:t>A</w:t>
            </w:r>
            <w:r>
              <w:t>类份额</w:t>
            </w:r>
          </w:p>
        </w:tc>
        <w:tc>
          <w:tcPr>
            <w:tcW w:w="0" w:type="auto"/>
            <w:vAlign w:val="center"/>
          </w:tcPr>
          <w:p w:rsidR="006952E3" w:rsidRDefault="00E53164">
            <w:pPr>
              <w:spacing w:line="360" w:lineRule="auto"/>
              <w:jc w:val="center"/>
            </w:pPr>
            <w:r>
              <w:rPr>
                <w:rFonts w:hint="eastAsia"/>
              </w:rPr>
              <w:t>0</w:t>
            </w:r>
            <w:r>
              <w:t>05847</w:t>
            </w:r>
          </w:p>
        </w:tc>
      </w:tr>
      <w:tr w:rsidR="006952E3">
        <w:trPr>
          <w:jc w:val="center"/>
        </w:trPr>
        <w:tc>
          <w:tcPr>
            <w:tcW w:w="704" w:type="dxa"/>
            <w:vAlign w:val="center"/>
          </w:tcPr>
          <w:p w:rsidR="006952E3" w:rsidRDefault="00E53164">
            <w:pPr>
              <w:spacing w:line="360" w:lineRule="auto"/>
              <w:jc w:val="center"/>
            </w:pPr>
            <w:r>
              <w:rPr>
                <w:rFonts w:hint="eastAsia"/>
              </w:rPr>
              <w:t>1</w:t>
            </w:r>
            <w:r>
              <w:t>0</w:t>
            </w:r>
          </w:p>
        </w:tc>
        <w:tc>
          <w:tcPr>
            <w:tcW w:w="3402" w:type="dxa"/>
            <w:vAlign w:val="center"/>
          </w:tcPr>
          <w:p w:rsidR="006952E3" w:rsidRDefault="00E53164">
            <w:pPr>
              <w:spacing w:line="360" w:lineRule="auto"/>
              <w:jc w:val="center"/>
            </w:pPr>
            <w:r>
              <w:rPr>
                <w:rFonts w:hint="eastAsia"/>
              </w:rPr>
              <w:t>富国沪港深业绩驱动混合型证券投</w:t>
            </w:r>
            <w:r>
              <w:rPr>
                <w:rFonts w:hint="eastAsia"/>
              </w:rPr>
              <w:lastRenderedPageBreak/>
              <w:t>资基金</w:t>
            </w:r>
          </w:p>
        </w:tc>
        <w:tc>
          <w:tcPr>
            <w:tcW w:w="2086" w:type="dxa"/>
            <w:vAlign w:val="center"/>
          </w:tcPr>
          <w:p w:rsidR="006952E3" w:rsidRDefault="00E53164">
            <w:pPr>
              <w:spacing w:line="360" w:lineRule="auto"/>
              <w:jc w:val="center"/>
            </w:pPr>
            <w:r>
              <w:rPr>
                <w:rFonts w:hint="eastAsia"/>
              </w:rPr>
              <w:lastRenderedPageBreak/>
              <w:t>C</w:t>
            </w:r>
            <w:r>
              <w:t>类份额</w:t>
            </w:r>
          </w:p>
        </w:tc>
        <w:tc>
          <w:tcPr>
            <w:tcW w:w="0" w:type="auto"/>
            <w:vAlign w:val="center"/>
          </w:tcPr>
          <w:p w:rsidR="006952E3" w:rsidRDefault="00E53164">
            <w:pPr>
              <w:spacing w:line="360" w:lineRule="auto"/>
              <w:jc w:val="center"/>
            </w:pPr>
            <w:r>
              <w:rPr>
                <w:rFonts w:hint="eastAsia"/>
              </w:rPr>
              <w:t>0</w:t>
            </w:r>
            <w:r>
              <w:t>11117</w:t>
            </w:r>
          </w:p>
        </w:tc>
      </w:tr>
      <w:tr w:rsidR="006952E3">
        <w:trPr>
          <w:jc w:val="center"/>
        </w:trPr>
        <w:tc>
          <w:tcPr>
            <w:tcW w:w="704" w:type="dxa"/>
            <w:vAlign w:val="center"/>
          </w:tcPr>
          <w:p w:rsidR="006952E3" w:rsidRDefault="00E53164">
            <w:pPr>
              <w:spacing w:line="360" w:lineRule="auto"/>
              <w:jc w:val="center"/>
            </w:pPr>
            <w:r>
              <w:rPr>
                <w:rFonts w:hint="eastAsia"/>
              </w:rPr>
              <w:lastRenderedPageBreak/>
              <w:t>1</w:t>
            </w:r>
            <w:r>
              <w:t>1</w:t>
            </w:r>
          </w:p>
        </w:tc>
        <w:tc>
          <w:tcPr>
            <w:tcW w:w="3402" w:type="dxa"/>
            <w:vAlign w:val="center"/>
          </w:tcPr>
          <w:p w:rsidR="006952E3" w:rsidRDefault="00E53164">
            <w:pPr>
              <w:spacing w:line="360" w:lineRule="auto"/>
              <w:jc w:val="center"/>
            </w:pPr>
            <w:r>
              <w:rPr>
                <w:rFonts w:hint="eastAsia"/>
              </w:rPr>
              <w:t>富国民裕进取沪港深成长精选混合型证券投资基金</w:t>
            </w:r>
          </w:p>
        </w:tc>
        <w:tc>
          <w:tcPr>
            <w:tcW w:w="2086" w:type="dxa"/>
            <w:vAlign w:val="center"/>
          </w:tcPr>
          <w:p w:rsidR="006952E3" w:rsidRDefault="00E53164">
            <w:pPr>
              <w:spacing w:line="360" w:lineRule="auto"/>
              <w:jc w:val="center"/>
            </w:pPr>
            <w:r>
              <w:t>A</w:t>
            </w:r>
            <w:r>
              <w:t>类份额</w:t>
            </w:r>
          </w:p>
        </w:tc>
        <w:tc>
          <w:tcPr>
            <w:tcW w:w="0" w:type="auto"/>
            <w:vAlign w:val="center"/>
          </w:tcPr>
          <w:p w:rsidR="006952E3" w:rsidRDefault="00E53164">
            <w:pPr>
              <w:spacing w:line="360" w:lineRule="auto"/>
              <w:jc w:val="center"/>
            </w:pPr>
            <w:r>
              <w:rPr>
                <w:rFonts w:hint="eastAsia"/>
              </w:rPr>
              <w:t>0</w:t>
            </w:r>
            <w:r>
              <w:t>07139</w:t>
            </w:r>
          </w:p>
        </w:tc>
      </w:tr>
      <w:tr w:rsidR="006952E3">
        <w:trPr>
          <w:jc w:val="center"/>
        </w:trPr>
        <w:tc>
          <w:tcPr>
            <w:tcW w:w="704" w:type="dxa"/>
            <w:vAlign w:val="center"/>
          </w:tcPr>
          <w:p w:rsidR="006952E3" w:rsidRDefault="00E53164">
            <w:pPr>
              <w:spacing w:line="360" w:lineRule="auto"/>
              <w:jc w:val="center"/>
            </w:pPr>
            <w:r>
              <w:rPr>
                <w:rFonts w:hint="eastAsia"/>
              </w:rPr>
              <w:t>1</w:t>
            </w:r>
            <w:r>
              <w:t>2</w:t>
            </w:r>
          </w:p>
        </w:tc>
        <w:tc>
          <w:tcPr>
            <w:tcW w:w="3402" w:type="dxa"/>
            <w:vAlign w:val="center"/>
          </w:tcPr>
          <w:p w:rsidR="006952E3" w:rsidRDefault="00E53164">
            <w:pPr>
              <w:spacing w:line="360" w:lineRule="auto"/>
              <w:jc w:val="center"/>
            </w:pPr>
            <w:r>
              <w:rPr>
                <w:rFonts w:hint="eastAsia"/>
              </w:rPr>
              <w:t>富国民裕进取沪港深成长精选混合型证券投资基金</w:t>
            </w:r>
          </w:p>
        </w:tc>
        <w:tc>
          <w:tcPr>
            <w:tcW w:w="2086" w:type="dxa"/>
            <w:vAlign w:val="center"/>
          </w:tcPr>
          <w:p w:rsidR="006952E3" w:rsidRDefault="00E53164">
            <w:pPr>
              <w:spacing w:line="360" w:lineRule="auto"/>
              <w:jc w:val="center"/>
            </w:pPr>
            <w:r>
              <w:rPr>
                <w:rFonts w:hint="eastAsia"/>
              </w:rPr>
              <w:t>C</w:t>
            </w:r>
            <w:r>
              <w:t>类份额</w:t>
            </w:r>
          </w:p>
        </w:tc>
        <w:tc>
          <w:tcPr>
            <w:tcW w:w="0" w:type="auto"/>
            <w:vAlign w:val="center"/>
          </w:tcPr>
          <w:p w:rsidR="006952E3" w:rsidRDefault="00E53164">
            <w:pPr>
              <w:spacing w:line="360" w:lineRule="auto"/>
              <w:jc w:val="center"/>
            </w:pPr>
            <w:r>
              <w:rPr>
                <w:rFonts w:hint="eastAsia"/>
              </w:rPr>
              <w:t>0</w:t>
            </w:r>
            <w:r>
              <w:t>11556</w:t>
            </w:r>
          </w:p>
        </w:tc>
      </w:tr>
    </w:tbl>
    <w:p w:rsidR="006952E3" w:rsidRDefault="00E53164">
      <w:pPr>
        <w:spacing w:line="360" w:lineRule="auto"/>
      </w:pPr>
      <w:r>
        <w:rPr>
          <w:rFonts w:hint="eastAsia"/>
        </w:rPr>
        <w:t>二、转换业务适用范围</w:t>
      </w:r>
    </w:p>
    <w:p w:rsidR="006952E3" w:rsidRDefault="00661349">
      <w:pPr>
        <w:spacing w:line="360" w:lineRule="auto"/>
        <w:ind w:firstLineChars="200" w:firstLine="420"/>
      </w:pPr>
      <w:r>
        <w:rPr>
          <w:rFonts w:hint="eastAsia"/>
        </w:rPr>
        <w:t>仅开通上述列表中列式基金之间的基金转换业务，同一只基金的不同份额之间不允许转换。</w:t>
      </w:r>
      <w:bookmarkStart w:id="0" w:name="_GoBack"/>
      <w:bookmarkEnd w:id="0"/>
    </w:p>
    <w:p w:rsidR="006952E3" w:rsidRDefault="00E53164">
      <w:pPr>
        <w:spacing w:line="360" w:lineRule="auto"/>
      </w:pPr>
      <w:r>
        <w:rPr>
          <w:rFonts w:hint="eastAsia"/>
        </w:rPr>
        <w:t>三、转换费率</w:t>
      </w:r>
    </w:p>
    <w:p w:rsidR="006952E3" w:rsidRDefault="00E53164">
      <w:pPr>
        <w:spacing w:line="360" w:lineRule="auto"/>
        <w:ind w:firstLineChars="200" w:firstLine="420"/>
      </w:pPr>
      <w:r>
        <w:rPr>
          <w:rFonts w:hint="eastAsia"/>
        </w:rPr>
        <w:t>自</w:t>
      </w:r>
      <w:r>
        <w:rPr>
          <w:rFonts w:hint="eastAsia"/>
        </w:rPr>
        <w:t>2024</w:t>
      </w:r>
      <w:r>
        <w:rPr>
          <w:rFonts w:hint="eastAsia"/>
        </w:rPr>
        <w:t>年</w:t>
      </w:r>
      <w:r>
        <w:t>12</w:t>
      </w:r>
      <w:r>
        <w:rPr>
          <w:rFonts w:hint="eastAsia"/>
        </w:rPr>
        <w:t>月</w:t>
      </w:r>
      <w:r>
        <w:t>2</w:t>
      </w:r>
      <w:r>
        <w:rPr>
          <w:rFonts w:hint="eastAsia"/>
        </w:rPr>
        <w:t>日起，基金份额持有人可以通过本公司的直销网点（仅限直销柜台）办理上述基金的转换业务。直销机构的转换业务仅收取转出基金的赎回费用（如有），转出与转入基金申购补差费用免予收取。</w:t>
      </w:r>
    </w:p>
    <w:p w:rsidR="006952E3" w:rsidRDefault="00E53164">
      <w:pPr>
        <w:spacing w:line="360" w:lineRule="auto"/>
      </w:pPr>
      <w:r>
        <w:rPr>
          <w:rFonts w:hint="eastAsia"/>
        </w:rPr>
        <w:t>四、转换业务规则</w:t>
      </w:r>
    </w:p>
    <w:p w:rsidR="006952E3" w:rsidRDefault="00E53164">
      <w:pPr>
        <w:spacing w:line="360" w:lineRule="auto"/>
        <w:ind w:firstLineChars="200" w:firstLine="420"/>
      </w:pPr>
      <w:r>
        <w:rPr>
          <w:rFonts w:hint="eastAsia"/>
        </w:rPr>
        <w:t>（</w:t>
      </w:r>
      <w:r>
        <w:rPr>
          <w:rFonts w:hint="eastAsia"/>
        </w:rPr>
        <w:t>1</w:t>
      </w:r>
      <w:r>
        <w:rPr>
          <w:rFonts w:hint="eastAsia"/>
        </w:rPr>
        <w:t>）基金份额持有人仅可以通过本公司的直销网点（仅限直销柜台）办理上述基金之间的基金转换业务。</w:t>
      </w:r>
    </w:p>
    <w:p w:rsidR="006952E3" w:rsidRDefault="00E53164">
      <w:pPr>
        <w:spacing w:line="360" w:lineRule="auto"/>
        <w:ind w:firstLineChars="200" w:firstLine="420"/>
      </w:pPr>
      <w:r>
        <w:rPr>
          <w:rFonts w:hint="eastAsia"/>
        </w:rPr>
        <w:t>（</w:t>
      </w:r>
      <w:r>
        <w:rPr>
          <w:rFonts w:hint="eastAsia"/>
        </w:rPr>
        <w:t>2</w:t>
      </w:r>
      <w:r>
        <w:rPr>
          <w:rFonts w:hint="eastAsia"/>
        </w:rPr>
        <w:t>）登记机构以收到有效转换申请的当天作为转换申请日（</w:t>
      </w:r>
      <w:r>
        <w:rPr>
          <w:rFonts w:hint="eastAsia"/>
        </w:rPr>
        <w:t>T</w:t>
      </w:r>
      <w:r>
        <w:rPr>
          <w:rFonts w:hint="eastAsia"/>
        </w:rPr>
        <w:t>日）。基金份额持有人转换基金成功的，登记机构在</w:t>
      </w:r>
      <w:r>
        <w:rPr>
          <w:rFonts w:hint="eastAsia"/>
        </w:rPr>
        <w:t>T+1</w:t>
      </w:r>
      <w:r>
        <w:rPr>
          <w:rFonts w:hint="eastAsia"/>
        </w:rPr>
        <w:t>日为其办理权益转换的注册登记手续，投资者通常可自</w:t>
      </w:r>
      <w:r>
        <w:rPr>
          <w:rFonts w:hint="eastAsia"/>
        </w:rPr>
        <w:t>T+2</w:t>
      </w:r>
      <w:r>
        <w:rPr>
          <w:rFonts w:hint="eastAsia"/>
        </w:rPr>
        <w:t>日（含该日）后查询转换业务的确认情况，并有权转换或赎回该部分基金份额。</w:t>
      </w:r>
    </w:p>
    <w:p w:rsidR="006952E3" w:rsidRDefault="00E53164">
      <w:pPr>
        <w:spacing w:line="360" w:lineRule="auto"/>
        <w:ind w:firstLineChars="200" w:firstLine="420"/>
      </w:pPr>
      <w:r>
        <w:rPr>
          <w:rFonts w:hint="eastAsia"/>
        </w:rPr>
        <w:t>（</w:t>
      </w:r>
      <w:r>
        <w:rPr>
          <w:rFonts w:hint="eastAsia"/>
        </w:rPr>
        <w:t>3</w:t>
      </w:r>
      <w:r>
        <w:rPr>
          <w:rFonts w:hint="eastAsia"/>
        </w:rPr>
        <w:t>）基金转换后，转入的基金份额的持有期将自转入的基金份额被确认之日起重新开始计算。</w:t>
      </w:r>
    </w:p>
    <w:p w:rsidR="006952E3" w:rsidRDefault="00E53164">
      <w:pPr>
        <w:spacing w:line="360" w:lineRule="auto"/>
        <w:ind w:firstLineChars="200" w:firstLine="420"/>
      </w:pPr>
      <w:r>
        <w:rPr>
          <w:rFonts w:hint="eastAsia"/>
        </w:rPr>
        <w:t>（</w:t>
      </w:r>
      <w:r>
        <w:rPr>
          <w:rFonts w:hint="eastAsia"/>
        </w:rPr>
        <w:t>4</w:t>
      </w:r>
      <w:r>
        <w:rPr>
          <w:rFonts w:hint="eastAsia"/>
        </w:rPr>
        <w:t>）基金份额持有人在直销网点申请转换基金份额时，每次对基金份额的转换申请不得低于</w:t>
      </w:r>
      <w:r>
        <w:rPr>
          <w:rFonts w:hint="eastAsia"/>
        </w:rPr>
        <w:t>0.01</w:t>
      </w:r>
      <w:r>
        <w:rPr>
          <w:rFonts w:hint="eastAsia"/>
        </w:rPr>
        <w:t>份基金份额，转换时或转换后在直销网点保留的基金份额余额不足</w:t>
      </w:r>
      <w:r>
        <w:rPr>
          <w:rFonts w:hint="eastAsia"/>
        </w:rPr>
        <w:t>0.01</w:t>
      </w:r>
      <w:r>
        <w:rPr>
          <w:rFonts w:hint="eastAsia"/>
        </w:rPr>
        <w:t>份的，需一次全部转换。</w:t>
      </w:r>
    </w:p>
    <w:p w:rsidR="006952E3" w:rsidRDefault="00E53164">
      <w:pPr>
        <w:spacing w:line="360" w:lineRule="auto"/>
        <w:ind w:firstLineChars="200" w:firstLine="420"/>
      </w:pPr>
      <w:r>
        <w:rPr>
          <w:rFonts w:hint="eastAsia"/>
        </w:rPr>
        <w:t>（</w:t>
      </w:r>
      <w:r>
        <w:rPr>
          <w:rFonts w:hint="eastAsia"/>
        </w:rPr>
        <w:t>5</w:t>
      </w:r>
      <w:r>
        <w:rPr>
          <w:rFonts w:hint="eastAsia"/>
        </w:rPr>
        <w:t>）基金转换以申请当日基金份额净值为基础计算。基金份额持有人采用“份额转换”的原则提交申请。转出基金份额必须是可用份额。</w:t>
      </w:r>
    </w:p>
    <w:p w:rsidR="006952E3" w:rsidRDefault="00E53164">
      <w:pPr>
        <w:spacing w:line="360" w:lineRule="auto"/>
        <w:ind w:firstLineChars="200" w:firstLine="422"/>
      </w:pPr>
      <w:r>
        <w:rPr>
          <w:rFonts w:hint="eastAsia"/>
          <w:b/>
        </w:rPr>
        <w:t>风险提示：</w:t>
      </w:r>
      <w:r>
        <w:rPr>
          <w:rFonts w:hint="eastAsia"/>
        </w:rPr>
        <w:t>本公司承诺以诚实信用、勤勉尽责的原则管理和运用基金资产，但不保证基金一定盈利，也不保证最低收益。敬请投资者注意投资风险。投资者投资于基金前应认真阅读基金的基金合同和招募说明书等法律文件，确认已知悉基金产品资料概要，全面认识基金的风险收益特征和产品特性，并充分考虑自身的风险承受能力，在了解产品情况及销售机构</w:t>
      </w:r>
      <w:r>
        <w:rPr>
          <w:rFonts w:hint="eastAsia"/>
        </w:rPr>
        <w:lastRenderedPageBreak/>
        <w:t>适当性匹配意见的基础上，理性判断市场，谨慎做出投资决策。基金具体风险评级结果以销售机构提供的评级结果为准。</w:t>
      </w:r>
    </w:p>
    <w:p w:rsidR="006952E3" w:rsidRDefault="00E53164">
      <w:pPr>
        <w:spacing w:line="360" w:lineRule="auto"/>
        <w:ind w:firstLineChars="200" w:firstLine="420"/>
      </w:pPr>
      <w:r>
        <w:rPr>
          <w:rFonts w:hint="eastAsia"/>
        </w:rPr>
        <w:t>投资者可以通过以下方式联系富国基金管理有限公司进行咨询：</w:t>
      </w:r>
    </w:p>
    <w:p w:rsidR="006952E3" w:rsidRDefault="00E53164">
      <w:pPr>
        <w:spacing w:line="360" w:lineRule="auto"/>
        <w:ind w:firstLineChars="200" w:firstLine="420"/>
      </w:pPr>
      <w:r>
        <w:rPr>
          <w:rFonts w:hint="eastAsia"/>
        </w:rPr>
        <w:t>客户服务电话：</w:t>
      </w:r>
      <w:r>
        <w:rPr>
          <w:rFonts w:hint="eastAsia"/>
        </w:rPr>
        <w:t>95105686</w:t>
      </w:r>
      <w:r>
        <w:rPr>
          <w:rFonts w:hint="eastAsia"/>
        </w:rPr>
        <w:t>，</w:t>
      </w:r>
      <w:r>
        <w:rPr>
          <w:rFonts w:hint="eastAsia"/>
        </w:rPr>
        <w:t>4008880688</w:t>
      </w:r>
      <w:r>
        <w:rPr>
          <w:rFonts w:hint="eastAsia"/>
        </w:rPr>
        <w:t>（全国统一，均免长途话费）</w:t>
      </w:r>
    </w:p>
    <w:p w:rsidR="006952E3" w:rsidRDefault="00E53164">
      <w:pPr>
        <w:spacing w:line="360" w:lineRule="auto"/>
        <w:ind w:firstLineChars="200" w:firstLine="420"/>
      </w:pPr>
      <w:r>
        <w:rPr>
          <w:rFonts w:hint="eastAsia"/>
        </w:rPr>
        <w:t>网址：</w:t>
      </w:r>
      <w:r>
        <w:rPr>
          <w:rFonts w:hint="eastAsia"/>
        </w:rPr>
        <w:t>www.fullgoal.com.cn</w:t>
      </w:r>
    </w:p>
    <w:p w:rsidR="006952E3" w:rsidRDefault="00E53164">
      <w:pPr>
        <w:spacing w:line="360" w:lineRule="auto"/>
        <w:ind w:firstLineChars="200" w:firstLine="420"/>
      </w:pPr>
      <w:r>
        <w:rPr>
          <w:rFonts w:hint="eastAsia"/>
        </w:rPr>
        <w:t>本公告的解释权归本公司所有。</w:t>
      </w:r>
    </w:p>
    <w:p w:rsidR="006952E3" w:rsidRDefault="006952E3">
      <w:pPr>
        <w:spacing w:line="360" w:lineRule="auto"/>
        <w:ind w:firstLineChars="200" w:firstLine="420"/>
      </w:pPr>
    </w:p>
    <w:p w:rsidR="006952E3" w:rsidRDefault="00E53164">
      <w:pPr>
        <w:spacing w:line="360" w:lineRule="auto"/>
        <w:ind w:firstLineChars="200" w:firstLine="420"/>
      </w:pPr>
      <w:r>
        <w:rPr>
          <w:rFonts w:hint="eastAsia"/>
        </w:rPr>
        <w:t>特此公告。</w:t>
      </w:r>
    </w:p>
    <w:p w:rsidR="006952E3" w:rsidRDefault="00E53164">
      <w:pPr>
        <w:spacing w:line="360" w:lineRule="auto"/>
        <w:jc w:val="right"/>
      </w:pPr>
      <w:r>
        <w:rPr>
          <w:rFonts w:hint="eastAsia"/>
        </w:rPr>
        <w:t>富国基金管理有限公司</w:t>
      </w:r>
    </w:p>
    <w:p w:rsidR="006952E3" w:rsidRDefault="00E53164">
      <w:pPr>
        <w:spacing w:line="360" w:lineRule="auto"/>
        <w:jc w:val="right"/>
      </w:pPr>
      <w:r>
        <w:rPr>
          <w:rFonts w:hint="eastAsia"/>
        </w:rPr>
        <w:t xml:space="preserve">2024 </w:t>
      </w:r>
      <w:r>
        <w:rPr>
          <w:rFonts w:hint="eastAsia"/>
        </w:rPr>
        <w:t>年</w:t>
      </w:r>
      <w:r>
        <w:t>11</w:t>
      </w:r>
      <w:r>
        <w:rPr>
          <w:rFonts w:hint="eastAsia"/>
        </w:rPr>
        <w:t>月</w:t>
      </w:r>
      <w:r>
        <w:rPr>
          <w:rFonts w:hint="eastAsia"/>
        </w:rPr>
        <w:t xml:space="preserve"> </w:t>
      </w:r>
      <w:r>
        <w:t>29</w:t>
      </w:r>
      <w:r>
        <w:rPr>
          <w:rFonts w:hint="eastAsia"/>
        </w:rPr>
        <w:t xml:space="preserve"> </w:t>
      </w:r>
      <w:r>
        <w:rPr>
          <w:rFonts w:hint="eastAsia"/>
        </w:rPr>
        <w:t>日</w:t>
      </w:r>
    </w:p>
    <w:sectPr w:rsidR="006952E3" w:rsidSect="00952A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418" w:rsidRDefault="003B0418" w:rsidP="00661349">
      <w:r>
        <w:separator/>
      </w:r>
    </w:p>
  </w:endnote>
  <w:endnote w:type="continuationSeparator" w:id="0">
    <w:p w:rsidR="003B0418" w:rsidRDefault="003B0418" w:rsidP="006613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libri Light">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418" w:rsidRDefault="003B0418" w:rsidP="00661349">
      <w:r>
        <w:separator/>
      </w:r>
    </w:p>
  </w:footnote>
  <w:footnote w:type="continuationSeparator" w:id="0">
    <w:p w:rsidR="003B0418" w:rsidRDefault="003B0418" w:rsidP="006613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17B41E"/>
    <w:multiLevelType w:val="singleLevel"/>
    <w:tmpl w:val="9C17B41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2328"/>
    <w:rsid w:val="000641F3"/>
    <w:rsid w:val="001C6C7B"/>
    <w:rsid w:val="001E3CE2"/>
    <w:rsid w:val="00205AD2"/>
    <w:rsid w:val="002E62A5"/>
    <w:rsid w:val="002F3A71"/>
    <w:rsid w:val="00300DE9"/>
    <w:rsid w:val="00370EA5"/>
    <w:rsid w:val="00371CD9"/>
    <w:rsid w:val="00384CF0"/>
    <w:rsid w:val="0039774F"/>
    <w:rsid w:val="003B0418"/>
    <w:rsid w:val="003B5C6D"/>
    <w:rsid w:val="00490996"/>
    <w:rsid w:val="004F2328"/>
    <w:rsid w:val="00553A84"/>
    <w:rsid w:val="00582CF1"/>
    <w:rsid w:val="0059122E"/>
    <w:rsid w:val="005D32C6"/>
    <w:rsid w:val="005E32E4"/>
    <w:rsid w:val="00661349"/>
    <w:rsid w:val="00691C4F"/>
    <w:rsid w:val="006952E3"/>
    <w:rsid w:val="006F6A7B"/>
    <w:rsid w:val="007044B6"/>
    <w:rsid w:val="007812FA"/>
    <w:rsid w:val="007C40B7"/>
    <w:rsid w:val="00894243"/>
    <w:rsid w:val="00895282"/>
    <w:rsid w:val="0094307A"/>
    <w:rsid w:val="00952AAF"/>
    <w:rsid w:val="00981F8B"/>
    <w:rsid w:val="009B2033"/>
    <w:rsid w:val="009B5486"/>
    <w:rsid w:val="009C0528"/>
    <w:rsid w:val="00A157E2"/>
    <w:rsid w:val="00A16914"/>
    <w:rsid w:val="00A779FF"/>
    <w:rsid w:val="00AA3F5D"/>
    <w:rsid w:val="00AC6163"/>
    <w:rsid w:val="00AE7D20"/>
    <w:rsid w:val="00B9525E"/>
    <w:rsid w:val="00B96FE8"/>
    <w:rsid w:val="00BD1EEC"/>
    <w:rsid w:val="00D93366"/>
    <w:rsid w:val="00E53164"/>
    <w:rsid w:val="00F3574A"/>
    <w:rsid w:val="00F41585"/>
    <w:rsid w:val="00F804D3"/>
    <w:rsid w:val="12C769BC"/>
    <w:rsid w:val="1C8471E3"/>
    <w:rsid w:val="3C4C6AE6"/>
    <w:rsid w:val="3EE21D6C"/>
    <w:rsid w:val="549C7CFB"/>
    <w:rsid w:val="5AE22531"/>
    <w:rsid w:val="69050D35"/>
    <w:rsid w:val="6F6F550A"/>
    <w:rsid w:val="70F802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AA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952AAF"/>
    <w:pPr>
      <w:jc w:val="left"/>
    </w:pPr>
  </w:style>
  <w:style w:type="paragraph" w:styleId="a4">
    <w:name w:val="Balloon Text"/>
    <w:basedOn w:val="a"/>
    <w:link w:val="Char0"/>
    <w:uiPriority w:val="99"/>
    <w:semiHidden/>
    <w:unhideWhenUsed/>
    <w:qFormat/>
    <w:rsid w:val="00952AAF"/>
    <w:rPr>
      <w:sz w:val="18"/>
      <w:szCs w:val="18"/>
    </w:rPr>
  </w:style>
  <w:style w:type="paragraph" w:styleId="a5">
    <w:name w:val="footer"/>
    <w:basedOn w:val="a"/>
    <w:link w:val="Char1"/>
    <w:uiPriority w:val="99"/>
    <w:unhideWhenUsed/>
    <w:qFormat/>
    <w:rsid w:val="00952AA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952AAF"/>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952AAF"/>
    <w:rPr>
      <w:b/>
      <w:bCs/>
    </w:rPr>
  </w:style>
  <w:style w:type="table" w:styleId="a8">
    <w:name w:val="Table Grid"/>
    <w:basedOn w:val="a1"/>
    <w:uiPriority w:val="39"/>
    <w:qFormat/>
    <w:rsid w:val="00952A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sid w:val="00952AAF"/>
    <w:rPr>
      <w:sz w:val="21"/>
      <w:szCs w:val="21"/>
    </w:rPr>
  </w:style>
  <w:style w:type="character" w:customStyle="1" w:styleId="Char2">
    <w:name w:val="页眉 Char"/>
    <w:basedOn w:val="a0"/>
    <w:link w:val="a6"/>
    <w:uiPriority w:val="99"/>
    <w:qFormat/>
    <w:rsid w:val="00952AAF"/>
    <w:rPr>
      <w:sz w:val="18"/>
      <w:szCs w:val="18"/>
    </w:rPr>
  </w:style>
  <w:style w:type="character" w:customStyle="1" w:styleId="Char1">
    <w:name w:val="页脚 Char"/>
    <w:basedOn w:val="a0"/>
    <w:link w:val="a5"/>
    <w:uiPriority w:val="99"/>
    <w:qFormat/>
    <w:rsid w:val="00952AAF"/>
    <w:rPr>
      <w:sz w:val="18"/>
      <w:szCs w:val="18"/>
    </w:rPr>
  </w:style>
  <w:style w:type="paragraph" w:customStyle="1" w:styleId="aa">
    <w:name w:val="合同正文"/>
    <w:basedOn w:val="a"/>
    <w:qFormat/>
    <w:rsid w:val="00952AAF"/>
    <w:rPr>
      <w:bCs/>
      <w:szCs w:val="20"/>
    </w:rPr>
  </w:style>
  <w:style w:type="character" w:customStyle="1" w:styleId="Char">
    <w:name w:val="批注文字 Char"/>
    <w:basedOn w:val="a0"/>
    <w:link w:val="a3"/>
    <w:uiPriority w:val="99"/>
    <w:semiHidden/>
    <w:qFormat/>
    <w:rsid w:val="00952AAF"/>
    <w:rPr>
      <w:rFonts w:asciiTheme="minorHAnsi" w:eastAsiaTheme="minorEastAsia" w:hAnsiTheme="minorHAnsi" w:cstheme="minorBidi"/>
      <w:kern w:val="2"/>
      <w:sz w:val="21"/>
      <w:szCs w:val="22"/>
    </w:rPr>
  </w:style>
  <w:style w:type="character" w:customStyle="1" w:styleId="Char3">
    <w:name w:val="批注主题 Char"/>
    <w:basedOn w:val="Char"/>
    <w:link w:val="a7"/>
    <w:uiPriority w:val="99"/>
    <w:semiHidden/>
    <w:qFormat/>
    <w:rsid w:val="00952AAF"/>
    <w:rPr>
      <w:rFonts w:asciiTheme="minorHAnsi" w:eastAsiaTheme="minorEastAsia" w:hAnsiTheme="minorHAnsi" w:cstheme="minorBidi"/>
      <w:b/>
      <w:bCs/>
      <w:kern w:val="2"/>
      <w:sz w:val="21"/>
      <w:szCs w:val="22"/>
    </w:rPr>
  </w:style>
  <w:style w:type="character" w:customStyle="1" w:styleId="Char0">
    <w:name w:val="批注框文本 Char"/>
    <w:basedOn w:val="a0"/>
    <w:link w:val="a4"/>
    <w:uiPriority w:val="99"/>
    <w:semiHidden/>
    <w:qFormat/>
    <w:rsid w:val="00952AA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219</Words>
  <Characters>1254</Characters>
  <Application>Microsoft Office Word</Application>
  <DocSecurity>4</DocSecurity>
  <Lines>10</Lines>
  <Paragraphs>2</Paragraphs>
  <ScaleCrop>false</ScaleCrop>
  <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曲凯</dc:creator>
  <cp:lastModifiedBy>ZHONGM</cp:lastModifiedBy>
  <cp:revision>2</cp:revision>
  <dcterms:created xsi:type="dcterms:W3CDTF">2024-11-28T16:01:00Z</dcterms:created>
  <dcterms:modified xsi:type="dcterms:W3CDTF">2024-11-28T16:01:00Z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A852BA7E44CF4F10BC38A2A15E883CBD</vt:lpwstr>
  </property>
</Properties>
</file>