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20" w:rsidRDefault="00D340B4">
      <w:pPr>
        <w:spacing w:line="360" w:lineRule="auto"/>
        <w:jc w:val="center"/>
        <w:textAlignment w:val="baseline"/>
        <w:rPr>
          <w:rFonts w:ascii="Times New Roman" w:eastAsia="黑体" w:hAnsi="黑体" w:cs="Times New Roman"/>
          <w:kern w:val="0"/>
          <w:sz w:val="30"/>
          <w:szCs w:val="20"/>
        </w:rPr>
      </w:pPr>
      <w:r>
        <w:rPr>
          <w:rFonts w:ascii="Times New Roman" w:eastAsia="黑体" w:hAnsi="黑体" w:cs="Times New Roman" w:hint="eastAsia"/>
          <w:kern w:val="0"/>
          <w:sz w:val="30"/>
          <w:szCs w:val="20"/>
        </w:rPr>
        <w:t>宝盈基金管理有限公司关于增加华金证券股份有限公司为旗下</w:t>
      </w:r>
      <w:r>
        <w:rPr>
          <w:rFonts w:ascii="Times New Roman" w:eastAsia="黑体" w:hAnsi="黑体" w:cs="Times New Roman" w:hint="eastAsia"/>
          <w:kern w:val="0"/>
          <w:sz w:val="30"/>
          <w:szCs w:val="20"/>
        </w:rPr>
        <w:t>部分</w:t>
      </w:r>
      <w:r>
        <w:rPr>
          <w:rFonts w:ascii="Times New Roman" w:eastAsia="黑体" w:hAnsi="黑体" w:cs="Times New Roman" w:hint="eastAsia"/>
          <w:kern w:val="0"/>
          <w:sz w:val="30"/>
          <w:szCs w:val="20"/>
        </w:rPr>
        <w:t>基金代销机构及参与相关费率优惠活动的公告</w:t>
      </w:r>
    </w:p>
    <w:p w:rsidR="000F2320" w:rsidRDefault="00D340B4">
      <w:pPr>
        <w:spacing w:line="360" w:lineRule="auto"/>
        <w:ind w:firstLineChars="200" w:firstLine="480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根据宝盈基金管理有限公司（以下简称“本公司”）与华金证券股份有限公司（以下简称“华金证券”）签署的销售服务代理协议，</w:t>
      </w:r>
      <w:r>
        <w:rPr>
          <w:rFonts w:asciiTheme="minorEastAsia" w:hAnsiTheme="minorEastAsia" w:cstheme="minorEastAsia" w:hint="eastAsia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29</w:t>
      </w:r>
      <w:r>
        <w:rPr>
          <w:rFonts w:asciiTheme="minorEastAsia" w:hAnsiTheme="minorEastAsia" w:cstheme="minorEastAsia" w:hint="eastAsia"/>
          <w:sz w:val="24"/>
          <w:szCs w:val="24"/>
        </w:rPr>
        <w:t>日起，华金证券将增加代销本公司以下基金：</w:t>
      </w:r>
    </w:p>
    <w:tbl>
      <w:tblPr>
        <w:tblW w:w="10130" w:type="dxa"/>
        <w:jc w:val="center"/>
        <w:tblCellMar>
          <w:left w:w="0" w:type="dxa"/>
          <w:right w:w="0" w:type="dxa"/>
        </w:tblCellMar>
        <w:tblLook w:val="04A0"/>
      </w:tblPr>
      <w:tblGrid>
        <w:gridCol w:w="1170"/>
        <w:gridCol w:w="5346"/>
        <w:gridCol w:w="3614"/>
      </w:tblGrid>
      <w:tr w:rsidR="000F2320">
        <w:trPr>
          <w:trHeight w:val="50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基金代码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基金名称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Style w:val="font21"/>
                <w:rFonts w:hint="default"/>
                <w:lang/>
              </w:rPr>
              <w:t>基金</w:t>
            </w:r>
            <w:r>
              <w:rPr>
                <w:rStyle w:val="font11"/>
                <w:rFonts w:eastAsia="宋体"/>
                <w:lang/>
              </w:rPr>
              <w:t>简称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009491</w:t>
            </w:r>
          </w:p>
        </w:tc>
        <w:tc>
          <w:tcPr>
            <w:tcW w:w="5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宝盈创新驱动股票型证券投资基金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宝盈创新驱动股票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009492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0F23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宝盈创新驱动股票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001877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宝盈国家安全战略沪港深股票型证券投资基金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宝盈国家安全沪港深股票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013613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0F23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宝盈国家安全沪港深股票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017230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宝盈价值成长混合型证券投资基金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宝盈价值成长混合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017231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0F23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宝盈价值成长混合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0F2320">
        <w:trPr>
          <w:trHeight w:val="556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008303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宝盈龙头优选股票型证券投资基金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宝盈龙头优选股票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008304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0F23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宝盈龙头优选股票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013859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宝盈品质甄选混合型证券投资基金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宝盈品质甄选混合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013860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0F23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宝盈品质甄选混合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003715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宝盈消费主题灵活配置混合型证券投资基金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宝盈消费主题混合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000574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宝盈新价值灵活配置混合型证券投资基金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宝盈新价值混合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007574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0F23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宝盈新价值混合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001487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宝盈优势产业灵活配置混合型证券投资基金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宝盈优势产业混合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012771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0F23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宝盈优势产业混合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001075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宝盈转型动力灵活配置混合型证券投资基金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宝盈转型动力混合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0F2320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015389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0F23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2320" w:rsidRDefault="00D34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宝盈转型动力混合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</w:tbl>
    <w:p w:rsidR="000F2320" w:rsidRDefault="000F2320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</w:p>
    <w:p w:rsidR="000F2320" w:rsidRDefault="00D340B4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可在</w:t>
      </w:r>
      <w:r>
        <w:rPr>
          <w:rFonts w:hAnsi="宋体" w:hint="eastAsia"/>
          <w:sz w:val="24"/>
          <w:szCs w:val="24"/>
        </w:rPr>
        <w:t>华金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办理本公司基金开户业务及上述基金的申购、赎回、定投、转换等业务，进行相关信息查询并享受相应的售后服务。</w:t>
      </w:r>
    </w:p>
    <w:p w:rsidR="000F2320" w:rsidRDefault="00D340B4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另外，我司旗下</w:t>
      </w:r>
      <w:r>
        <w:rPr>
          <w:rFonts w:hint="eastAsia"/>
          <w:sz w:val="24"/>
          <w:szCs w:val="24"/>
        </w:rPr>
        <w:t>所有</w:t>
      </w:r>
      <w:r>
        <w:rPr>
          <w:sz w:val="24"/>
          <w:szCs w:val="24"/>
        </w:rPr>
        <w:t>基金</w:t>
      </w:r>
      <w:r>
        <w:rPr>
          <w:rFonts w:hint="eastAsia"/>
          <w:sz w:val="24"/>
          <w:szCs w:val="24"/>
        </w:rPr>
        <w:t>均</w:t>
      </w:r>
      <w:r>
        <w:rPr>
          <w:sz w:val="24"/>
          <w:szCs w:val="24"/>
        </w:rPr>
        <w:t>参与</w:t>
      </w:r>
      <w:r>
        <w:rPr>
          <w:rFonts w:hint="eastAsia"/>
          <w:sz w:val="24"/>
          <w:szCs w:val="24"/>
        </w:rPr>
        <w:t>华金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申购、定投费率优惠活动（只限前端收费模式），具体折扣费率及费率优惠活动期限以</w:t>
      </w:r>
      <w:r>
        <w:rPr>
          <w:rFonts w:hint="eastAsia"/>
          <w:sz w:val="24"/>
          <w:szCs w:val="24"/>
        </w:rPr>
        <w:t>华金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活动公告为准。</w:t>
      </w:r>
      <w:r>
        <w:rPr>
          <w:rFonts w:hint="eastAsia"/>
          <w:sz w:val="24"/>
          <w:szCs w:val="24"/>
        </w:rPr>
        <w:t>我司旗下</w:t>
      </w:r>
      <w:r>
        <w:rPr>
          <w:sz w:val="24"/>
          <w:szCs w:val="24"/>
        </w:rPr>
        <w:t>基金费率标准详见各基金基金合同、招募说明书（更新）等法律文件，以及本公司发布的最新业务公告。优惠前申购费率为固定费用的，则按原费率执行，不再享有费率折扣。</w:t>
      </w:r>
    </w:p>
    <w:p w:rsidR="000F2320" w:rsidRDefault="00D340B4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如本公司新增通过</w:t>
      </w:r>
      <w:r>
        <w:rPr>
          <w:rFonts w:hint="eastAsia"/>
          <w:sz w:val="24"/>
          <w:szCs w:val="24"/>
        </w:rPr>
        <w:t>华金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销售的基金，默认参加费率优惠活动、具体折扣费率及费率优惠活动期限以</w:t>
      </w:r>
      <w:r>
        <w:rPr>
          <w:rFonts w:hint="eastAsia"/>
          <w:sz w:val="24"/>
          <w:szCs w:val="24"/>
        </w:rPr>
        <w:t>华金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活动公告为准，本公司不再另行公告。</w:t>
      </w:r>
    </w:p>
    <w:p w:rsidR="000F2320" w:rsidRDefault="00D340B4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lastRenderedPageBreak/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在</w:t>
      </w:r>
      <w:r>
        <w:rPr>
          <w:rFonts w:hAnsi="宋体" w:hint="eastAsia"/>
          <w:sz w:val="24"/>
          <w:szCs w:val="24"/>
        </w:rPr>
        <w:t>华金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办理上述业务应遵循其具体规定。</w:t>
      </w:r>
    </w:p>
    <w:p w:rsidR="000F2320" w:rsidRDefault="00D340B4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可通过以下途径咨询有关详情：</w:t>
      </w:r>
    </w:p>
    <w:p w:rsidR="000F2320" w:rsidRDefault="00D340B4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宝盈基金管理有限公司</w:t>
      </w:r>
    </w:p>
    <w:p w:rsidR="000F2320" w:rsidRDefault="00D340B4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公司网站：</w:t>
      </w:r>
      <w:hyperlink r:id="rId6" w:history="1">
        <w:r>
          <w:rPr>
            <w:rFonts w:ascii="Times New Roman" w:eastAsia="宋体" w:hAnsi="宋体" w:cs="Times New Roman"/>
            <w:sz w:val="24"/>
            <w:szCs w:val="24"/>
          </w:rPr>
          <w:t>www</w:t>
        </w:r>
        <w:r>
          <w:rPr>
            <w:rFonts w:ascii="Times New Roman" w:eastAsia="宋体" w:hAnsi="宋体" w:cs="Times New Roman"/>
            <w:sz w:val="24"/>
            <w:szCs w:val="24"/>
          </w:rPr>
          <w:t>.byfunds.com</w:t>
        </w:r>
      </w:hyperlink>
    </w:p>
    <w:p w:rsidR="000F2320" w:rsidRDefault="00D340B4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客户咨询电话：</w:t>
      </w:r>
      <w:r>
        <w:rPr>
          <w:rFonts w:ascii="Times New Roman" w:eastAsia="宋体" w:hAnsi="宋体" w:cs="Times New Roman"/>
          <w:sz w:val="24"/>
          <w:szCs w:val="24"/>
        </w:rPr>
        <w:t>400-8888-300</w:t>
      </w:r>
      <w:r>
        <w:rPr>
          <w:sz w:val="24"/>
          <w:szCs w:val="24"/>
        </w:rPr>
        <w:t>（免长途话费）</w:t>
      </w:r>
    </w:p>
    <w:p w:rsidR="000F2320" w:rsidRDefault="00D340B4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华金证券股份有限公司</w:t>
      </w:r>
    </w:p>
    <w:p w:rsidR="000F2320" w:rsidRDefault="00D340B4">
      <w:pPr>
        <w:spacing w:line="360" w:lineRule="auto"/>
        <w:ind w:firstLineChars="400" w:firstLine="96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公司网站：</w:t>
      </w:r>
      <w:r>
        <w:rPr>
          <w:rFonts w:hAnsi="宋体" w:hint="eastAsia"/>
          <w:sz w:val="24"/>
          <w:szCs w:val="24"/>
        </w:rPr>
        <w:t>https://www.huajinsc.cn</w:t>
      </w:r>
    </w:p>
    <w:p w:rsidR="000F2320" w:rsidRDefault="00D340B4">
      <w:pPr>
        <w:spacing w:line="360" w:lineRule="auto"/>
        <w:ind w:firstLineChars="400" w:firstLine="96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客户服务电话：</w:t>
      </w:r>
      <w:r>
        <w:rPr>
          <w:rFonts w:hAnsi="宋体" w:hint="eastAsia"/>
          <w:sz w:val="24"/>
          <w:szCs w:val="24"/>
        </w:rPr>
        <w:t>956011</w:t>
      </w:r>
    </w:p>
    <w:p w:rsidR="000F2320" w:rsidRDefault="000F2320">
      <w:pPr>
        <w:spacing w:line="360" w:lineRule="auto"/>
        <w:ind w:firstLineChars="350" w:firstLine="840"/>
        <w:textAlignment w:val="baseline"/>
        <w:rPr>
          <w:sz w:val="24"/>
          <w:szCs w:val="24"/>
        </w:rPr>
      </w:pPr>
      <w:bookmarkStart w:id="0" w:name="_GoBack"/>
      <w:bookmarkEnd w:id="0"/>
    </w:p>
    <w:p w:rsidR="000F2320" w:rsidRDefault="00D340B4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风险提示：</w:t>
      </w:r>
      <w:r>
        <w:rPr>
          <w:rFonts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0F2320" w:rsidRDefault="00D340B4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特此公告。</w:t>
      </w:r>
    </w:p>
    <w:p w:rsidR="000F2320" w:rsidRDefault="000F2320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</w:p>
    <w:p w:rsidR="000F2320" w:rsidRDefault="00D340B4">
      <w:pPr>
        <w:spacing w:line="360" w:lineRule="auto"/>
        <w:ind w:firstLineChars="200" w:firstLine="48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>
        <w:rPr>
          <w:rFonts w:hAnsi="宋体"/>
          <w:sz w:val="24"/>
          <w:szCs w:val="24"/>
        </w:rPr>
        <w:t>宝盈基金管理有限公司</w:t>
      </w:r>
    </w:p>
    <w:p w:rsidR="000F2320" w:rsidRDefault="00D340B4">
      <w:pPr>
        <w:wordWrap w:val="0"/>
        <w:spacing w:line="360" w:lineRule="auto"/>
        <w:jc w:val="right"/>
        <w:textAlignment w:val="baseline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20</w:t>
      </w: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4</w:t>
      </w:r>
      <w:r>
        <w:rPr>
          <w:rFonts w:ascii="Times New Roman" w:eastAsia="宋体" w:hAnsi="宋体" w:cs="Times New Roman"/>
          <w:sz w:val="24"/>
          <w:szCs w:val="24"/>
        </w:rPr>
        <w:t>年</w:t>
      </w:r>
      <w:r>
        <w:rPr>
          <w:rFonts w:ascii="Times New Roman" w:eastAsia="宋体" w:hAnsi="宋体" w:cs="Times New Roman"/>
          <w:sz w:val="24"/>
          <w:szCs w:val="24"/>
        </w:rPr>
        <w:t>11</w:t>
      </w:r>
      <w:r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sz w:val="24"/>
          <w:szCs w:val="24"/>
        </w:rPr>
        <w:t>28</w:t>
      </w:r>
      <w:r>
        <w:rPr>
          <w:rFonts w:ascii="Times New Roman" w:eastAsia="宋体" w:hAnsi="宋体" w:cs="Times New Roman"/>
          <w:sz w:val="24"/>
          <w:szCs w:val="24"/>
        </w:rPr>
        <w:t>日</w:t>
      </w:r>
      <w:r>
        <w:rPr>
          <w:rFonts w:ascii="Times New Roman" w:eastAsia="宋体" w:hAnsi="宋体" w:cs="Times New Roman"/>
          <w:sz w:val="24"/>
          <w:szCs w:val="24"/>
        </w:rPr>
        <w:t xml:space="preserve">  </w:t>
      </w:r>
    </w:p>
    <w:sectPr w:rsidR="000F2320" w:rsidSect="000F2320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2MWZkN2NmNDU2OTY2ZDQxODg0YmQwOTg5YTk1MjgifQ=="/>
    <w:docVar w:name="KSO_WPS_MARK_KEY" w:val="252bbb47-2e5f-4cae-96e6-19cda299e193"/>
  </w:docVars>
  <w:rsids>
    <w:rsidRoot w:val="00983D55"/>
    <w:rsid w:val="000272D5"/>
    <w:rsid w:val="0008039E"/>
    <w:rsid w:val="00091524"/>
    <w:rsid w:val="000A478B"/>
    <w:rsid w:val="000F0808"/>
    <w:rsid w:val="000F2320"/>
    <w:rsid w:val="00110F7F"/>
    <w:rsid w:val="0013521C"/>
    <w:rsid w:val="0015759B"/>
    <w:rsid w:val="00171CDA"/>
    <w:rsid w:val="00181482"/>
    <w:rsid w:val="00190209"/>
    <w:rsid w:val="00190B63"/>
    <w:rsid w:val="001A039A"/>
    <w:rsid w:val="001C1CA9"/>
    <w:rsid w:val="001D1338"/>
    <w:rsid w:val="001E7AF1"/>
    <w:rsid w:val="00253624"/>
    <w:rsid w:val="00263ABA"/>
    <w:rsid w:val="00267284"/>
    <w:rsid w:val="00272DF1"/>
    <w:rsid w:val="0028231F"/>
    <w:rsid w:val="002A6400"/>
    <w:rsid w:val="002A6964"/>
    <w:rsid w:val="002F4B24"/>
    <w:rsid w:val="00306A60"/>
    <w:rsid w:val="00311E93"/>
    <w:rsid w:val="00314281"/>
    <w:rsid w:val="003339AE"/>
    <w:rsid w:val="00347FFE"/>
    <w:rsid w:val="003604FB"/>
    <w:rsid w:val="00370D0F"/>
    <w:rsid w:val="00380C7C"/>
    <w:rsid w:val="003B45E1"/>
    <w:rsid w:val="003E2F60"/>
    <w:rsid w:val="004342EA"/>
    <w:rsid w:val="00445B9A"/>
    <w:rsid w:val="00474829"/>
    <w:rsid w:val="00482435"/>
    <w:rsid w:val="004E232E"/>
    <w:rsid w:val="00513A2E"/>
    <w:rsid w:val="00530E04"/>
    <w:rsid w:val="00575886"/>
    <w:rsid w:val="00580FB2"/>
    <w:rsid w:val="00597325"/>
    <w:rsid w:val="005A1BE1"/>
    <w:rsid w:val="0064364C"/>
    <w:rsid w:val="00666CF6"/>
    <w:rsid w:val="00671A0D"/>
    <w:rsid w:val="00680F76"/>
    <w:rsid w:val="006A0E7F"/>
    <w:rsid w:val="006B6D1E"/>
    <w:rsid w:val="006C318E"/>
    <w:rsid w:val="006C5676"/>
    <w:rsid w:val="006E06A7"/>
    <w:rsid w:val="006F22DB"/>
    <w:rsid w:val="00716412"/>
    <w:rsid w:val="00725DC5"/>
    <w:rsid w:val="007309FC"/>
    <w:rsid w:val="00750C72"/>
    <w:rsid w:val="00767CE0"/>
    <w:rsid w:val="0078324E"/>
    <w:rsid w:val="007C7DF4"/>
    <w:rsid w:val="00820B0C"/>
    <w:rsid w:val="00852183"/>
    <w:rsid w:val="008550D7"/>
    <w:rsid w:val="0086169D"/>
    <w:rsid w:val="00890541"/>
    <w:rsid w:val="008C60F0"/>
    <w:rsid w:val="008D14D7"/>
    <w:rsid w:val="009720D8"/>
    <w:rsid w:val="00975244"/>
    <w:rsid w:val="00983D55"/>
    <w:rsid w:val="009A0756"/>
    <w:rsid w:val="00A33388"/>
    <w:rsid w:val="00A3596C"/>
    <w:rsid w:val="00A4182A"/>
    <w:rsid w:val="00A84936"/>
    <w:rsid w:val="00AB35ED"/>
    <w:rsid w:val="00AC670E"/>
    <w:rsid w:val="00AD391F"/>
    <w:rsid w:val="00AD4D77"/>
    <w:rsid w:val="00AD5F10"/>
    <w:rsid w:val="00AE0BCD"/>
    <w:rsid w:val="00B044AE"/>
    <w:rsid w:val="00B2422C"/>
    <w:rsid w:val="00B576F1"/>
    <w:rsid w:val="00B64BC7"/>
    <w:rsid w:val="00BC028E"/>
    <w:rsid w:val="00BD5802"/>
    <w:rsid w:val="00BE50E2"/>
    <w:rsid w:val="00C038EC"/>
    <w:rsid w:val="00C756EF"/>
    <w:rsid w:val="00C80D4B"/>
    <w:rsid w:val="00C833E4"/>
    <w:rsid w:val="00CA2035"/>
    <w:rsid w:val="00CC1BC2"/>
    <w:rsid w:val="00D247C0"/>
    <w:rsid w:val="00D326AC"/>
    <w:rsid w:val="00D340B4"/>
    <w:rsid w:val="00D824CF"/>
    <w:rsid w:val="00D860E5"/>
    <w:rsid w:val="00D91775"/>
    <w:rsid w:val="00DA173B"/>
    <w:rsid w:val="00DA6DDE"/>
    <w:rsid w:val="00DD1F29"/>
    <w:rsid w:val="00E1324D"/>
    <w:rsid w:val="00E22AAF"/>
    <w:rsid w:val="00E413BA"/>
    <w:rsid w:val="00E514EF"/>
    <w:rsid w:val="00EA1AB8"/>
    <w:rsid w:val="00EB5276"/>
    <w:rsid w:val="00EF4C9C"/>
    <w:rsid w:val="00F2445B"/>
    <w:rsid w:val="00F665F9"/>
    <w:rsid w:val="00FC00A7"/>
    <w:rsid w:val="00FC2303"/>
    <w:rsid w:val="00FF528E"/>
    <w:rsid w:val="017046BB"/>
    <w:rsid w:val="03A6179F"/>
    <w:rsid w:val="09E638BB"/>
    <w:rsid w:val="100514EC"/>
    <w:rsid w:val="13A47230"/>
    <w:rsid w:val="141F218E"/>
    <w:rsid w:val="1844576A"/>
    <w:rsid w:val="3B383CEC"/>
    <w:rsid w:val="442B26C0"/>
    <w:rsid w:val="461865CE"/>
    <w:rsid w:val="4A5E116D"/>
    <w:rsid w:val="509C1BAA"/>
    <w:rsid w:val="545E484D"/>
    <w:rsid w:val="5AC82981"/>
    <w:rsid w:val="5E477E6C"/>
    <w:rsid w:val="61BA7B7E"/>
    <w:rsid w:val="691E0772"/>
    <w:rsid w:val="6DCE3783"/>
    <w:rsid w:val="7B73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rsid w:val="000F2320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F232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F232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F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F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0F2320"/>
    <w:rPr>
      <w:b/>
      <w:bCs/>
    </w:rPr>
  </w:style>
  <w:style w:type="character" w:styleId="a8">
    <w:name w:val="Strong"/>
    <w:qFormat/>
    <w:rsid w:val="000F2320"/>
    <w:rPr>
      <w:rFonts w:ascii="Times New Roman" w:eastAsia="宋体" w:hAnsi="Times New Roman" w:hint="default"/>
      <w:b/>
    </w:rPr>
  </w:style>
  <w:style w:type="character" w:styleId="a9">
    <w:name w:val="Hyperlink"/>
    <w:basedOn w:val="a0"/>
    <w:uiPriority w:val="99"/>
    <w:semiHidden/>
    <w:unhideWhenUsed/>
    <w:qFormat/>
    <w:rsid w:val="000F2320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0F232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0F232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F232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0F2320"/>
  </w:style>
  <w:style w:type="character" w:customStyle="1" w:styleId="Char3">
    <w:name w:val="批注主题 Char"/>
    <w:basedOn w:val="Char"/>
    <w:link w:val="a7"/>
    <w:uiPriority w:val="99"/>
    <w:semiHidden/>
    <w:qFormat/>
    <w:rsid w:val="000F2320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F2320"/>
    <w:rPr>
      <w:sz w:val="18"/>
      <w:szCs w:val="18"/>
    </w:rPr>
  </w:style>
  <w:style w:type="character" w:customStyle="1" w:styleId="font21">
    <w:name w:val="font21"/>
    <w:basedOn w:val="a0"/>
    <w:qFormat/>
    <w:rsid w:val="000F2320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0F2320"/>
    <w:rPr>
      <w:rFonts w:ascii="Times New Roman" w:hAnsi="Times New Roman" w:cs="Times New Roman" w:hint="default"/>
      <w:b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yfun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F402-2173-457F-AFF8-B2F4160C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4</DocSecurity>
  <Lines>9</Lines>
  <Paragraphs>2</Paragraphs>
  <ScaleCrop>false</ScaleCrop>
  <Company>CNSTOCK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2019-06-19T08:12:00Z</cp:lastPrinted>
  <dcterms:created xsi:type="dcterms:W3CDTF">2024-11-27T16:01:00Z</dcterms:created>
  <dcterms:modified xsi:type="dcterms:W3CDTF">2024-11-27T16:01:00Z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AE7E583E586747D3A580D9742747AB1C</vt:lpwstr>
  </property>
</Properties>
</file>