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BA4" w:rsidRPr="002F1734" w:rsidRDefault="00C91F50" w:rsidP="00590510">
      <w:pPr>
        <w:spacing w:line="360" w:lineRule="auto"/>
        <w:jc w:val="center"/>
        <w:rPr>
          <w:rFonts w:ascii="宋体" w:hAnsi="宋体" w:cs="宋体"/>
          <w:kern w:val="0"/>
          <w:sz w:val="18"/>
          <w:szCs w:val="18"/>
        </w:rPr>
      </w:pPr>
      <w:r w:rsidRPr="00C91F50">
        <w:rPr>
          <w:rFonts w:ascii="宋体" w:hAnsi="宋体" w:hint="eastAsia"/>
          <w:b/>
          <w:color w:val="000000"/>
          <w:sz w:val="24"/>
          <w:szCs w:val="24"/>
        </w:rPr>
        <w:t>华泰柏瑞中证韩交所中韩半导体交易型开放式指数证券投资基金发起式联接基金（QDII）</w:t>
      </w:r>
      <w:r w:rsidR="00C57054">
        <w:rPr>
          <w:rFonts w:ascii="宋体" w:hAnsi="宋体" w:hint="eastAsia"/>
          <w:b/>
          <w:color w:val="000000"/>
          <w:sz w:val="24"/>
          <w:szCs w:val="24"/>
        </w:rPr>
        <w:t>I类份额</w:t>
      </w:r>
      <w:r w:rsidR="00B75F51" w:rsidRPr="00B75F51">
        <w:rPr>
          <w:rFonts w:ascii="宋体" w:hAnsi="宋体" w:hint="eastAsia"/>
          <w:b/>
          <w:color w:val="000000"/>
          <w:sz w:val="24"/>
          <w:szCs w:val="24"/>
        </w:rPr>
        <w:t>2024年</w:t>
      </w:r>
      <w:r w:rsidR="00B033E6" w:rsidRPr="00B033E6">
        <w:rPr>
          <w:rFonts w:ascii="宋体" w:hAnsi="宋体" w:hint="eastAsia"/>
          <w:b/>
          <w:color w:val="000000"/>
          <w:sz w:val="24"/>
          <w:szCs w:val="24"/>
        </w:rPr>
        <w:t>境外主要投资场所节假日</w:t>
      </w:r>
      <w:r w:rsidR="00B75F51" w:rsidRPr="00B75F51">
        <w:rPr>
          <w:rFonts w:ascii="宋体" w:hAnsi="宋体" w:hint="eastAsia"/>
          <w:b/>
          <w:color w:val="000000"/>
          <w:sz w:val="24"/>
          <w:szCs w:val="24"/>
        </w:rPr>
        <w:t>暂停申购（含定期定额投资）和赎回业务的公告</w:t>
      </w:r>
    </w:p>
    <w:p w:rsidR="004626FC" w:rsidRDefault="004626FC" w:rsidP="00053B83">
      <w:pPr>
        <w:ind w:firstLineChars="200" w:firstLine="360"/>
        <w:rPr>
          <w:rFonts w:ascii="宋体" w:hAnsi="宋体" w:cs="宋体"/>
          <w:kern w:val="0"/>
          <w:sz w:val="18"/>
          <w:szCs w:val="18"/>
        </w:rPr>
      </w:pPr>
    </w:p>
    <w:p w:rsidR="00B75F51" w:rsidRDefault="00053B83" w:rsidP="00B033E6">
      <w:pPr>
        <w:spacing w:line="360" w:lineRule="auto"/>
        <w:ind w:firstLineChars="200" w:firstLine="420"/>
        <w:rPr>
          <w:rFonts w:ascii="宋体" w:hAnsi="宋体" w:cs="宋体"/>
          <w:kern w:val="0"/>
          <w:szCs w:val="21"/>
        </w:rPr>
      </w:pPr>
      <w:r w:rsidRPr="00590510">
        <w:rPr>
          <w:rFonts w:ascii="宋体" w:hAnsi="宋体" w:cs="宋体" w:hint="eastAsia"/>
          <w:kern w:val="0"/>
          <w:szCs w:val="21"/>
        </w:rPr>
        <w:t>为了保障基金平稳运作，保护持有人利益，</w:t>
      </w:r>
      <w:r w:rsidR="00B75F51" w:rsidRPr="00590510">
        <w:rPr>
          <w:rFonts w:ascii="宋体" w:hAnsi="宋体" w:cs="宋体"/>
          <w:kern w:val="0"/>
          <w:szCs w:val="21"/>
        </w:rPr>
        <w:t xml:space="preserve"> </w:t>
      </w:r>
      <w:r w:rsidRPr="00590510">
        <w:rPr>
          <w:rFonts w:ascii="宋体" w:hAnsi="宋体" w:cs="宋体" w:hint="eastAsia"/>
          <w:kern w:val="0"/>
          <w:szCs w:val="21"/>
        </w:rPr>
        <w:t>华泰柏瑞基金管理有限公司（以下简称“本公司”）旗下</w:t>
      </w:r>
      <w:r w:rsidR="00B75F51">
        <w:rPr>
          <w:rFonts w:ascii="宋体" w:hAnsi="宋体" w:cs="宋体" w:hint="eastAsia"/>
          <w:kern w:val="0"/>
          <w:szCs w:val="21"/>
        </w:rPr>
        <w:t>基金</w:t>
      </w:r>
      <w:r w:rsidR="00C91F50" w:rsidRPr="00C91F50">
        <w:rPr>
          <w:rFonts w:ascii="宋体" w:hAnsi="宋体" w:cs="宋体" w:hint="eastAsia"/>
          <w:kern w:val="0"/>
          <w:szCs w:val="21"/>
        </w:rPr>
        <w:t>华泰柏瑞中证韩交所中韩半导体交易型开放式指数证券投资基金发起式联接基金（QDII）</w:t>
      </w:r>
      <w:r w:rsidR="00433874">
        <w:rPr>
          <w:rFonts w:ascii="宋体" w:hAnsi="宋体" w:cs="宋体" w:hint="eastAsia"/>
          <w:kern w:val="0"/>
          <w:szCs w:val="21"/>
        </w:rPr>
        <w:t>I类份额</w:t>
      </w:r>
      <w:r w:rsidR="00422044">
        <w:rPr>
          <w:rFonts w:ascii="宋体" w:hAnsi="宋体" w:cs="宋体" w:hint="eastAsia"/>
          <w:kern w:val="0"/>
          <w:szCs w:val="21"/>
        </w:rPr>
        <w:t>，根据</w:t>
      </w:r>
      <w:r w:rsidR="002F1734" w:rsidRPr="00590510">
        <w:rPr>
          <w:rFonts w:ascii="宋体" w:hAnsi="宋体" w:cs="宋体" w:hint="eastAsia"/>
          <w:kern w:val="0"/>
          <w:szCs w:val="21"/>
        </w:rPr>
        <w:t>基金合同和招募说明书规定基金申购和赎回的开放日为</w:t>
      </w:r>
      <w:r w:rsidR="00B033E6" w:rsidRPr="00B033E6">
        <w:rPr>
          <w:rFonts w:ascii="宋体" w:hAnsi="宋体" w:cs="宋体" w:hint="eastAsia"/>
          <w:kern w:val="0"/>
          <w:szCs w:val="21"/>
        </w:rPr>
        <w:t>上海证券交易所、深圳证券交易所和</w:t>
      </w:r>
      <w:r w:rsidR="00C91F50">
        <w:rPr>
          <w:rFonts w:ascii="宋体" w:hAnsi="宋体" w:cs="宋体" w:hint="eastAsia"/>
          <w:kern w:val="0"/>
          <w:szCs w:val="21"/>
        </w:rPr>
        <w:t>韩国</w:t>
      </w:r>
      <w:r w:rsidR="00B033E6" w:rsidRPr="00B033E6">
        <w:rPr>
          <w:rFonts w:ascii="宋体" w:hAnsi="宋体" w:cs="宋体" w:hint="eastAsia"/>
          <w:kern w:val="0"/>
          <w:szCs w:val="21"/>
        </w:rPr>
        <w:t>证券交易所同时开放交易的工作日，开放日的具体办理时间为上海证券交易所</w:t>
      </w:r>
      <w:r w:rsidR="00B33985" w:rsidRPr="00B33985">
        <w:rPr>
          <w:rFonts w:ascii="宋体" w:hAnsi="宋体" w:cs="宋体" w:hint="eastAsia"/>
          <w:kern w:val="0"/>
          <w:szCs w:val="21"/>
        </w:rPr>
        <w:t>、深圳证券交易所和韩国证券交易所的正常交易日的共同交易时间北京时间 9:30-14:30，</w:t>
      </w:r>
      <w:r w:rsidR="00B033E6" w:rsidRPr="00B033E6">
        <w:rPr>
          <w:rFonts w:ascii="宋体" w:hAnsi="宋体" w:cs="宋体" w:hint="eastAsia"/>
          <w:kern w:val="0"/>
          <w:szCs w:val="21"/>
        </w:rPr>
        <w:t>但基金管理人根据法律法规、中国证监会的要求或基金合同的规定公告暂停申购、赎回时除外</w:t>
      </w:r>
      <w:r w:rsidR="00B75F51">
        <w:rPr>
          <w:rFonts w:ascii="宋体" w:hAnsi="宋体" w:cs="宋体" w:hint="eastAsia"/>
          <w:kern w:val="0"/>
          <w:szCs w:val="21"/>
        </w:rPr>
        <w:t>。</w:t>
      </w:r>
    </w:p>
    <w:p w:rsidR="00D73BA4" w:rsidRPr="00590510" w:rsidRDefault="00B75F51" w:rsidP="00590510">
      <w:pPr>
        <w:spacing w:line="360" w:lineRule="auto"/>
        <w:ind w:firstLineChars="200" w:firstLine="420"/>
        <w:rPr>
          <w:rFonts w:ascii="宋体" w:hAnsi="宋体" w:cs="宋体"/>
          <w:kern w:val="0"/>
          <w:szCs w:val="21"/>
        </w:rPr>
      </w:pPr>
      <w:r>
        <w:rPr>
          <w:rFonts w:hint="eastAsia"/>
          <w:szCs w:val="21"/>
        </w:rPr>
        <w:t>本基金管理人决定在下述</w:t>
      </w:r>
      <w:r w:rsidR="00B033E6" w:rsidRPr="00B033E6">
        <w:rPr>
          <w:rFonts w:hint="eastAsia"/>
          <w:szCs w:val="21"/>
        </w:rPr>
        <w:t>境外主要市场节假日</w:t>
      </w:r>
      <w:r>
        <w:rPr>
          <w:rFonts w:hint="eastAsia"/>
          <w:szCs w:val="21"/>
        </w:rPr>
        <w:t>暂停上述基金的申购</w:t>
      </w:r>
      <w:r w:rsidRPr="00665393">
        <w:rPr>
          <w:rFonts w:hint="eastAsia"/>
          <w:szCs w:val="21"/>
        </w:rPr>
        <w:t>（含定期定额投资）</w:t>
      </w:r>
      <w:r>
        <w:rPr>
          <w:rFonts w:hint="eastAsia"/>
          <w:szCs w:val="21"/>
        </w:rPr>
        <w:t>和赎回业务</w:t>
      </w:r>
      <w:r w:rsidR="00B033E6" w:rsidRPr="00B033E6">
        <w:rPr>
          <w:rFonts w:hint="eastAsia"/>
          <w:szCs w:val="21"/>
        </w:rPr>
        <w:t>，并自下列节假日的下一开放日恢复本基金的日常申购（包括定期定额申购）和赎回业务</w:t>
      </w:r>
      <w:r>
        <w:rPr>
          <w:rFonts w:hint="eastAsia"/>
          <w:szCs w:val="21"/>
        </w:rPr>
        <w:t>。</w:t>
      </w:r>
      <w:r w:rsidR="00053B83" w:rsidRPr="00590510">
        <w:rPr>
          <w:rFonts w:ascii="宋体" w:hAnsi="宋体" w:cs="宋体" w:hint="eastAsia"/>
          <w:kern w:val="0"/>
          <w:szCs w:val="21"/>
        </w:rPr>
        <w:t>届时不再另行公告。</w:t>
      </w:r>
    </w:p>
    <w:p w:rsidR="00D73BA4" w:rsidRPr="00590510" w:rsidRDefault="00D73BA4" w:rsidP="00837F81">
      <w:pPr>
        <w:pStyle w:val="1"/>
        <w:spacing w:line="360" w:lineRule="auto"/>
        <w:ind w:firstLineChars="0" w:firstLine="0"/>
        <w:rPr>
          <w:rFonts w:ascii="宋体" w:hAnsi="宋体"/>
          <w:szCs w:val="21"/>
        </w:rPr>
      </w:pPr>
    </w:p>
    <w:tbl>
      <w:tblPr>
        <w:tblW w:w="7797" w:type="dxa"/>
        <w:jc w:val="center"/>
        <w:tblLayout w:type="fixed"/>
        <w:tblLook w:val="04A0"/>
      </w:tblPr>
      <w:tblGrid>
        <w:gridCol w:w="3976"/>
        <w:gridCol w:w="3821"/>
      </w:tblGrid>
      <w:tr w:rsidR="00B75F51" w:rsidRPr="002F1734" w:rsidTr="003650FB">
        <w:trPr>
          <w:trHeight w:val="270"/>
          <w:jc w:val="center"/>
        </w:trPr>
        <w:tc>
          <w:tcPr>
            <w:tcW w:w="3976" w:type="dxa"/>
            <w:vMerge w:val="restart"/>
            <w:tcBorders>
              <w:top w:val="single" w:sz="4" w:space="0" w:color="auto"/>
              <w:left w:val="single" w:sz="4" w:space="0" w:color="auto"/>
              <w:right w:val="single" w:sz="4" w:space="0" w:color="auto"/>
            </w:tcBorders>
            <w:shd w:val="clear" w:color="auto" w:fill="auto"/>
            <w:vAlign w:val="center"/>
          </w:tcPr>
          <w:p w:rsidR="00B75F51" w:rsidRPr="00590510" w:rsidRDefault="00B75F51" w:rsidP="00837F81">
            <w:pPr>
              <w:widowControl/>
              <w:spacing w:line="360" w:lineRule="auto"/>
              <w:jc w:val="center"/>
              <w:rPr>
                <w:rFonts w:ascii="宋体" w:hAnsi="宋体" w:cs="宋体"/>
                <w:color w:val="000000"/>
                <w:kern w:val="0"/>
                <w:szCs w:val="21"/>
              </w:rPr>
            </w:pPr>
            <w:r>
              <w:rPr>
                <w:rFonts w:hint="eastAsia"/>
                <w:szCs w:val="21"/>
              </w:rPr>
              <w:t>2</w:t>
            </w:r>
            <w:r>
              <w:rPr>
                <w:szCs w:val="21"/>
              </w:rPr>
              <w:t>024</w:t>
            </w:r>
            <w:r>
              <w:rPr>
                <w:rFonts w:hint="eastAsia"/>
                <w:szCs w:val="21"/>
              </w:rPr>
              <w:t>年</w:t>
            </w:r>
            <w:r w:rsidR="00C91F50">
              <w:rPr>
                <w:rFonts w:hint="eastAsia"/>
                <w:szCs w:val="21"/>
              </w:rPr>
              <w:t>韩国</w:t>
            </w:r>
            <w:r w:rsidR="00234AD0" w:rsidRPr="00234AD0">
              <w:rPr>
                <w:rFonts w:hint="eastAsia"/>
                <w:szCs w:val="21"/>
              </w:rPr>
              <w:t>节假日</w:t>
            </w:r>
          </w:p>
        </w:tc>
        <w:tc>
          <w:tcPr>
            <w:tcW w:w="3821" w:type="dxa"/>
            <w:tcBorders>
              <w:top w:val="single" w:sz="4" w:space="0" w:color="auto"/>
              <w:left w:val="nil"/>
              <w:bottom w:val="single" w:sz="4" w:space="0" w:color="auto"/>
              <w:right w:val="single" w:sz="4" w:space="0" w:color="auto"/>
            </w:tcBorders>
            <w:shd w:val="clear" w:color="auto" w:fill="auto"/>
            <w:vAlign w:val="bottom"/>
          </w:tcPr>
          <w:p w:rsidR="00B75F51" w:rsidRPr="00590510" w:rsidRDefault="00B75F51" w:rsidP="00590510">
            <w:pPr>
              <w:widowControl/>
              <w:spacing w:line="360" w:lineRule="auto"/>
              <w:jc w:val="center"/>
              <w:rPr>
                <w:rFonts w:ascii="宋体" w:hAnsi="宋体" w:cs="宋体"/>
                <w:kern w:val="0"/>
                <w:szCs w:val="21"/>
              </w:rPr>
            </w:pPr>
            <w:r w:rsidRPr="00590510">
              <w:rPr>
                <w:rFonts w:ascii="宋体" w:hAnsi="宋体" w:cs="宋体" w:hint="eastAsia"/>
                <w:kern w:val="0"/>
                <w:szCs w:val="21"/>
              </w:rPr>
              <w:t>日期</w:t>
            </w:r>
          </w:p>
        </w:tc>
      </w:tr>
      <w:tr w:rsidR="00C91F50" w:rsidRPr="002F1734" w:rsidTr="003650FB">
        <w:trPr>
          <w:trHeight w:val="270"/>
          <w:jc w:val="center"/>
        </w:trPr>
        <w:tc>
          <w:tcPr>
            <w:tcW w:w="3976" w:type="dxa"/>
            <w:vMerge/>
            <w:tcBorders>
              <w:left w:val="single" w:sz="4" w:space="0" w:color="auto"/>
              <w:bottom w:val="single" w:sz="4" w:space="0" w:color="auto"/>
              <w:right w:val="single" w:sz="4" w:space="0" w:color="auto"/>
            </w:tcBorders>
            <w:shd w:val="clear" w:color="auto" w:fill="auto"/>
            <w:vAlign w:val="center"/>
          </w:tcPr>
          <w:p w:rsidR="00C91F50" w:rsidRPr="00590510" w:rsidRDefault="00C91F50" w:rsidP="00C91F50">
            <w:pPr>
              <w:widowControl/>
              <w:spacing w:line="360" w:lineRule="auto"/>
              <w:jc w:val="center"/>
              <w:rPr>
                <w:rFonts w:ascii="宋体" w:hAnsi="宋体" w:cs="宋体"/>
                <w:color w:val="000000"/>
                <w:kern w:val="0"/>
                <w:szCs w:val="21"/>
              </w:rPr>
            </w:pPr>
          </w:p>
        </w:tc>
        <w:tc>
          <w:tcPr>
            <w:tcW w:w="3821" w:type="dxa"/>
            <w:tcBorders>
              <w:top w:val="single" w:sz="4" w:space="0" w:color="auto"/>
              <w:left w:val="nil"/>
              <w:bottom w:val="single" w:sz="4" w:space="0" w:color="auto"/>
              <w:right w:val="single" w:sz="4" w:space="0" w:color="auto"/>
            </w:tcBorders>
            <w:shd w:val="clear" w:color="auto" w:fill="auto"/>
            <w:vAlign w:val="center"/>
          </w:tcPr>
          <w:p w:rsidR="00C91F50" w:rsidRPr="00B75F51" w:rsidRDefault="00F1531F" w:rsidP="00C91F50">
            <w:pPr>
              <w:widowControl/>
              <w:spacing w:line="360" w:lineRule="auto"/>
              <w:jc w:val="center"/>
              <w:rPr>
                <w:szCs w:val="21"/>
              </w:rPr>
            </w:pPr>
            <w:r w:rsidRPr="00C47947">
              <w:rPr>
                <w:rFonts w:hint="eastAsia"/>
                <w:szCs w:val="21"/>
              </w:rPr>
              <w:t>2024</w:t>
            </w:r>
            <w:r w:rsidRPr="00C47947">
              <w:rPr>
                <w:rFonts w:hint="eastAsia"/>
                <w:szCs w:val="21"/>
              </w:rPr>
              <w:t>年</w:t>
            </w:r>
            <w:r w:rsidRPr="00C47947">
              <w:rPr>
                <w:rFonts w:hint="eastAsia"/>
                <w:szCs w:val="21"/>
              </w:rPr>
              <w:t>12</w:t>
            </w:r>
            <w:r w:rsidRPr="00C47947">
              <w:rPr>
                <w:rFonts w:hint="eastAsia"/>
                <w:szCs w:val="21"/>
              </w:rPr>
              <w:t>月</w:t>
            </w:r>
            <w:r w:rsidRPr="00C47947">
              <w:rPr>
                <w:szCs w:val="21"/>
              </w:rPr>
              <w:t>25</w:t>
            </w:r>
            <w:r w:rsidR="00C91F50" w:rsidRPr="00C47947">
              <w:rPr>
                <w:rFonts w:hint="eastAsia"/>
                <w:szCs w:val="21"/>
              </w:rPr>
              <w:t>日</w:t>
            </w:r>
          </w:p>
        </w:tc>
      </w:tr>
    </w:tbl>
    <w:p w:rsidR="00D73BA4" w:rsidRPr="00590510" w:rsidRDefault="00D73BA4" w:rsidP="00590510">
      <w:pPr>
        <w:spacing w:line="360" w:lineRule="auto"/>
        <w:outlineLvl w:val="0"/>
        <w:rPr>
          <w:rFonts w:ascii="宋体" w:hAnsi="宋体"/>
          <w:szCs w:val="21"/>
        </w:rPr>
      </w:pPr>
    </w:p>
    <w:p w:rsidR="00D73BA4" w:rsidRPr="00590510" w:rsidRDefault="002F3ACE" w:rsidP="00590510">
      <w:pPr>
        <w:spacing w:line="360" w:lineRule="auto"/>
        <w:outlineLvl w:val="0"/>
        <w:rPr>
          <w:rFonts w:ascii="宋体" w:hAnsi="宋体"/>
          <w:szCs w:val="21"/>
        </w:rPr>
      </w:pPr>
      <w:r w:rsidRPr="00590510">
        <w:rPr>
          <w:rFonts w:ascii="宋体" w:hAnsi="宋体" w:hint="eastAsia"/>
          <w:szCs w:val="21"/>
        </w:rPr>
        <w:t>重要提示：</w:t>
      </w:r>
    </w:p>
    <w:p w:rsidR="00234AD0" w:rsidRDefault="00234AD0" w:rsidP="00590510">
      <w:pPr>
        <w:pStyle w:val="ab"/>
        <w:numPr>
          <w:ilvl w:val="0"/>
          <w:numId w:val="2"/>
        </w:numPr>
        <w:spacing w:line="360" w:lineRule="auto"/>
        <w:ind w:firstLineChars="0"/>
        <w:outlineLvl w:val="0"/>
        <w:rPr>
          <w:rFonts w:ascii="宋体" w:hAnsi="宋体"/>
          <w:szCs w:val="21"/>
        </w:rPr>
      </w:pPr>
      <w:r w:rsidRPr="00234AD0">
        <w:rPr>
          <w:rFonts w:ascii="宋体" w:hAnsi="宋体" w:hint="eastAsia"/>
          <w:szCs w:val="21"/>
        </w:rPr>
        <w:t>上述日期已剔除和国内公休假、法定节假日重合的日期。若境外主要市场节假日安排发生变化，本基金管理人将进行相应调整并公告。</w:t>
      </w:r>
    </w:p>
    <w:p w:rsidR="002F3ACE" w:rsidRDefault="002F3ACE" w:rsidP="00590510">
      <w:pPr>
        <w:pStyle w:val="ab"/>
        <w:numPr>
          <w:ilvl w:val="0"/>
          <w:numId w:val="2"/>
        </w:numPr>
        <w:spacing w:line="360" w:lineRule="auto"/>
        <w:ind w:firstLineChars="0"/>
        <w:outlineLvl w:val="0"/>
        <w:rPr>
          <w:rFonts w:ascii="宋体" w:hAnsi="宋体"/>
          <w:szCs w:val="21"/>
        </w:rPr>
      </w:pPr>
      <w:r w:rsidRPr="00590510">
        <w:rPr>
          <w:rFonts w:ascii="宋体" w:hAnsi="宋体" w:hint="eastAsia"/>
          <w:szCs w:val="21"/>
        </w:rPr>
        <w:t>如遇因其他原因暂停申购、赎回、</w:t>
      </w:r>
      <w:bookmarkStart w:id="0" w:name="_GoBack"/>
      <w:bookmarkEnd w:id="0"/>
      <w:r w:rsidRPr="00590510">
        <w:rPr>
          <w:rFonts w:ascii="宋体" w:hAnsi="宋体" w:hint="eastAsia"/>
          <w:szCs w:val="21"/>
        </w:rPr>
        <w:t>定期定额投资等业务的，具体业务办理以相关公告为准。</w:t>
      </w:r>
    </w:p>
    <w:p w:rsidR="00860566" w:rsidRPr="00F1531F" w:rsidRDefault="00860566" w:rsidP="00343010">
      <w:pPr>
        <w:pStyle w:val="ab"/>
        <w:numPr>
          <w:ilvl w:val="0"/>
          <w:numId w:val="2"/>
        </w:numPr>
        <w:spacing w:line="360" w:lineRule="auto"/>
        <w:ind w:firstLineChars="0"/>
        <w:outlineLvl w:val="0"/>
        <w:rPr>
          <w:rFonts w:ascii="宋体" w:hAnsi="宋体"/>
          <w:szCs w:val="21"/>
        </w:rPr>
      </w:pPr>
      <w:r>
        <w:rPr>
          <w:rFonts w:ascii="宋体" w:hAnsi="宋体" w:hint="eastAsia"/>
          <w:szCs w:val="21"/>
        </w:rPr>
        <w:t>2</w:t>
      </w:r>
      <w:r>
        <w:rPr>
          <w:rFonts w:ascii="宋体" w:hAnsi="宋体"/>
          <w:szCs w:val="21"/>
        </w:rPr>
        <w:t>024</w:t>
      </w:r>
      <w:r>
        <w:rPr>
          <w:rFonts w:ascii="宋体" w:hAnsi="宋体" w:hint="eastAsia"/>
          <w:szCs w:val="21"/>
        </w:rPr>
        <w:t>年1</w:t>
      </w:r>
      <w:r>
        <w:rPr>
          <w:rFonts w:ascii="宋体" w:hAnsi="宋体"/>
          <w:szCs w:val="21"/>
        </w:rPr>
        <w:t>2</w:t>
      </w:r>
      <w:r>
        <w:rPr>
          <w:rFonts w:ascii="宋体" w:hAnsi="宋体" w:hint="eastAsia"/>
          <w:szCs w:val="21"/>
        </w:rPr>
        <w:t>月3</w:t>
      </w:r>
      <w:r>
        <w:rPr>
          <w:rFonts w:ascii="宋体" w:hAnsi="宋体"/>
          <w:szCs w:val="21"/>
        </w:rPr>
        <w:t>1</w:t>
      </w:r>
      <w:r>
        <w:rPr>
          <w:rFonts w:ascii="宋体" w:hAnsi="宋体" w:hint="eastAsia"/>
          <w:szCs w:val="21"/>
        </w:rPr>
        <w:t>日（星期二）</w:t>
      </w:r>
      <w:r w:rsidR="00343010">
        <w:rPr>
          <w:rFonts w:ascii="宋体" w:hAnsi="宋体" w:hint="eastAsia"/>
          <w:szCs w:val="21"/>
        </w:rPr>
        <w:t>的安排</w:t>
      </w:r>
      <w:r w:rsidR="00343010" w:rsidRPr="00343010">
        <w:rPr>
          <w:rFonts w:ascii="宋体" w:hAnsi="宋体" w:hint="eastAsia"/>
          <w:szCs w:val="21"/>
        </w:rPr>
        <w:t>将待中国证监会关于 2025 年节假日放假和休市安排确定后由本公司另行</w:t>
      </w:r>
      <w:r w:rsidR="00343010">
        <w:rPr>
          <w:rFonts w:ascii="宋体" w:hAnsi="宋体" w:hint="eastAsia"/>
          <w:szCs w:val="21"/>
        </w:rPr>
        <w:t>通知。</w:t>
      </w:r>
    </w:p>
    <w:p w:rsidR="004626FC" w:rsidRPr="00590510" w:rsidRDefault="002F3ACE" w:rsidP="00590510">
      <w:pPr>
        <w:pStyle w:val="ab"/>
        <w:numPr>
          <w:ilvl w:val="0"/>
          <w:numId w:val="2"/>
        </w:numPr>
        <w:spacing w:line="360" w:lineRule="auto"/>
        <w:ind w:firstLineChars="0"/>
        <w:outlineLvl w:val="0"/>
        <w:rPr>
          <w:rFonts w:ascii="宋体" w:hAnsi="宋体"/>
          <w:szCs w:val="21"/>
        </w:rPr>
      </w:pPr>
      <w:r w:rsidRPr="00590510">
        <w:rPr>
          <w:rFonts w:ascii="宋体" w:hAnsi="宋体" w:hint="eastAsia"/>
          <w:szCs w:val="21"/>
        </w:rPr>
        <w:t>敬请投资者仔细阅读基金合同、基金招募说明书（更新）、产品资料概要等法律文件，及早做好交易安排，避免因非</w:t>
      </w:r>
      <w:r w:rsidR="00F36A89">
        <w:rPr>
          <w:rFonts w:hint="eastAsia"/>
          <w:szCs w:val="21"/>
        </w:rPr>
        <w:t>美国纳斯达克证券交易所</w:t>
      </w:r>
      <w:r w:rsidR="00F36A89" w:rsidRPr="00590510">
        <w:rPr>
          <w:rFonts w:ascii="宋体" w:hAnsi="宋体" w:hint="eastAsia"/>
          <w:szCs w:val="21"/>
        </w:rPr>
        <w:t>交易日</w:t>
      </w:r>
      <w:r w:rsidRPr="00590510">
        <w:rPr>
          <w:rFonts w:ascii="宋体" w:hAnsi="宋体" w:hint="eastAsia"/>
          <w:szCs w:val="21"/>
        </w:rPr>
        <w:t>带来不便。</w:t>
      </w:r>
      <w:r w:rsidRPr="00590510">
        <w:rPr>
          <w:rFonts w:ascii="宋体" w:hAnsi="宋体"/>
          <w:szCs w:val="21"/>
        </w:rPr>
        <w:cr/>
      </w:r>
    </w:p>
    <w:p w:rsidR="002F3ACE" w:rsidRPr="00590510" w:rsidRDefault="002F3ACE" w:rsidP="00590510">
      <w:pPr>
        <w:spacing w:line="360" w:lineRule="auto"/>
        <w:ind w:left="360" w:firstLineChars="200" w:firstLine="420"/>
        <w:outlineLvl w:val="0"/>
        <w:rPr>
          <w:rFonts w:ascii="宋体" w:hAnsi="宋体"/>
          <w:szCs w:val="21"/>
        </w:rPr>
      </w:pPr>
      <w:r w:rsidRPr="00590510">
        <w:rPr>
          <w:rFonts w:ascii="宋体" w:hAnsi="宋体" w:hint="eastAsia"/>
          <w:szCs w:val="21"/>
        </w:rPr>
        <w:t>投资者</w:t>
      </w:r>
      <w:r w:rsidR="004626FC" w:rsidRPr="00590510">
        <w:rPr>
          <w:rFonts w:ascii="宋体" w:hAnsi="宋体" w:hint="eastAsia"/>
          <w:szCs w:val="21"/>
        </w:rPr>
        <w:t>如</w:t>
      </w:r>
      <w:r w:rsidRPr="00590510">
        <w:rPr>
          <w:rFonts w:ascii="宋体" w:hAnsi="宋体" w:hint="eastAsia"/>
          <w:szCs w:val="21"/>
        </w:rPr>
        <w:t>欲了解详</w:t>
      </w:r>
      <w:r w:rsidR="004626FC" w:rsidRPr="00590510">
        <w:rPr>
          <w:rFonts w:ascii="宋体" w:hAnsi="宋体" w:hint="eastAsia"/>
          <w:szCs w:val="21"/>
        </w:rPr>
        <w:t>情，可以登录本基金管理人网站（</w:t>
      </w:r>
      <w:r w:rsidR="004626FC" w:rsidRPr="00590510">
        <w:rPr>
          <w:rFonts w:ascii="宋体" w:hAnsi="宋体"/>
          <w:szCs w:val="21"/>
        </w:rPr>
        <w:t>www.huatai-pb.com）或拨打本基金管理人的全国统一客户服务电话400-888-0001（免长途费），021-38784638</w:t>
      </w:r>
      <w:r w:rsidR="004626FC" w:rsidRPr="00590510">
        <w:rPr>
          <w:rFonts w:ascii="宋体" w:hAnsi="宋体" w:hint="eastAsia"/>
          <w:szCs w:val="21"/>
        </w:rPr>
        <w:t>咨询</w:t>
      </w:r>
      <w:r w:rsidR="004626FC" w:rsidRPr="00590510">
        <w:rPr>
          <w:rFonts w:ascii="宋体" w:hAnsi="宋体" w:hint="eastAsia"/>
          <w:szCs w:val="21"/>
        </w:rPr>
        <w:lastRenderedPageBreak/>
        <w:t>相关事宜。</w:t>
      </w:r>
    </w:p>
    <w:p w:rsidR="00D73BA4" w:rsidRPr="00590510" w:rsidRDefault="00D73BA4" w:rsidP="00590510">
      <w:pPr>
        <w:spacing w:line="360" w:lineRule="auto"/>
        <w:rPr>
          <w:rFonts w:ascii="宋体" w:hAnsi="宋体"/>
          <w:szCs w:val="21"/>
        </w:rPr>
      </w:pPr>
    </w:p>
    <w:p w:rsidR="002F1734" w:rsidRDefault="000C5559" w:rsidP="003D3A6F">
      <w:pPr>
        <w:widowControl/>
        <w:spacing w:line="360" w:lineRule="auto"/>
        <w:ind w:firstLineChars="200" w:firstLine="420"/>
        <w:jc w:val="left"/>
        <w:rPr>
          <w:szCs w:val="21"/>
        </w:rPr>
      </w:pPr>
      <w:r w:rsidRPr="00590510">
        <w:rPr>
          <w:rFonts w:ascii="宋体" w:hAnsi="宋体" w:cs="宋体" w:hint="eastAsia"/>
          <w:kern w:val="0"/>
          <w:szCs w:val="21"/>
        </w:rPr>
        <w:t>风险提示：</w:t>
      </w:r>
      <w:r w:rsidR="003D3A6F">
        <w:rPr>
          <w:rFonts w:hint="eastAsia"/>
          <w:szCs w:val="21"/>
        </w:rPr>
        <w:t>基金管理人承诺依照诚实信用、勤勉尽职的原则管理和运用基金资产，但不保证基金一定盈利，也不保证最低收益。基金的过往业绩及其净值高低并不预示其未来业绩表现。</w:t>
      </w:r>
      <w:r w:rsidR="003D3A6F">
        <w:rPr>
          <w:rFonts w:hint="eastAsia"/>
          <w:szCs w:val="21"/>
        </w:rPr>
        <w:br/>
      </w:r>
      <w:r w:rsidR="003D3A6F">
        <w:rPr>
          <w:rFonts w:hint="eastAsia"/>
          <w:szCs w:val="21"/>
        </w:rPr>
        <w:t xml:space="preserve">　　投资者投资本基金前应认真阅读基金合同、招募说明书等法律文件，了解拟投资基金的风险收益特征，并根据自身投资目的、投资期限、投资经验、资产状况等判断基金是否和投资者的风险承受能力相匹配。</w:t>
      </w:r>
    </w:p>
    <w:p w:rsidR="003D3A6F" w:rsidRPr="00590510" w:rsidRDefault="003D3A6F" w:rsidP="00590510">
      <w:pPr>
        <w:widowControl/>
        <w:spacing w:line="360" w:lineRule="auto"/>
        <w:jc w:val="left"/>
        <w:rPr>
          <w:rFonts w:ascii="宋体" w:hAnsi="宋体"/>
          <w:kern w:val="0"/>
          <w:szCs w:val="21"/>
        </w:rPr>
      </w:pPr>
    </w:p>
    <w:p w:rsidR="00D73BA4" w:rsidRPr="00590510" w:rsidRDefault="000A1026" w:rsidP="00590510">
      <w:pPr>
        <w:widowControl/>
        <w:spacing w:line="360" w:lineRule="auto"/>
        <w:ind w:firstLine="420"/>
        <w:jc w:val="left"/>
        <w:rPr>
          <w:rFonts w:ascii="宋体" w:hAnsi="宋体" w:cs="宋体"/>
          <w:kern w:val="0"/>
          <w:szCs w:val="21"/>
        </w:rPr>
      </w:pPr>
      <w:r w:rsidRPr="00590510">
        <w:rPr>
          <w:rFonts w:ascii="宋体" w:hAnsi="宋体" w:cs="宋体" w:hint="eastAsia"/>
          <w:kern w:val="0"/>
          <w:szCs w:val="21"/>
        </w:rPr>
        <w:t>特此</w:t>
      </w:r>
      <w:r w:rsidR="004626FC" w:rsidRPr="00590510">
        <w:rPr>
          <w:rFonts w:ascii="宋体" w:hAnsi="宋体" w:cs="宋体" w:hint="eastAsia"/>
          <w:kern w:val="0"/>
          <w:szCs w:val="21"/>
        </w:rPr>
        <w:t>公告</w:t>
      </w:r>
      <w:r w:rsidRPr="00590510">
        <w:rPr>
          <w:rFonts w:ascii="宋体" w:hAnsi="宋体" w:cs="宋体" w:hint="eastAsia"/>
          <w:kern w:val="0"/>
          <w:szCs w:val="21"/>
        </w:rPr>
        <w:t>。</w:t>
      </w:r>
    </w:p>
    <w:p w:rsidR="004626FC" w:rsidRPr="00590510" w:rsidRDefault="004626FC" w:rsidP="00590510">
      <w:pPr>
        <w:widowControl/>
        <w:spacing w:line="360" w:lineRule="auto"/>
        <w:jc w:val="right"/>
        <w:rPr>
          <w:rFonts w:ascii="宋体" w:hAnsi="宋体" w:cs="宋体"/>
          <w:kern w:val="0"/>
          <w:szCs w:val="21"/>
        </w:rPr>
      </w:pPr>
    </w:p>
    <w:p w:rsidR="004626FC" w:rsidRPr="00590510" w:rsidRDefault="004626FC" w:rsidP="00590510">
      <w:pPr>
        <w:widowControl/>
        <w:spacing w:line="360" w:lineRule="auto"/>
        <w:jc w:val="right"/>
        <w:rPr>
          <w:rFonts w:ascii="宋体" w:hAnsi="宋体" w:cs="宋体"/>
          <w:kern w:val="0"/>
          <w:szCs w:val="21"/>
        </w:rPr>
      </w:pPr>
    </w:p>
    <w:p w:rsidR="004626FC" w:rsidRPr="00590510" w:rsidRDefault="004626FC" w:rsidP="00590510">
      <w:pPr>
        <w:widowControl/>
        <w:spacing w:line="360" w:lineRule="auto"/>
        <w:jc w:val="right"/>
        <w:rPr>
          <w:rFonts w:ascii="宋体" w:hAnsi="宋体" w:cs="宋体"/>
          <w:kern w:val="0"/>
          <w:szCs w:val="21"/>
        </w:rPr>
      </w:pPr>
    </w:p>
    <w:p w:rsidR="00D73BA4" w:rsidRPr="00590510" w:rsidRDefault="000A1026" w:rsidP="00590510">
      <w:pPr>
        <w:widowControl/>
        <w:spacing w:line="360" w:lineRule="auto"/>
        <w:jc w:val="right"/>
        <w:rPr>
          <w:rFonts w:ascii="宋体" w:hAnsi="宋体" w:cs="宋体"/>
          <w:kern w:val="0"/>
          <w:szCs w:val="21"/>
        </w:rPr>
      </w:pPr>
      <w:r w:rsidRPr="00590510">
        <w:rPr>
          <w:rFonts w:ascii="宋体" w:hAnsi="宋体" w:cs="宋体" w:hint="eastAsia"/>
          <w:kern w:val="0"/>
          <w:szCs w:val="21"/>
        </w:rPr>
        <w:t>华泰柏瑞基金管理有限公司</w:t>
      </w:r>
    </w:p>
    <w:p w:rsidR="00D73BA4" w:rsidRPr="00590510" w:rsidRDefault="00C57054" w:rsidP="00590510">
      <w:pPr>
        <w:widowControl/>
        <w:spacing w:line="360" w:lineRule="auto"/>
        <w:jc w:val="right"/>
        <w:rPr>
          <w:rFonts w:ascii="宋体" w:hAnsi="宋体" w:cs="宋体"/>
          <w:kern w:val="0"/>
          <w:szCs w:val="21"/>
        </w:rPr>
      </w:pPr>
      <w:r w:rsidRPr="00590510">
        <w:rPr>
          <w:rFonts w:ascii="宋体" w:hAnsi="宋体" w:cs="宋体"/>
          <w:kern w:val="0"/>
          <w:szCs w:val="21"/>
        </w:rPr>
        <w:t>202</w:t>
      </w:r>
      <w:r>
        <w:rPr>
          <w:rFonts w:ascii="宋体" w:hAnsi="宋体" w:cs="宋体"/>
          <w:kern w:val="0"/>
          <w:szCs w:val="21"/>
        </w:rPr>
        <w:t>4</w:t>
      </w:r>
      <w:r w:rsidRPr="00590510">
        <w:rPr>
          <w:rFonts w:ascii="宋体" w:hAnsi="宋体" w:cs="宋体"/>
          <w:kern w:val="0"/>
          <w:szCs w:val="21"/>
        </w:rPr>
        <w:t>年</w:t>
      </w:r>
      <w:r>
        <w:rPr>
          <w:rFonts w:ascii="宋体" w:hAnsi="宋体" w:cs="宋体"/>
          <w:kern w:val="0"/>
          <w:szCs w:val="21"/>
        </w:rPr>
        <w:t>11</w:t>
      </w:r>
      <w:r w:rsidRPr="00590510">
        <w:rPr>
          <w:rFonts w:ascii="宋体" w:hAnsi="宋体" w:cs="宋体"/>
          <w:kern w:val="0"/>
          <w:szCs w:val="21"/>
        </w:rPr>
        <w:t>月</w:t>
      </w:r>
      <w:r>
        <w:rPr>
          <w:rFonts w:ascii="宋体" w:hAnsi="宋体" w:cs="宋体"/>
          <w:kern w:val="0"/>
          <w:szCs w:val="21"/>
        </w:rPr>
        <w:t>27</w:t>
      </w:r>
      <w:r w:rsidR="007F768D" w:rsidRPr="00590510">
        <w:rPr>
          <w:rFonts w:ascii="宋体" w:hAnsi="宋体" w:cs="宋体"/>
          <w:kern w:val="0"/>
          <w:szCs w:val="21"/>
        </w:rPr>
        <w:t>日</w:t>
      </w:r>
    </w:p>
    <w:sectPr w:rsidR="00D73BA4" w:rsidRPr="00590510" w:rsidSect="00D73BA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C4F" w:rsidRDefault="004E6C4F">
      <w:r>
        <w:separator/>
      </w:r>
    </w:p>
  </w:endnote>
  <w:endnote w:type="continuationSeparator" w:id="0">
    <w:p w:rsidR="004E6C4F" w:rsidRDefault="004E6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C4F" w:rsidRDefault="004E6C4F">
      <w:r>
        <w:separator/>
      </w:r>
    </w:p>
  </w:footnote>
  <w:footnote w:type="continuationSeparator" w:id="0">
    <w:p w:rsidR="004E6C4F" w:rsidRDefault="004E6C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65F9"/>
    <w:multiLevelType w:val="hybridMultilevel"/>
    <w:tmpl w:val="68620F44"/>
    <w:lvl w:ilvl="0" w:tplc="2594028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47194997"/>
    <w:multiLevelType w:val="hybridMultilevel"/>
    <w:tmpl w:val="56661140"/>
    <w:lvl w:ilvl="0" w:tplc="C45C7BA2">
      <w:start w:val="1"/>
      <w:numFmt w:val="japaneseCounting"/>
      <w:lvlText w:val="%1、"/>
      <w:lvlJc w:val="left"/>
      <w:pPr>
        <w:ind w:left="420" w:hanging="4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C80E5A"/>
    <w:multiLevelType w:val="multilevel"/>
    <w:tmpl w:val="47C80E5A"/>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3BA4"/>
    <w:rsid w:val="00044F68"/>
    <w:rsid w:val="00053B83"/>
    <w:rsid w:val="000A1026"/>
    <w:rsid w:val="000A4185"/>
    <w:rsid w:val="000C5559"/>
    <w:rsid w:val="000F169E"/>
    <w:rsid w:val="000F35FE"/>
    <w:rsid w:val="00115215"/>
    <w:rsid w:val="001D3D84"/>
    <w:rsid w:val="00234AD0"/>
    <w:rsid w:val="00264DB5"/>
    <w:rsid w:val="002F1734"/>
    <w:rsid w:val="002F3ACE"/>
    <w:rsid w:val="00330759"/>
    <w:rsid w:val="00335702"/>
    <w:rsid w:val="00343010"/>
    <w:rsid w:val="003650FB"/>
    <w:rsid w:val="003B3A23"/>
    <w:rsid w:val="003D3A6F"/>
    <w:rsid w:val="00400821"/>
    <w:rsid w:val="00422044"/>
    <w:rsid w:val="004230DF"/>
    <w:rsid w:val="00433874"/>
    <w:rsid w:val="004626FC"/>
    <w:rsid w:val="00465938"/>
    <w:rsid w:val="004E6C4F"/>
    <w:rsid w:val="00512755"/>
    <w:rsid w:val="00590510"/>
    <w:rsid w:val="007D291C"/>
    <w:rsid w:val="007F768D"/>
    <w:rsid w:val="00831CD2"/>
    <w:rsid w:val="00837F81"/>
    <w:rsid w:val="00860566"/>
    <w:rsid w:val="008E5D62"/>
    <w:rsid w:val="00996277"/>
    <w:rsid w:val="00996938"/>
    <w:rsid w:val="009D1430"/>
    <w:rsid w:val="00A5004A"/>
    <w:rsid w:val="00A651A5"/>
    <w:rsid w:val="00A73D33"/>
    <w:rsid w:val="00B033E6"/>
    <w:rsid w:val="00B33985"/>
    <w:rsid w:val="00B75F51"/>
    <w:rsid w:val="00B9649F"/>
    <w:rsid w:val="00BD6D01"/>
    <w:rsid w:val="00C47947"/>
    <w:rsid w:val="00C57054"/>
    <w:rsid w:val="00C91F50"/>
    <w:rsid w:val="00C92A6D"/>
    <w:rsid w:val="00C93A8A"/>
    <w:rsid w:val="00CB622D"/>
    <w:rsid w:val="00D33368"/>
    <w:rsid w:val="00D545F6"/>
    <w:rsid w:val="00D73BA4"/>
    <w:rsid w:val="00D75ECA"/>
    <w:rsid w:val="00DA528C"/>
    <w:rsid w:val="00DB7FBC"/>
    <w:rsid w:val="00DF29E4"/>
    <w:rsid w:val="00ED2660"/>
    <w:rsid w:val="00ED6DAF"/>
    <w:rsid w:val="00F1531F"/>
    <w:rsid w:val="00F36A89"/>
    <w:rsid w:val="00F42052"/>
    <w:rsid w:val="00FE1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A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rsid w:val="00D73BA4"/>
    <w:pPr>
      <w:autoSpaceDE w:val="0"/>
      <w:autoSpaceDN w:val="0"/>
      <w:adjustRightInd w:val="0"/>
      <w:spacing w:line="500" w:lineRule="exact"/>
      <w:ind w:firstLineChars="200" w:firstLine="512"/>
      <w:jc w:val="left"/>
    </w:pPr>
    <w:rPr>
      <w:rFonts w:ascii="宋体" w:hAnsi="Times New Roman"/>
      <w:color w:val="000000"/>
      <w:spacing w:val="8"/>
      <w:kern w:val="0"/>
      <w:sz w:val="24"/>
      <w:szCs w:val="20"/>
    </w:rPr>
  </w:style>
  <w:style w:type="paragraph" w:styleId="a3">
    <w:name w:val="Balloon Text"/>
    <w:basedOn w:val="a"/>
    <w:link w:val="Char"/>
    <w:unhideWhenUsed/>
    <w:qFormat/>
    <w:rsid w:val="00D73BA4"/>
    <w:rPr>
      <w:sz w:val="18"/>
      <w:szCs w:val="18"/>
    </w:rPr>
  </w:style>
  <w:style w:type="paragraph" w:styleId="a4">
    <w:name w:val="footer"/>
    <w:basedOn w:val="a"/>
    <w:link w:val="Char0"/>
    <w:uiPriority w:val="99"/>
    <w:unhideWhenUsed/>
    <w:qFormat/>
    <w:rsid w:val="00D73BA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73BA4"/>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sid w:val="00D73BA4"/>
    <w:rPr>
      <w:color w:val="333333"/>
      <w:u w:val="none"/>
    </w:rPr>
  </w:style>
  <w:style w:type="character" w:customStyle="1" w:styleId="Char1">
    <w:name w:val="页眉 Char"/>
    <w:basedOn w:val="a0"/>
    <w:link w:val="a5"/>
    <w:uiPriority w:val="99"/>
    <w:semiHidden/>
    <w:qFormat/>
    <w:rsid w:val="00D73BA4"/>
    <w:rPr>
      <w:sz w:val="18"/>
      <w:szCs w:val="18"/>
    </w:rPr>
  </w:style>
  <w:style w:type="character" w:customStyle="1" w:styleId="Char0">
    <w:name w:val="页脚 Char"/>
    <w:basedOn w:val="a0"/>
    <w:link w:val="a4"/>
    <w:uiPriority w:val="99"/>
    <w:semiHidden/>
    <w:qFormat/>
    <w:rsid w:val="00D73BA4"/>
    <w:rPr>
      <w:sz w:val="18"/>
      <w:szCs w:val="18"/>
    </w:rPr>
  </w:style>
  <w:style w:type="character" w:customStyle="1" w:styleId="Char">
    <w:name w:val="批注框文本 Char"/>
    <w:basedOn w:val="a0"/>
    <w:link w:val="a3"/>
    <w:semiHidden/>
    <w:qFormat/>
    <w:rsid w:val="00D73BA4"/>
    <w:rPr>
      <w:rFonts w:ascii="Calibri" w:hAnsi="Calibri"/>
      <w:kern w:val="2"/>
      <w:sz w:val="18"/>
      <w:szCs w:val="18"/>
    </w:rPr>
  </w:style>
  <w:style w:type="character" w:customStyle="1" w:styleId="2Char">
    <w:name w:val="正文文本缩进 2 Char"/>
    <w:basedOn w:val="a0"/>
    <w:link w:val="2"/>
    <w:qFormat/>
    <w:rsid w:val="00D73BA4"/>
    <w:rPr>
      <w:rFonts w:ascii="宋体"/>
      <w:color w:val="000000"/>
      <w:spacing w:val="8"/>
      <w:sz w:val="24"/>
    </w:rPr>
  </w:style>
  <w:style w:type="paragraph" w:customStyle="1" w:styleId="1">
    <w:name w:val="列出段落1"/>
    <w:basedOn w:val="a"/>
    <w:uiPriority w:val="99"/>
    <w:unhideWhenUsed/>
    <w:rsid w:val="00D73BA4"/>
    <w:pPr>
      <w:ind w:firstLineChars="200" w:firstLine="420"/>
    </w:pPr>
  </w:style>
  <w:style w:type="paragraph" w:styleId="a7">
    <w:name w:val="Document Map"/>
    <w:basedOn w:val="a"/>
    <w:link w:val="Char2"/>
    <w:semiHidden/>
    <w:unhideWhenUsed/>
    <w:rsid w:val="00D73BA4"/>
    <w:rPr>
      <w:rFonts w:ascii="宋体"/>
      <w:sz w:val="18"/>
      <w:szCs w:val="18"/>
    </w:rPr>
  </w:style>
  <w:style w:type="character" w:customStyle="1" w:styleId="Char2">
    <w:name w:val="文档结构图 Char"/>
    <w:basedOn w:val="a0"/>
    <w:link w:val="a7"/>
    <w:semiHidden/>
    <w:rsid w:val="00D73BA4"/>
    <w:rPr>
      <w:rFonts w:ascii="宋体" w:hAnsi="Calibri"/>
      <w:kern w:val="2"/>
      <w:sz w:val="18"/>
      <w:szCs w:val="18"/>
    </w:rPr>
  </w:style>
  <w:style w:type="character" w:styleId="a8">
    <w:name w:val="annotation reference"/>
    <w:basedOn w:val="a0"/>
    <w:semiHidden/>
    <w:unhideWhenUsed/>
    <w:rsid w:val="00D73BA4"/>
    <w:rPr>
      <w:sz w:val="21"/>
      <w:szCs w:val="21"/>
    </w:rPr>
  </w:style>
  <w:style w:type="paragraph" w:styleId="a9">
    <w:name w:val="annotation text"/>
    <w:basedOn w:val="a"/>
    <w:link w:val="Char3"/>
    <w:semiHidden/>
    <w:unhideWhenUsed/>
    <w:rsid w:val="00D73BA4"/>
    <w:pPr>
      <w:jc w:val="left"/>
    </w:pPr>
  </w:style>
  <w:style w:type="character" w:customStyle="1" w:styleId="Char3">
    <w:name w:val="批注文字 Char"/>
    <w:basedOn w:val="a0"/>
    <w:link w:val="a9"/>
    <w:semiHidden/>
    <w:rsid w:val="00D73BA4"/>
    <w:rPr>
      <w:rFonts w:ascii="Calibri" w:hAnsi="Calibri"/>
      <w:kern w:val="2"/>
      <w:sz w:val="21"/>
      <w:szCs w:val="22"/>
    </w:rPr>
  </w:style>
  <w:style w:type="paragraph" w:styleId="aa">
    <w:name w:val="annotation subject"/>
    <w:basedOn w:val="a9"/>
    <w:next w:val="a9"/>
    <w:link w:val="Char4"/>
    <w:semiHidden/>
    <w:unhideWhenUsed/>
    <w:rsid w:val="00D73BA4"/>
    <w:rPr>
      <w:b/>
      <w:bCs/>
    </w:rPr>
  </w:style>
  <w:style w:type="character" w:customStyle="1" w:styleId="Char4">
    <w:name w:val="批注主题 Char"/>
    <w:basedOn w:val="Char3"/>
    <w:link w:val="aa"/>
    <w:semiHidden/>
    <w:rsid w:val="00D73BA4"/>
    <w:rPr>
      <w:rFonts w:ascii="Calibri" w:hAnsi="Calibri"/>
      <w:b/>
      <w:bCs/>
      <w:kern w:val="2"/>
      <w:sz w:val="21"/>
      <w:szCs w:val="22"/>
    </w:rPr>
  </w:style>
  <w:style w:type="paragraph" w:styleId="ab">
    <w:name w:val="List Paragraph"/>
    <w:basedOn w:val="a"/>
    <w:uiPriority w:val="99"/>
    <w:rsid w:val="002F3ACE"/>
    <w:pPr>
      <w:ind w:firstLineChars="200" w:firstLine="420"/>
    </w:pPr>
  </w:style>
</w:styles>
</file>

<file path=word/webSettings.xml><?xml version="1.0" encoding="utf-8"?>
<w:webSettings xmlns:r="http://schemas.openxmlformats.org/officeDocument/2006/relationships" xmlns:w="http://schemas.openxmlformats.org/wordprocessingml/2006/main">
  <w:divs>
    <w:div w:id="164458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3EBC16-C91B-4F47-B214-4F97B245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865</Characters>
  <Application>Microsoft Office Word</Application>
  <DocSecurity>4</DocSecurity>
  <Lines>7</Lines>
  <Paragraphs>2</Paragraphs>
  <ScaleCrop>false</ScaleCrop>
  <Company>华泰柏瑞基金公司</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华泰柏瑞基金</dc:title>
  <dc:creator>陈佳俊(Chen Jiajun)</dc:creator>
  <cp:lastModifiedBy>ZHONGM</cp:lastModifiedBy>
  <cp:revision>2</cp:revision>
  <cp:lastPrinted>2014-12-08T06:50:00Z</cp:lastPrinted>
  <dcterms:created xsi:type="dcterms:W3CDTF">2024-11-26T16:01:00Z</dcterms:created>
  <dcterms:modified xsi:type="dcterms:W3CDTF">2024-11-26T16:01:00Z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