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5ECB" w:rsidRDefault="000B5ECB" w:rsidP="008438C3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0B5ECB" w:rsidRDefault="000B5ECB">
      <w:pPr>
        <w:jc w:val="center"/>
      </w:pPr>
      <w:r>
        <w:rPr>
          <w:rFonts w:cs="Times New Roman" w:hint="eastAsia"/>
          <w:b/>
          <w:sz w:val="48"/>
          <w:szCs w:val="48"/>
        </w:rPr>
        <w:t>东方中债1-5年政策性金融债指数证券投资基金暂停3万元以上（不含3万元）申购、转换转入、定期定额投资公告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B5ECB" w:rsidRDefault="000B5ECB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公告送出日期：2024年11月27日</w:t>
      </w:r>
    </w:p>
    <w:p w:rsidR="000B5ECB" w:rsidRDefault="000B5ECB" w:rsidP="008438C3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9"/>
        <w:gridCol w:w="1196"/>
        <w:gridCol w:w="2965"/>
        <w:gridCol w:w="2965"/>
      </w:tblGrid>
      <w:tr w:rsidR="000B5ECB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hint="eastAsia"/>
              </w:rPr>
              <w:t>基金名称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hint="eastAsia"/>
              </w:rPr>
              <w:t>东方中债1-5年政策性金融债指数证券投资基金</w:t>
            </w:r>
          </w:p>
        </w:tc>
      </w:tr>
      <w:tr w:rsidR="000B5ECB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hint="eastAsia"/>
              </w:rPr>
              <w:t xml:space="preserve">基金简称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hint="eastAsia"/>
              </w:rPr>
              <w:t>东方中债1-5年政策性金融债</w:t>
            </w:r>
          </w:p>
        </w:tc>
      </w:tr>
      <w:tr w:rsidR="000B5ECB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hint="eastAsia"/>
              </w:rPr>
              <w:t xml:space="preserve">基金主代码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hint="eastAsia"/>
              </w:rPr>
              <w:t>012403</w:t>
            </w:r>
          </w:p>
        </w:tc>
      </w:tr>
      <w:tr w:rsidR="000B5ECB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hint="eastAsia"/>
              </w:rPr>
              <w:t>东方基金管理股份有限公司</w:t>
            </w:r>
          </w:p>
        </w:tc>
      </w:tr>
      <w:tr w:rsidR="000B5ECB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hint="eastAsia"/>
              </w:rPr>
              <w:t>公告依据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hint="eastAsia"/>
              </w:rPr>
              <w:t>《东方中债1-5年政策性金融债指数证券投资基金基金合同》、《东方中债1-5年政策性金融债指数证券投资基金招募说明书》及相关法律法规。</w:t>
            </w:r>
          </w:p>
        </w:tc>
      </w:tr>
      <w:tr w:rsidR="000B5ECB"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hint="eastAsia"/>
              </w:rPr>
              <w:t>暂停相关业务的起始日、金额及原因说明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hint="eastAsia"/>
              </w:rPr>
              <w:t>暂停大额申购起始日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hint="eastAsia"/>
              </w:rPr>
              <w:t>2024年11月28日</w:t>
            </w:r>
          </w:p>
        </w:tc>
      </w:tr>
      <w:tr w:rsidR="000B5ECB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ECB" w:rsidRDefault="000B5ECB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hint="eastAsia"/>
              </w:rPr>
              <w:t>暂停大额转换转入起始日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hint="eastAsia"/>
              </w:rPr>
              <w:t>2024年11月28日</w:t>
            </w:r>
          </w:p>
        </w:tc>
      </w:tr>
      <w:tr w:rsidR="000B5ECB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ECB" w:rsidRDefault="000B5ECB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hint="eastAsia"/>
              </w:rPr>
              <w:t>暂停定期定额投资起始日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hint="eastAsia"/>
              </w:rPr>
              <w:t>2024年11月28日</w:t>
            </w:r>
          </w:p>
        </w:tc>
      </w:tr>
      <w:tr w:rsidR="000B5ECB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ECB" w:rsidRDefault="000B5ECB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hint="eastAsia"/>
              </w:rPr>
              <w:t>暂停大额申购、大额转换转入、定期定额投资的原因说明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outset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hint="eastAsia"/>
              </w:rPr>
              <w:t>为了保证基金的平稳运作，保护基金持有人利益。</w:t>
            </w:r>
          </w:p>
        </w:tc>
      </w:tr>
      <w:tr w:rsidR="000B5ECB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hint="eastAsia"/>
              </w:rPr>
              <w:t>下属分级基金的基金简称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0B5ECB" w:rsidRDefault="000B5ECB">
            <w:r>
              <w:rPr>
                <w:rFonts w:hint="eastAsia"/>
              </w:rPr>
              <w:t>东方中债1-5年政策性金融债A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0B5ECB" w:rsidRDefault="000B5ECB">
            <w:r>
              <w:rPr>
                <w:rFonts w:hint="eastAsia"/>
              </w:rPr>
              <w:t>东方中债1-5年政策性金融债C</w:t>
            </w:r>
          </w:p>
        </w:tc>
      </w:tr>
      <w:tr w:rsidR="000B5ECB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0B5ECB" w:rsidRDefault="000B5ECB">
            <w:r>
              <w:rPr>
                <w:rFonts w:hint="eastAsia"/>
              </w:rPr>
              <w:t>012403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0B5ECB" w:rsidRDefault="000B5ECB">
            <w:r>
              <w:rPr>
                <w:rFonts w:hint="eastAsia"/>
              </w:rPr>
              <w:t>012404</w:t>
            </w:r>
          </w:p>
        </w:tc>
      </w:tr>
      <w:tr w:rsidR="000B5ECB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hint="eastAsia"/>
              </w:rPr>
              <w:t>该分级基金是否暂停大额申购、大额转换转入、定期定额投资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0B5ECB" w:rsidRDefault="000B5ECB">
            <w:r>
              <w:rPr>
                <w:rFonts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0B5ECB" w:rsidRDefault="000B5ECB">
            <w:r>
              <w:rPr>
                <w:rFonts w:hint="eastAsia"/>
              </w:rPr>
              <w:t>是</w:t>
            </w:r>
          </w:p>
        </w:tc>
      </w:tr>
      <w:tr w:rsidR="000B5ECB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hint="eastAsia"/>
              </w:rPr>
              <w:t>下属分级基金的限制申购金额（单位：人民币元）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0B5ECB" w:rsidRDefault="000B5ECB">
            <w:r>
              <w:rPr>
                <w:rFonts w:hint="eastAsia"/>
              </w:rPr>
              <w:t>30,000.00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0B5ECB" w:rsidRDefault="000B5ECB">
            <w:r>
              <w:rPr>
                <w:rFonts w:hint="eastAsia"/>
              </w:rPr>
              <w:t>30,000.00</w:t>
            </w:r>
          </w:p>
        </w:tc>
      </w:tr>
      <w:tr w:rsidR="000B5ECB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hint="eastAsia"/>
              </w:rPr>
              <w:t xml:space="preserve">下属分级基金的限制转换转入金额（单位：人民币元） 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CB" w:rsidRDefault="000B5ECB">
            <w:r>
              <w:rPr>
                <w:rFonts w:hint="eastAsia"/>
              </w:rPr>
              <w:t>30,000.00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CB" w:rsidRDefault="000B5ECB">
            <w:r>
              <w:rPr>
                <w:rFonts w:hint="eastAsia"/>
              </w:rPr>
              <w:t>30,000.00</w:t>
            </w:r>
          </w:p>
        </w:tc>
      </w:tr>
      <w:tr w:rsidR="000B5ECB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ECB" w:rsidRDefault="000B5ECB">
            <w:r>
              <w:rPr>
                <w:rFonts w:ascii="Calibri" w:hAnsi="Calibri" w:cs="Calibri"/>
              </w:rPr>
              <w:t>下属分级基金的限制定期定额投资金额（单位：人民币元）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CB" w:rsidRDefault="000B5ECB">
            <w:r>
              <w:rPr>
                <w:rFonts w:hint="eastAsia"/>
              </w:rPr>
              <w:t>30,000.00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CB" w:rsidRDefault="000B5ECB">
            <w:r>
              <w:rPr>
                <w:rFonts w:hint="eastAsia"/>
              </w:rPr>
              <w:t>30,000.00</w:t>
            </w:r>
          </w:p>
        </w:tc>
      </w:tr>
    </w:tbl>
    <w:p w:rsidR="000B5ECB" w:rsidRDefault="000B5ECB"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注:</w:t>
      </w:r>
      <w:r>
        <w:rPr>
          <w:rFonts w:hint="eastAsia"/>
          <w:szCs w:val="24"/>
          <w:lang/>
        </w:rPr>
        <w:t xml:space="preserve">自2024年11月28日起，本基金管理人暂停接受投资者对本基金的单笔金额3万元以上（不含3万元）申购（包括日常申购和定期定额申购）、转换转入申请，且单个基金账户单日累计申购（包括日常申购和定期定额申购）及转换转入金额不得超过3万元以上（不含3万元）。对于超过限额的申请，本基金管理人有权拒绝，不予确认。 </w:t>
      </w:r>
    </w:p>
    <w:p w:rsidR="000B5ECB" w:rsidRDefault="000B5ECB" w:rsidP="008438C3">
      <w:pPr>
        <w:pStyle w:val="XBRLTitle1"/>
        <w:spacing w:before="156" w:line="360" w:lineRule="auto"/>
        <w:jc w:val="left"/>
        <w:rPr>
          <w:rFonts w:hint="eastAsia"/>
        </w:rPr>
      </w:pPr>
      <w:bookmarkStart w:id="13" w:name="_Toc17898228"/>
      <w:bookmarkStart w:id="14" w:name="_Toc17897969"/>
      <w:bookmarkStart w:id="15" w:name="_Toc512519529"/>
      <w:bookmarkStart w:id="16" w:name="_Toc490050049"/>
      <w:bookmarkStart w:id="17" w:name="_Toc481075097"/>
      <w:bookmarkStart w:id="18" w:name="_Toc438646481"/>
      <w:bookmarkStart w:id="19" w:name="_Toc513295878"/>
      <w:bookmarkStart w:id="20" w:name="_Toc513295941"/>
      <w:bookmarkStart w:id="21" w:name="_Toc34322063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0B5ECB" w:rsidRDefault="000B5ECB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2.1 恢复办理本基金的大额申购（包括日常申购和定期定额申购）、大额转换转入业务的日期，本基金管理人将另行公告。</w:t>
      </w:r>
      <w:r>
        <w:rPr>
          <w:rFonts w:hint="eastAsia"/>
          <w:szCs w:val="21"/>
        </w:rPr>
        <w:br/>
        <w:t xml:space="preserve">　　2.2 除有另行公告外，在上述业务暂停期间，本基金的赎回、转换转出等其他业务照常办理。</w:t>
      </w:r>
      <w:r>
        <w:rPr>
          <w:rFonts w:hint="eastAsia"/>
          <w:szCs w:val="21"/>
        </w:rPr>
        <w:br/>
        <w:t xml:space="preserve">　　2.3 风险提示：基金管理人承诺以诚实信用、勤勉尽责的原则管理和运用基金资产，但不保证基金一定盈利，也不保证最低收益。基金管理人管理的基金业绩不构成对其他基金业绩表现的保证。基金管理人提醒投资人遵循基金投资“买者自负”的原则，应认真阅读《基金合同》、《招募说明书》、《基金产品资料概要》等基金法律文件，全面认识产品风险收益特征和产品特征，充分考虑自身的风险承受能力，理性判断市场，在对申购基金的意愿、时机、数量等投资行为做出独立、谨慎决策后，基金运营状况与基金净值变化引致的投资风险，由投资者自行负担。</w:t>
      </w:r>
      <w:r>
        <w:rPr>
          <w:rFonts w:hint="eastAsia"/>
          <w:szCs w:val="21"/>
        </w:rPr>
        <w:br/>
        <w:t xml:space="preserve">　　2.4 如有疑问，请拨打客户服务热线：400-628-5888（免长途话费），或登陆公司网站www.orient-fund.com 获取相关信息。</w:t>
      </w:r>
      <w:r>
        <w:rPr>
          <w:rFonts w:hint="eastAsia"/>
          <w:szCs w:val="21"/>
        </w:rPr>
        <w:br/>
        <w:t xml:space="preserve">　　特此公告。</w:t>
      </w:r>
    </w:p>
    <w:p w:rsidR="000B5ECB" w:rsidRDefault="000B5ECB" w:rsidP="008438C3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0B5ECB" w:rsidRDefault="000B5ECB" w:rsidP="008438C3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0B5ECB" w:rsidRDefault="000B5ECB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东方基金管理股份有限公司</w:t>
      </w:r>
    </w:p>
    <w:p w:rsidR="000B5ECB" w:rsidRDefault="000B5ECB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2024年11月27日</w:t>
      </w:r>
      <w:bookmarkEnd w:id="22"/>
    </w:p>
    <w:sectPr w:rsidR="000B5ECB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CB" w:rsidRDefault="000B5ECB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0B5ECB" w:rsidRDefault="000B5ECB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CB" w:rsidRDefault="000B5ECB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2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2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CB" w:rsidRDefault="000B5ECB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0B5ECB" w:rsidRDefault="000B5ECB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CB" w:rsidRDefault="000B5ECB">
    <w:pPr>
      <w:pStyle w:val="a7"/>
      <w:jc w:val="right"/>
      <w:rPr>
        <w:rFonts w:hint="eastAsia"/>
      </w:rPr>
    </w:pPr>
    <w:r>
      <w:rPr>
        <w:rFonts w:hint="eastAsia"/>
      </w:rPr>
      <w:t>东方中债1-5年政策性金融债指数证券投资基金暂停3万元以上（不含3万元）申购、转换转入、定期定额投资公告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oNotDisplayPageBoundaries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8C3"/>
    <w:rsid w:val="000B5ECB"/>
    <w:rsid w:val="007F6BF4"/>
    <w:rsid w:val="0084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 w:cs="Times New Roman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pPr>
      <w:keepNext/>
      <w:keepLines/>
      <w:spacing w:before="260" w:after="260" w:line="408" w:lineRule="auto"/>
      <w:outlineLvl w:val="2"/>
    </w:pPr>
    <w:rPr>
      <w:rFonts w:cs="Times New Roman"/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pPr>
      <w:keepNext/>
      <w:keepLines/>
      <w:spacing w:before="240" w:after="290" w:line="372" w:lineRule="auto"/>
      <w:outlineLvl w:val="3"/>
    </w:pPr>
    <w:rPr>
      <w:rFonts w:ascii="Cambria" w:hAnsi="Cambria" w:cs="Times New Roman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0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0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6"/>
    <w:locked/>
    <w:rPr>
      <w:kern w:val="2"/>
      <w:sz w:val="18"/>
      <w:szCs w:val="18"/>
    </w:rPr>
  </w:style>
  <w:style w:type="paragraph" w:styleId="a7">
    <w:name w:val="header"/>
    <w:basedOn w:val="a"/>
    <w:link w:val="Char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Pr>
      <w:kern w:val="2"/>
      <w:sz w:val="18"/>
      <w:szCs w:val="18"/>
    </w:rPr>
  </w:style>
  <w:style w:type="paragraph" w:styleId="a8">
    <w:name w:val="footer"/>
    <w:basedOn w:val="a"/>
    <w:link w:val="Char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Pr>
      <w:kern w:val="2"/>
      <w:sz w:val="18"/>
      <w:szCs w:val="18"/>
    </w:rPr>
  </w:style>
  <w:style w:type="paragraph" w:styleId="a9">
    <w:name w:val="Title"/>
    <w:basedOn w:val="1"/>
    <w:next w:val="2"/>
    <w:link w:val="Char1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Char3">
    <w:name w:val="标题 Char"/>
    <w:basedOn w:val="a0"/>
    <w:link w:val="a9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a">
    <w:name w:val="Subtitle"/>
    <w:basedOn w:val="2"/>
    <w:next w:val="3"/>
    <w:link w:val="Char13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Char4">
    <w:name w:val="副标题 Char"/>
    <w:basedOn w:val="a0"/>
    <w:link w:val="aa"/>
    <w:locked/>
    <w:rPr>
      <w:rFonts w:ascii="Cambria" w:hAnsi="Cambria" w:cs="Times New Roman" w:hint="default"/>
      <w:b/>
      <w:bCs/>
      <w:kern w:val="24"/>
      <w:sz w:val="32"/>
      <w:szCs w:val="32"/>
    </w:rPr>
  </w:style>
  <w:style w:type="paragraph" w:styleId="ab">
    <w:name w:val="Date"/>
    <w:basedOn w:val="a"/>
    <w:next w:val="a"/>
    <w:link w:val="Char14"/>
    <w:rPr>
      <w:rFonts w:cs="Times New Roman" w:hint="eastAsia"/>
      <w:sz w:val="32"/>
      <w:lang/>
    </w:rPr>
  </w:style>
  <w:style w:type="character" w:customStyle="1" w:styleId="Char5">
    <w:name w:val="日期 Char"/>
    <w:basedOn w:val="a0"/>
    <w:link w:val="ab"/>
    <w:locked/>
    <w:rPr>
      <w:kern w:val="2"/>
      <w:sz w:val="21"/>
    </w:rPr>
  </w:style>
  <w:style w:type="paragraph" w:styleId="ac">
    <w:name w:val="Document Map"/>
    <w:basedOn w:val="a"/>
    <w:link w:val="Char15"/>
    <w:pPr>
      <w:shd w:val="clear" w:color="auto" w:fill="000080"/>
    </w:pPr>
  </w:style>
  <w:style w:type="character" w:customStyle="1" w:styleId="Char6">
    <w:name w:val="文档结构图 Char"/>
    <w:basedOn w:val="a0"/>
    <w:link w:val="ac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Balloon Text"/>
    <w:basedOn w:val="a"/>
    <w:link w:val="Char16"/>
    <w:uiPriority w:val="99"/>
    <w:semiHidden/>
    <w:unhideWhenUsed/>
    <w:rPr>
      <w:sz w:val="18"/>
      <w:szCs w:val="18"/>
    </w:rPr>
  </w:style>
  <w:style w:type="character" w:customStyle="1" w:styleId="Char7">
    <w:name w:val="批注框文本 Char"/>
    <w:basedOn w:val="a0"/>
    <w:link w:val="ad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e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a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a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8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a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">
    <w:name w:val="footnote reference"/>
    <w:rPr>
      <w:vertAlign w:val="superscript"/>
    </w:rPr>
  </w:style>
  <w:style w:type="character" w:customStyle="1" w:styleId="11">
    <w:name w:val="标题 1 字符"/>
    <w:basedOn w:val="a0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1">
    <w:name w:val="标题 3 字符"/>
    <w:basedOn w:val="a0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af0">
    <w:name w:val="脚注文本 字符"/>
    <w:basedOn w:val="a0"/>
    <w:link w:val="a6"/>
    <w:locked/>
    <w:rPr>
      <w:kern w:val="2"/>
      <w:sz w:val="18"/>
      <w:szCs w:val="18"/>
    </w:rPr>
  </w:style>
  <w:style w:type="character" w:customStyle="1" w:styleId="af1">
    <w:name w:val="页眉 字符"/>
    <w:basedOn w:val="a0"/>
    <w:link w:val="a7"/>
    <w:locked/>
    <w:rPr>
      <w:kern w:val="2"/>
      <w:sz w:val="18"/>
      <w:szCs w:val="18"/>
    </w:rPr>
  </w:style>
  <w:style w:type="character" w:customStyle="1" w:styleId="af2">
    <w:name w:val="页脚 字符"/>
    <w:basedOn w:val="a0"/>
    <w:link w:val="a8"/>
    <w:uiPriority w:val="99"/>
    <w:locked/>
    <w:rPr>
      <w:kern w:val="2"/>
      <w:sz w:val="18"/>
      <w:szCs w:val="18"/>
    </w:rPr>
  </w:style>
  <w:style w:type="character" w:customStyle="1" w:styleId="af3">
    <w:name w:val="标题 字符"/>
    <w:basedOn w:val="a0"/>
    <w:link w:val="a9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af4">
    <w:name w:val="副标题 字符"/>
    <w:basedOn w:val="a0"/>
    <w:link w:val="aa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character" w:customStyle="1" w:styleId="af5">
    <w:name w:val="日期 字符"/>
    <w:basedOn w:val="a0"/>
    <w:link w:val="ab"/>
    <w:locked/>
    <w:rPr>
      <w:kern w:val="2"/>
      <w:sz w:val="21"/>
    </w:rPr>
  </w:style>
  <w:style w:type="character" w:customStyle="1" w:styleId="af6">
    <w:name w:val="文档结构图 字符"/>
    <w:basedOn w:val="a0"/>
    <w:link w:val="ac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character" w:customStyle="1" w:styleId="af7">
    <w:name w:val="批注框文本 字符"/>
    <w:basedOn w:val="a0"/>
    <w:link w:val="ad"/>
    <w:uiPriority w:val="99"/>
    <w:semiHidden/>
    <w:locked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Pr>
      <w:kern w:val="2"/>
      <w:sz w:val="18"/>
      <w:szCs w:val="18"/>
    </w:rPr>
  </w:style>
  <w:style w:type="character" w:customStyle="1" w:styleId="Char10">
    <w:name w:val="页眉 Char1"/>
    <w:basedOn w:val="a0"/>
    <w:link w:val="a7"/>
    <w:locked/>
    <w:rPr>
      <w:kern w:val="2"/>
      <w:sz w:val="18"/>
      <w:szCs w:val="18"/>
    </w:rPr>
  </w:style>
  <w:style w:type="character" w:customStyle="1" w:styleId="Char11">
    <w:name w:val="页脚 Char1"/>
    <w:basedOn w:val="a0"/>
    <w:link w:val="a8"/>
    <w:uiPriority w:val="99"/>
    <w:locked/>
    <w:rPr>
      <w:kern w:val="2"/>
      <w:sz w:val="18"/>
      <w:szCs w:val="18"/>
    </w:rPr>
  </w:style>
  <w:style w:type="character" w:customStyle="1" w:styleId="Char12">
    <w:name w:val="标题 Char1"/>
    <w:link w:val="a9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Char13">
    <w:name w:val="副标题 Char1"/>
    <w:link w:val="aa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4">
    <w:name w:val="日期 Char1"/>
    <w:link w:val="ab"/>
    <w:locked/>
    <w:rPr>
      <w:rFonts w:ascii="宋体" w:eastAsia="宋体" w:hAnsi="宋体" w:hint="eastAsia"/>
      <w:kern w:val="2"/>
      <w:sz w:val="32"/>
    </w:rPr>
  </w:style>
  <w:style w:type="character" w:customStyle="1" w:styleId="Char15">
    <w:name w:val="文档结构图 Char1"/>
    <w:basedOn w:val="a0"/>
    <w:link w:val="ac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16">
    <w:name w:val="批注框文本 Char1"/>
    <w:basedOn w:val="a0"/>
    <w:link w:val="ad"/>
    <w:uiPriority w:val="99"/>
    <w:semiHidden/>
    <w:locked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2556-78DF-492B-9674-C27A6CA0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4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2024-11-26T16:00:00Z</dcterms:created>
  <dcterms:modified xsi:type="dcterms:W3CDTF">2024-11-26T16:00:00Z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