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2024年11月22日</w:t>
      </w:r>
      <w:bookmarkEnd w:id="2"/>
    </w:p>
    <w:p w:rsidR="00DA2749" w:rsidRDefault="00341BC3" w:rsidP="00310EC7">
      <w:pPr>
        <w:pStyle w:val="1"/>
        <w:spacing w:before="156" w:after="156"/>
      </w:pPr>
      <w:r w:rsidRPr="00341BC3">
        <w:rPr>
          <w:rFonts w:hint="eastAsia"/>
        </w:rPr>
        <w:t>公告基本信息</w:t>
      </w:r>
      <w:bookmarkEnd w:id="1"/>
    </w:p>
    <w:tbl>
      <w:tblPr>
        <w:tblStyle w:val="ac"/>
        <w:tblW w:w="9072" w:type="dxa"/>
        <w:jc w:val="center"/>
        <w:tblLayout w:type="fixed"/>
        <w:tblLook w:val="04A0"/>
      </w:tblPr>
      <w:tblGrid>
        <w:gridCol w:w="1419"/>
        <w:gridCol w:w="2619"/>
        <w:gridCol w:w="1676"/>
        <w:gridCol w:w="1"/>
        <w:gridCol w:w="1675"/>
        <w:gridCol w:w="1"/>
        <w:gridCol w:w="1"/>
        <w:gridCol w:w="1680"/>
      </w:tblGrid>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同泰恒利纯债债券型证券投资基金</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基金简称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同泰恒利纯债</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t>基金主代码</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008728</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基金合同生效日</w:t>
            </w:r>
          </w:p>
        </w:tc>
        <w:tc>
          <w:tcPr>
            <w:tcW w:w="5034" w:type="dxa"/>
            <w:gridSpan w:val="6"/>
            <w:tcMar>
              <w:left w:w="85" w:type="dxa"/>
              <w:right w:w="85" w:type="dxa"/>
            </w:tcMar>
            <w:vAlign w:val="center"/>
          </w:tcPr>
          <w:p w:rsidR="00BE74A8" w:rsidRPr="00A5411A" w:rsidRDefault="00BE74A8" w:rsidP="00BE74A8">
            <w:pPr>
              <w:rPr>
                <w:szCs w:val="22"/>
              </w:rPr>
            </w:pPr>
            <w:r>
              <w:rPr>
                <w:szCs w:val="22"/>
              </w:rPr>
              <w:t>2020年2月18日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基金管理人名称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同泰基金管理有限公司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基金托管人名称</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浙商银行股份有限公司</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公告依据</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BE74A8" w:rsidTr="007B5D69">
        <w:trPr>
          <w:jc w:val="center"/>
        </w:trPr>
        <w:tc>
          <w:tcPr>
            <w:tcW w:w="4038" w:type="dxa"/>
            <w:gridSpan w:val="2"/>
            <w:tcMar>
              <w:left w:w="85" w:type="dxa"/>
              <w:right w:w="85" w:type="dxa"/>
            </w:tcMar>
            <w:vAlign w:val="center"/>
          </w:tcPr>
          <w:p w:rsidR="00BE74A8" w:rsidRDefault="00BE74A8" w:rsidP="00BE74A8">
            <w:r w:rsidRPr="00A5411A">
              <w:rPr>
                <w:szCs w:val="22"/>
              </w:rPr>
              <w:t>收益分配基准日</w:t>
            </w:r>
          </w:p>
        </w:tc>
        <w:tc>
          <w:tcPr>
            <w:tcW w:w="5034" w:type="dxa"/>
            <w:gridSpan w:val="6"/>
            <w:tcMar>
              <w:left w:w="85" w:type="dxa"/>
              <w:right w:w="85" w:type="dxa"/>
            </w:tcMar>
            <w:vAlign w:val="center"/>
          </w:tcPr>
          <w:p w:rsidR="00BE74A8" w:rsidRPr="00A5411A" w:rsidRDefault="00BE74A8" w:rsidP="00BE74A8">
            <w:pPr>
              <w:rPr>
                <w:szCs w:val="22"/>
              </w:rPr>
            </w:pPr>
            <w:r>
              <w:rPr>
                <w:szCs w:val="22"/>
              </w:rPr>
              <w:t>2024年11月18日</w:t>
            </w:r>
          </w:p>
        </w:tc>
      </w:tr>
      <w:tr w:rsidR="00BE74A8" w:rsidTr="007B5D69">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有关年度分红次数的说明</w:t>
            </w:r>
          </w:p>
        </w:tc>
        <w:tc>
          <w:tcPr>
            <w:tcW w:w="5034" w:type="dxa"/>
            <w:gridSpan w:val="6"/>
            <w:tcMar>
              <w:left w:w="85" w:type="dxa"/>
              <w:right w:w="85" w:type="dxa"/>
            </w:tcMar>
            <w:vAlign w:val="center"/>
          </w:tcPr>
          <w:p w:rsidR="00BE74A8" w:rsidRPr="00A5411A" w:rsidRDefault="00BE74A8" w:rsidP="00BE74A8">
            <w:pPr>
              <w:rPr>
                <w:szCs w:val="22"/>
              </w:rPr>
            </w:pPr>
            <w:r w:rsidRPr="00A5411A">
              <w:rPr>
                <w:szCs w:val="22"/>
              </w:rPr>
              <w:t>本次分红为 2024 年度第十一次分红</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基金的基金简称</w:t>
            </w:r>
          </w:p>
        </w:tc>
        <w:tc>
          <w:tcPr>
            <w:tcW w:w="1676" w:type="dxa"/>
            <w:tcMar>
              <w:left w:w="85" w:type="dxa"/>
              <w:right w:w="85" w:type="dxa"/>
            </w:tcMar>
            <w:vAlign w:val="center"/>
          </w:tcPr>
          <w:p w:rsidR="00BE74A8" w:rsidRPr="00FE2C9F" w:rsidRDefault="00BE74A8" w:rsidP="00BE74A8">
            <w:r w:rsidRPr="00FE2C9F">
              <w:rPr>
                <w:rFonts w:hint="eastAsia"/>
              </w:rPr>
              <w:t>同泰恒利纯债A</w:t>
            </w:r>
          </w:p>
        </w:tc>
        <w:tc>
          <w:tcPr>
            <w:tcW w:w="1676" w:type="dxa"/>
            <w:hMerge w:val="restart"/>
            <w:tcMar>
              <w:left w:w="85" w:type="dxa"/>
              <w:right w:w="85" w:type="dxa"/>
            </w:tcMar>
            <w:vAlign w:val="center"/>
          </w:tcPr>
          <w:p w:rsidR="00BE74A8" w:rsidRPr="00FE2C9F" w:rsidRDefault="00BE74A8" w:rsidP="00BE74A8">
            <w:r w:rsidRPr="00FE2C9F">
              <w:rPr>
                <w:rFonts w:hint="eastAsia"/>
              </w:rPr>
              <w:t>同泰恒利纯债C</w:t>
            </w:r>
          </w:p>
        </w:tc>
        <w:tc>
          <w:tcPr>
            <w:tcW w:w="0" w:type="dxa"/>
            <w:hMerge/>
            <w:tcMar>
              <w:left w:w="85" w:type="dxa"/>
              <w:right w:w="85" w:type="dxa"/>
            </w:tcMar>
            <w:vAlign w:val="center"/>
          </w:tcPr>
          <w:p w:rsidR="00BE74A8" w:rsidRPr="00FE2C9F" w:rsidRDefault="00BE74A8" w:rsidP="00BE74A8">
            <w:r w:rsidRPr="00FE2C9F">
              <w:rPr>
                <w:rFonts w:hint="eastAsia"/>
              </w:rPr>
              <w:t>同泰恒利纯债C</w:t>
            </w:r>
          </w:p>
        </w:tc>
        <w:tc>
          <w:tcPr>
            <w:tcW w:w="1676" w:type="dxa"/>
            <w:hMerge w:val="restart"/>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同泰恒利纯债D</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BE74A8">
            <w:pPr>
              <w:rPr>
                <w:szCs w:val="22"/>
              </w:rPr>
            </w:pPr>
            <w:r w:rsidRPr="00A5411A">
              <w:rPr>
                <w:szCs w:val="22"/>
              </w:rPr>
              <w:t>下属分</w:t>
            </w:r>
            <w:r w:rsidRPr="000F608E">
              <w:rPr>
                <w:rFonts w:hint="eastAsia"/>
                <w:szCs w:val="22"/>
              </w:rPr>
              <w:t>类</w:t>
            </w:r>
            <w:r w:rsidRPr="00A5411A">
              <w:rPr>
                <w:szCs w:val="22"/>
              </w:rPr>
              <w:t>基金的交易代码</w:t>
            </w:r>
          </w:p>
        </w:tc>
        <w:tc>
          <w:tcPr>
            <w:tcW w:w="1676" w:type="dxa"/>
            <w:tcMar>
              <w:left w:w="85" w:type="dxa"/>
              <w:right w:w="85" w:type="dxa"/>
            </w:tcMar>
            <w:vAlign w:val="center"/>
          </w:tcPr>
          <w:p w:rsidR="00BE74A8" w:rsidRPr="00FE2C9F" w:rsidRDefault="00BE74A8" w:rsidP="00BE74A8">
            <w:r w:rsidRPr="00FE2C9F">
              <w:rPr>
                <w:rFonts w:hint="eastAsia"/>
              </w:rPr>
              <w:t>008728</w:t>
            </w:r>
          </w:p>
        </w:tc>
        <w:tc>
          <w:tcPr>
            <w:tcW w:w="1676" w:type="dxa"/>
            <w:hMerge w:val="restart"/>
            <w:tcMar>
              <w:left w:w="85" w:type="dxa"/>
              <w:right w:w="85" w:type="dxa"/>
            </w:tcMar>
            <w:vAlign w:val="center"/>
          </w:tcPr>
          <w:p w:rsidR="00BE74A8" w:rsidRPr="00FE2C9F" w:rsidRDefault="00BE74A8" w:rsidP="00BE74A8">
            <w:r w:rsidRPr="00FE2C9F">
              <w:rPr>
                <w:rFonts w:hint="eastAsia"/>
              </w:rPr>
              <w:t>008729</w:t>
            </w:r>
          </w:p>
        </w:tc>
        <w:tc>
          <w:tcPr>
            <w:tcW w:w="0" w:type="dxa"/>
            <w:hMerge/>
            <w:tcMar>
              <w:left w:w="85" w:type="dxa"/>
              <w:right w:w="85" w:type="dxa"/>
            </w:tcMar>
            <w:vAlign w:val="center"/>
          </w:tcPr>
          <w:p w:rsidR="00BE74A8" w:rsidRPr="00FE2C9F" w:rsidRDefault="00BE74A8" w:rsidP="00BE74A8">
            <w:r w:rsidRPr="00FE2C9F">
              <w:rPr>
                <w:rFonts w:hint="eastAsia"/>
              </w:rPr>
              <w:t>008729</w:t>
            </w:r>
          </w:p>
        </w:tc>
        <w:tc>
          <w:tcPr>
            <w:tcW w:w="1676" w:type="dxa"/>
            <w:hMerge w:val="restart"/>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020710</w:t>
            </w:r>
          </w:p>
        </w:tc>
        <w:tc>
          <w:tcPr>
            <w:tcW w:w="0" w:type="dxa"/>
            <w:hMerge/>
            <w:tcMar>
              <w:left w:w="85" w:type="dxa"/>
              <w:right w:w="85" w:type="dxa"/>
            </w:tcMar>
            <w:vAlign w:val="center"/>
          </w:tcPr>
          <w:p w:rsidR="00BE74A8" w:rsidRPr="00376F72" w:rsidRDefault="00BE74A8" w:rsidP="00BE74A8">
            <w:r w:rsidRPr="00376F72">
              <w:rPr>
                <w:rFonts w:hint="eastAsia"/>
              </w:rPr>
              <w:t>-</w:t>
            </w:r>
          </w:p>
        </w:tc>
      </w:tr>
      <w:tr w:rsidR="00BE74A8" w:rsidTr="00664AFE">
        <w:trPr>
          <w:jc w:val="center"/>
        </w:trPr>
        <w:tc>
          <w:tcPr>
            <w:tcW w:w="1419" w:type="dxa"/>
            <w:vMerge w:val="restart"/>
            <w:tcMar>
              <w:left w:w="85" w:type="dxa"/>
              <w:right w:w="85" w:type="dxa"/>
            </w:tcMar>
            <w:vAlign w:val="center"/>
          </w:tcPr>
          <w:p w:rsidR="00BE74A8" w:rsidRDefault="00BE74A8" w:rsidP="00BE74A8">
            <w:pPr>
              <w:jc w:val="center"/>
              <w:rPr>
                <w:szCs w:val="22"/>
              </w:rPr>
            </w:pPr>
            <w:r w:rsidRPr="00A5411A">
              <w:rPr>
                <w:szCs w:val="22"/>
              </w:rPr>
              <w:t>截止基准日</w:t>
            </w:r>
          </w:p>
          <w:p w:rsidR="00BE74A8" w:rsidRPr="00A5411A" w:rsidRDefault="00BE74A8" w:rsidP="007B5D69">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BE74A8" w:rsidRPr="00A5411A" w:rsidRDefault="00BE74A8" w:rsidP="007B5D69">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676" w:type="dxa"/>
            <w:tcMar>
              <w:left w:w="85" w:type="dxa"/>
              <w:right w:w="85" w:type="dxa"/>
            </w:tcMar>
            <w:vAlign w:val="center"/>
          </w:tcPr>
          <w:p w:rsidR="00BE74A8" w:rsidRPr="001D695F" w:rsidRDefault="00BE74A8" w:rsidP="00BE74A8">
            <w:r w:rsidRPr="001D695F">
              <w:rPr>
                <w:rFonts w:hint="eastAsia"/>
              </w:rPr>
              <w:t>1.3746</w:t>
            </w:r>
          </w:p>
        </w:tc>
        <w:tc>
          <w:tcPr>
            <w:tcW w:w="1676" w:type="dxa"/>
            <w:hMerge w:val="restart"/>
            <w:tcMar>
              <w:left w:w="85" w:type="dxa"/>
              <w:right w:w="85" w:type="dxa"/>
            </w:tcMar>
            <w:vAlign w:val="center"/>
          </w:tcPr>
          <w:p w:rsidR="00BE74A8" w:rsidRPr="001D695F" w:rsidRDefault="00BE74A8" w:rsidP="00BE74A8">
            <w:r w:rsidRPr="001D695F">
              <w:rPr>
                <w:rFonts w:hint="eastAsia"/>
              </w:rPr>
              <w:t>1.3848</w:t>
            </w:r>
          </w:p>
        </w:tc>
        <w:tc>
          <w:tcPr>
            <w:tcW w:w="0" w:type="dxa"/>
            <w:hMerge/>
            <w:tcMar>
              <w:left w:w="85" w:type="dxa"/>
              <w:right w:w="85" w:type="dxa"/>
            </w:tcMar>
            <w:vAlign w:val="center"/>
          </w:tcPr>
          <w:p w:rsidR="00BE74A8" w:rsidRPr="001D695F" w:rsidRDefault="00BE74A8" w:rsidP="00BE74A8">
            <w:r w:rsidRPr="001D695F">
              <w:rPr>
                <w:rFonts w:hint="eastAsia"/>
              </w:rPr>
              <w:t>1.3848</w:t>
            </w:r>
          </w:p>
        </w:tc>
        <w:tc>
          <w:tcPr>
            <w:tcW w:w="1676" w:type="dxa"/>
            <w:hMerge w:val="restart"/>
            <w:tcMar>
              <w:left w:w="85" w:type="dxa"/>
              <w:right w:w="85" w:type="dxa"/>
            </w:tcMar>
            <w:vAlign w:val="center"/>
          </w:tcPr>
          <w:p w:rsidR="00BE74A8" w:rsidRPr="007F70C1" w:rsidRDefault="00BE74A8" w:rsidP="00BE74A8">
            <w:r w:rsidRPr="007F70C1">
              <w:rPr>
                <w:rFonts w:hint="eastAsia"/>
              </w:rPr>
              <w:t>1.4320</w:t>
            </w:r>
          </w:p>
        </w:tc>
        <w:tc>
          <w:tcPr>
            <w:tcW w:w="0" w:type="dxa"/>
            <w:hMerge/>
            <w:tcMar>
              <w:left w:w="85" w:type="dxa"/>
              <w:right w:w="85" w:type="dxa"/>
            </w:tcMar>
            <w:vAlign w:val="center"/>
          </w:tcPr>
          <w:p w:rsidR="00BE74A8" w:rsidRPr="007F70C1" w:rsidRDefault="00BE74A8" w:rsidP="00BE74A8">
            <w:r w:rsidRPr="007F70C1">
              <w:rPr>
                <w:rFonts w:hint="eastAsia"/>
              </w:rPr>
              <w:t>1.4320</w:t>
            </w:r>
          </w:p>
        </w:tc>
        <w:tc>
          <w:tcPr>
            <w:tcW w:w="0" w:type="dxa"/>
            <w:hMerge/>
            <w:tcMar>
              <w:left w:w="85" w:type="dxa"/>
              <w:right w:w="85" w:type="dxa"/>
            </w:tcMar>
            <w:vAlign w:val="center"/>
          </w:tcPr>
          <w:p w:rsidR="00BE74A8" w:rsidRPr="007F70C1" w:rsidRDefault="00BE74A8" w:rsidP="00BE74A8">
            <w:r w:rsidRPr="007F70C1">
              <w:rPr>
                <w:rFonts w:hint="eastAsia"/>
              </w:rPr>
              <w:t>-</w:t>
            </w:r>
          </w:p>
        </w:tc>
      </w:tr>
      <w:tr w:rsidR="00BE74A8" w:rsidTr="00664AFE">
        <w:trPr>
          <w:jc w:val="center"/>
        </w:trPr>
        <w:tc>
          <w:tcPr>
            <w:tcW w:w="1419" w:type="dxa"/>
            <w:vMerge/>
            <w:tcMar>
              <w:left w:w="85" w:type="dxa"/>
              <w:right w:w="85" w:type="dxa"/>
            </w:tcMar>
            <w:vAlign w:val="center"/>
          </w:tcPr>
          <w:p w:rsidR="00BE74A8" w:rsidRPr="00A5411A" w:rsidRDefault="00BE74A8" w:rsidP="00BE74A8">
            <w:pPr>
              <w:rPr>
                <w:szCs w:val="22"/>
              </w:rPr>
            </w:pPr>
          </w:p>
        </w:tc>
        <w:tc>
          <w:tcPr>
            <w:tcW w:w="2619" w:type="dxa"/>
            <w:tcMar>
              <w:left w:w="85" w:type="dxa"/>
              <w:right w:w="85" w:type="dxa"/>
            </w:tcMar>
            <w:vAlign w:val="center"/>
          </w:tcPr>
          <w:p w:rsidR="00BE74A8" w:rsidRPr="00A5411A" w:rsidRDefault="00BE74A8" w:rsidP="007B5D69">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676" w:type="dxa"/>
            <w:tcMar>
              <w:left w:w="85" w:type="dxa"/>
              <w:right w:w="85" w:type="dxa"/>
            </w:tcMar>
            <w:vAlign w:val="center"/>
          </w:tcPr>
          <w:p w:rsidR="00BE74A8" w:rsidRPr="001D695F" w:rsidRDefault="00BE74A8" w:rsidP="00BE74A8">
            <w:r>
              <w:rPr>
                <w:rFonts w:hint="eastAsia"/>
              </w:rPr>
              <w:t>568,986,403.77</w:t>
            </w:r>
          </w:p>
        </w:tc>
        <w:tc>
          <w:tcPr>
            <w:tcW w:w="1676" w:type="dxa"/>
            <w:hMerge w:val="restart"/>
            <w:tcMar>
              <w:left w:w="85" w:type="dxa"/>
              <w:right w:w="85" w:type="dxa"/>
            </w:tcMar>
            <w:vAlign w:val="center"/>
          </w:tcPr>
          <w:p w:rsidR="00BE74A8" w:rsidRDefault="00BE74A8" w:rsidP="00BE74A8">
            <w:r>
              <w:rPr>
                <w:rFonts w:hint="eastAsia"/>
              </w:rPr>
              <w:t>339,851,484.28</w:t>
            </w:r>
          </w:p>
        </w:tc>
        <w:tc>
          <w:tcPr>
            <w:tcW w:w="0" w:type="dxa"/>
            <w:hMerge/>
            <w:tcMar>
              <w:left w:w="85" w:type="dxa"/>
              <w:right w:w="85" w:type="dxa"/>
            </w:tcMar>
            <w:vAlign w:val="center"/>
          </w:tcPr>
          <w:p w:rsidR="00BE74A8" w:rsidRDefault="00BE74A8" w:rsidP="00BE74A8">
            <w:r>
              <w:rPr>
                <w:rFonts w:hint="eastAsia"/>
              </w:rPr>
              <w:t>339,851,484.28</w:t>
            </w:r>
          </w:p>
        </w:tc>
        <w:tc>
          <w:tcPr>
            <w:tcW w:w="1676" w:type="dxa"/>
            <w:hMerge w:val="restart"/>
            <w:tcMar>
              <w:left w:w="85" w:type="dxa"/>
              <w:right w:w="85" w:type="dxa"/>
            </w:tcMar>
            <w:vAlign w:val="center"/>
          </w:tcPr>
          <w:p w:rsidR="00BE74A8" w:rsidRPr="007F70C1" w:rsidRDefault="00BE74A8" w:rsidP="00BE74A8">
            <w:r>
              <w:rPr>
                <w:rFonts w:hint="eastAsia"/>
              </w:rPr>
              <w:t>268,825,537.67</w:t>
            </w:r>
          </w:p>
        </w:tc>
        <w:tc>
          <w:tcPr>
            <w:tcW w:w="0" w:type="dxa"/>
            <w:hMerge/>
            <w:tcMar>
              <w:left w:w="85" w:type="dxa"/>
              <w:right w:w="85" w:type="dxa"/>
            </w:tcMar>
            <w:vAlign w:val="center"/>
          </w:tcPr>
          <w:p w:rsidR="00BE74A8" w:rsidRPr="007F70C1" w:rsidRDefault="00BE74A8" w:rsidP="00BE74A8">
            <w:r>
              <w:rPr>
                <w:rFonts w:hint="eastAsia"/>
              </w:rPr>
              <w:t>268,825,537.67</w:t>
            </w:r>
          </w:p>
        </w:tc>
        <w:tc>
          <w:tcPr>
            <w:tcW w:w="0" w:type="dxa"/>
            <w:hMerge/>
            <w:tcMar>
              <w:left w:w="85" w:type="dxa"/>
              <w:right w:w="85" w:type="dxa"/>
            </w:tcMar>
            <w:vAlign w:val="center"/>
          </w:tcPr>
          <w:p w:rsidR="00BE74A8" w:rsidRDefault="00BE74A8" w:rsidP="00BE74A8">
            <w:r>
              <w:rPr>
                <w:rFonts w:hint="eastAsia"/>
              </w:rPr>
              <w:t>-</w:t>
            </w:r>
          </w:p>
        </w:tc>
      </w:tr>
      <w:tr w:rsidR="00BE74A8" w:rsidTr="00664AFE">
        <w:trPr>
          <w:jc w:val="center"/>
        </w:trPr>
        <w:tc>
          <w:tcPr>
            <w:tcW w:w="4038" w:type="dxa"/>
            <w:gridSpan w:val="2"/>
            <w:tcMar>
              <w:left w:w="85" w:type="dxa"/>
              <w:right w:w="85" w:type="dxa"/>
            </w:tcMar>
            <w:vAlign w:val="center"/>
          </w:tcPr>
          <w:p w:rsidR="00BE74A8" w:rsidRPr="00A5411A" w:rsidRDefault="00BE74A8"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676" w:type="dxa"/>
            <w:tcMar>
              <w:left w:w="85" w:type="dxa"/>
              <w:right w:w="85" w:type="dxa"/>
            </w:tcMar>
            <w:vAlign w:val="center"/>
          </w:tcPr>
          <w:p w:rsidR="00BE74A8" w:rsidRPr="00172A90" w:rsidRDefault="00BE74A8" w:rsidP="00BE74A8">
            <w:r w:rsidRPr="00172A90">
              <w:rPr>
                <w:rFonts w:hint="eastAsia"/>
              </w:rPr>
              <w:t>0.6200</w:t>
            </w:r>
          </w:p>
        </w:tc>
        <w:tc>
          <w:tcPr>
            <w:tcW w:w="1676" w:type="dxa"/>
            <w:hMerge w:val="restart"/>
            <w:tcMar>
              <w:left w:w="85" w:type="dxa"/>
              <w:right w:w="85" w:type="dxa"/>
            </w:tcMar>
            <w:vAlign w:val="center"/>
          </w:tcPr>
          <w:p w:rsidR="00BE74A8" w:rsidRDefault="00BE74A8" w:rsidP="00BE74A8">
            <w:r w:rsidRPr="00172A90">
              <w:rPr>
                <w:rFonts w:hint="eastAsia"/>
              </w:rPr>
              <w:t>0.6200</w:t>
            </w:r>
          </w:p>
        </w:tc>
        <w:tc>
          <w:tcPr>
            <w:tcW w:w="0" w:type="dxa"/>
            <w:hMerge/>
            <w:tcMar>
              <w:left w:w="85" w:type="dxa"/>
              <w:right w:w="85" w:type="dxa"/>
            </w:tcMar>
            <w:vAlign w:val="center"/>
          </w:tcPr>
          <w:p w:rsidR="00BE74A8" w:rsidRDefault="00BE74A8" w:rsidP="00BE74A8">
            <w:r w:rsidRPr="00172A90">
              <w:rPr>
                <w:rFonts w:hint="eastAsia"/>
              </w:rPr>
              <w:t>0.6200</w:t>
            </w:r>
          </w:p>
        </w:tc>
        <w:tc>
          <w:tcPr>
            <w:tcW w:w="1676" w:type="dxa"/>
            <w:hMerge w:val="restart"/>
            <w:tcMar>
              <w:left w:w="85" w:type="dxa"/>
              <w:right w:w="85" w:type="dxa"/>
            </w:tcMar>
            <w:vAlign w:val="center"/>
          </w:tcPr>
          <w:p w:rsidR="00BE74A8" w:rsidRPr="004A0EB0" w:rsidRDefault="00BE74A8" w:rsidP="00BE74A8">
            <w:r w:rsidRPr="004A0EB0">
              <w:rPr>
                <w:rFonts w:hint="eastAsia"/>
              </w:rPr>
              <w:t>0.6400</w:t>
            </w:r>
          </w:p>
        </w:tc>
        <w:tc>
          <w:tcPr>
            <w:tcW w:w="0" w:type="dxa"/>
            <w:hMerge/>
            <w:tcMar>
              <w:left w:w="85" w:type="dxa"/>
              <w:right w:w="85" w:type="dxa"/>
            </w:tcMar>
            <w:vAlign w:val="center"/>
          </w:tcPr>
          <w:p w:rsidR="00BE74A8" w:rsidRPr="004A0EB0" w:rsidRDefault="00BE74A8" w:rsidP="00BE74A8">
            <w:r w:rsidRPr="004A0EB0">
              <w:rPr>
                <w:rFonts w:hint="eastAsia"/>
              </w:rPr>
              <w:t>0.6400</w:t>
            </w:r>
          </w:p>
        </w:tc>
        <w:tc>
          <w:tcPr>
            <w:tcW w:w="0" w:type="dxa"/>
            <w:hMerge/>
            <w:tcMar>
              <w:left w:w="85" w:type="dxa"/>
              <w:right w:w="85" w:type="dxa"/>
            </w:tcMar>
            <w:vAlign w:val="center"/>
          </w:tcPr>
          <w:p w:rsidR="00BE74A8" w:rsidRDefault="00BE74A8" w:rsidP="00BE74A8">
            <w:r w:rsidRPr="004A0EB0">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2024年11月25日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2024年11月25日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2024年11月26日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选择红利再投资方式的投资者，将以2024年11月25日的基金份额净值为计算基准确定再投资份额，其红利再投资的基金份额将于2024年11月26日直接计入其基金账户，2024年11月27日起可以查询、赎回。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注：选择现金分红方式的投资者的红利款将于2024年11月26日自基金托管账户划出，投资者实际到账时间以销售机构划付时间为准。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投资者如需修改分红方式，请务必在2024年11月22日前(含当日)到销售网点或通过销售机构提供的其他非现场交易方式办理变更手续。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2024年11月22日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55" w:rsidRDefault="00D14955" w:rsidP="00341BC3">
      <w:r>
        <w:separator/>
      </w:r>
    </w:p>
  </w:endnote>
  <w:endnote w:type="continuationSeparator" w:id="0">
    <w:p w:rsidR="00D14955" w:rsidRDefault="00D14955"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514E3E">
      <w:fldChar w:fldCharType="begin"/>
    </w:r>
    <w:r>
      <w:instrText xml:space="preserve"> </w:instrText>
    </w:r>
    <w:r>
      <w:rPr>
        <w:rFonts w:hint="eastAsia"/>
      </w:rPr>
      <w:instrText>PAGE   \* MERGEFORMAT</w:instrText>
    </w:r>
    <w:r>
      <w:instrText xml:space="preserve"> </w:instrText>
    </w:r>
    <w:r w:rsidR="00514E3E">
      <w:fldChar w:fldCharType="separate"/>
    </w:r>
    <w:r w:rsidR="00892462">
      <w:rPr>
        <w:noProof/>
      </w:rPr>
      <w:t>2</w:t>
    </w:r>
    <w:r w:rsidR="00514E3E">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892462">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55" w:rsidRDefault="00D14955" w:rsidP="00341BC3">
      <w:r>
        <w:separator/>
      </w:r>
    </w:p>
  </w:footnote>
  <w:footnote w:type="continuationSeparator" w:id="0">
    <w:p w:rsidR="00D14955" w:rsidRDefault="00D14955"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D5" w:rsidRDefault="00892462">
    <w:pPr>
      <w:pBdr>
        <w:between w:val="single" w:sz="3" w:space="0" w:color="000000"/>
      </w:pBdr>
      <w:jc w:val="right"/>
    </w:pPr>
    <w:r>
      <w:rPr>
        <w:rFonts w:hAnsi="宋体" w:hint="eastAsia"/>
        <w:bCs/>
        <w:color w:val="000000"/>
        <w:sz w:val="18"/>
        <w:szCs w:val="18"/>
      </w:rPr>
      <w:t>同泰恒利纯债债券型证券投资基金分红公告</w:t>
    </w:r>
  </w:p>
  <w:p w:rsidR="00527BD5" w:rsidRDefault="00527BD5">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514E3E"/>
    <w:rsid w:val="00527BD5"/>
    <w:rsid w:val="00563E58"/>
    <w:rsid w:val="00570428"/>
    <w:rsid w:val="005765DC"/>
    <w:rsid w:val="005F1128"/>
    <w:rsid w:val="00664AFE"/>
    <w:rsid w:val="00667466"/>
    <w:rsid w:val="00673542"/>
    <w:rsid w:val="006C3AEF"/>
    <w:rsid w:val="006E5372"/>
    <w:rsid w:val="006F05DA"/>
    <w:rsid w:val="00763DF0"/>
    <w:rsid w:val="007840F2"/>
    <w:rsid w:val="007B5D69"/>
    <w:rsid w:val="007D6538"/>
    <w:rsid w:val="008102CF"/>
    <w:rsid w:val="00857A4D"/>
    <w:rsid w:val="00861446"/>
    <w:rsid w:val="00863865"/>
    <w:rsid w:val="00883031"/>
    <w:rsid w:val="00890ABA"/>
    <w:rsid w:val="00891E33"/>
    <w:rsid w:val="00892462"/>
    <w:rsid w:val="008B32A1"/>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C2A99"/>
    <w:rsid w:val="00BD1AEC"/>
    <w:rsid w:val="00BE1DE8"/>
    <w:rsid w:val="00BE74A8"/>
    <w:rsid w:val="00C00443"/>
    <w:rsid w:val="00C30AD8"/>
    <w:rsid w:val="00CB4958"/>
    <w:rsid w:val="00D13C98"/>
    <w:rsid w:val="00D14955"/>
    <w:rsid w:val="00D24F9C"/>
    <w:rsid w:val="00D51F6A"/>
    <w:rsid w:val="00D674E1"/>
    <w:rsid w:val="00DA22AA"/>
    <w:rsid w:val="00DA2749"/>
    <w:rsid w:val="00DB5C10"/>
    <w:rsid w:val="00E52539"/>
    <w:rsid w:val="00E62C65"/>
    <w:rsid w:val="00E67046"/>
    <w:rsid w:val="00E8675D"/>
    <w:rsid w:val="00EE19BC"/>
    <w:rsid w:val="00EF3D02"/>
    <w:rsid w:val="00F23629"/>
    <w:rsid w:val="00F2546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7549323F-F835-402A-B93D-DB26A8BD0959}">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4</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2024-11-21T16:01:00Z</dcterms:created>
  <dcterms:modified xsi:type="dcterms:W3CDTF">2024-11-21T16:01:00Z</dcterms:modified>
</cp:coreProperties>
</file>