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8C" w:rsidRPr="00FC2A28" w:rsidRDefault="003C479F" w:rsidP="0059718C">
      <w:pPr>
        <w:keepNext/>
        <w:keepLines/>
        <w:widowControl/>
        <w:spacing w:before="120" w:after="120" w:line="360" w:lineRule="auto"/>
        <w:jc w:val="center"/>
        <w:outlineLvl w:val="2"/>
        <w:rPr>
          <w:rFonts w:ascii="Times New Roman" w:eastAsia="楷体_GB2312" w:hAnsi="Times New Roman" w:cs="Times New Roman"/>
          <w:b/>
          <w:bCs/>
          <w:kern w:val="0"/>
          <w:sz w:val="30"/>
          <w:szCs w:val="32"/>
        </w:rPr>
      </w:pPr>
      <w:r w:rsidRPr="003C479F">
        <w:rPr>
          <w:rFonts w:ascii="Times New Roman" w:eastAsia="楷体_GB2312" w:hAnsi="Times New Roman" w:cs="Times New Roman" w:hint="eastAsia"/>
          <w:b/>
          <w:bCs/>
          <w:kern w:val="0"/>
          <w:sz w:val="30"/>
          <w:szCs w:val="32"/>
        </w:rPr>
        <w:t>关于新增浙商证券股份有限公司为部分基金流动性服务商的公告</w:t>
      </w:r>
    </w:p>
    <w:p w:rsidR="00FC2A28" w:rsidRPr="00FC2A28" w:rsidRDefault="00FC2A28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C2A28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为促进</w:t>
      </w:r>
      <w:r w:rsidR="003C479F" w:rsidRPr="003C479F">
        <w:rPr>
          <w:rFonts w:ascii="Times New Roman" w:eastAsia="宋体" w:hAnsi="Times New Roman" w:cs="Times New Roman" w:hint="eastAsia"/>
          <w:szCs w:val="20"/>
        </w:rPr>
        <w:t>富国中证红利低波动交易型开放式指数证券投资基金</w:t>
      </w:r>
      <w:r w:rsidR="00754F84">
        <w:rPr>
          <w:rFonts w:ascii="Times New Roman" w:eastAsia="宋体" w:hAnsi="Times New Roman" w:cs="Times New Roman" w:hint="eastAsia"/>
          <w:szCs w:val="20"/>
        </w:rPr>
        <w:t>（</w:t>
      </w:r>
      <w:r w:rsidR="003C479F" w:rsidRPr="003C479F">
        <w:rPr>
          <w:rFonts w:ascii="Times New Roman" w:eastAsia="宋体" w:hAnsi="Times New Roman" w:cs="Times New Roman"/>
          <w:szCs w:val="20"/>
        </w:rPr>
        <w:t>159525</w:t>
      </w:r>
      <w:r w:rsidR="00F453CA">
        <w:rPr>
          <w:rFonts w:ascii="Times New Roman" w:eastAsia="宋体" w:hAnsi="Times New Roman" w:cs="Times New Roman"/>
          <w:szCs w:val="20"/>
        </w:rPr>
        <w:t>）</w:t>
      </w:r>
      <w:r w:rsidR="003C479F">
        <w:rPr>
          <w:rFonts w:ascii="Times New Roman" w:eastAsia="宋体" w:hAnsi="Times New Roman" w:cs="Times New Roman"/>
          <w:szCs w:val="20"/>
        </w:rPr>
        <w:t>、</w:t>
      </w:r>
      <w:r w:rsidR="003C479F" w:rsidRPr="003C479F">
        <w:rPr>
          <w:rFonts w:ascii="Times New Roman" w:eastAsia="宋体" w:hAnsi="Times New Roman" w:cs="Times New Roman" w:hint="eastAsia"/>
          <w:szCs w:val="20"/>
        </w:rPr>
        <w:t>富国中证旅游主题交易型开放式指数证券投资基金</w:t>
      </w:r>
      <w:r w:rsidR="003C479F">
        <w:rPr>
          <w:rFonts w:ascii="Times New Roman" w:eastAsia="宋体" w:hAnsi="Times New Roman" w:cs="Times New Roman" w:hint="eastAsia"/>
          <w:szCs w:val="20"/>
        </w:rPr>
        <w:t>（</w:t>
      </w:r>
      <w:r w:rsidR="003C479F" w:rsidRPr="003C479F">
        <w:rPr>
          <w:rFonts w:ascii="Times New Roman" w:eastAsia="宋体" w:hAnsi="Times New Roman" w:cs="Times New Roman"/>
          <w:szCs w:val="20"/>
        </w:rPr>
        <w:t>159766</w:t>
      </w:r>
      <w:r w:rsidR="003C479F">
        <w:rPr>
          <w:rFonts w:ascii="Times New Roman" w:eastAsia="宋体" w:hAnsi="Times New Roman" w:cs="Times New Roman"/>
          <w:szCs w:val="20"/>
        </w:rPr>
        <w:t>）</w:t>
      </w:r>
      <w:r w:rsidR="003C479F">
        <w:rPr>
          <w:rFonts w:ascii="Times New Roman" w:eastAsia="宋体" w:hAnsi="Times New Roman" w:cs="Times New Roman" w:hint="eastAsia"/>
          <w:szCs w:val="20"/>
        </w:rPr>
        <w:t>及</w:t>
      </w:r>
      <w:r w:rsidR="003C479F" w:rsidRPr="003C479F">
        <w:rPr>
          <w:rFonts w:ascii="Times New Roman" w:eastAsia="宋体" w:hAnsi="Times New Roman" w:cs="Times New Roman" w:hint="eastAsia"/>
          <w:szCs w:val="20"/>
        </w:rPr>
        <w:t>富国中证中央企业红利交易型开放式指数证券投资基金</w:t>
      </w:r>
      <w:r w:rsidR="003C479F">
        <w:rPr>
          <w:rFonts w:ascii="Times New Roman" w:eastAsia="宋体" w:hAnsi="Times New Roman" w:cs="Times New Roman" w:hint="eastAsia"/>
          <w:szCs w:val="20"/>
        </w:rPr>
        <w:t>（</w:t>
      </w:r>
      <w:r w:rsidR="003C479F" w:rsidRPr="003C479F">
        <w:rPr>
          <w:rFonts w:ascii="Times New Roman" w:eastAsia="宋体" w:hAnsi="Times New Roman" w:cs="Times New Roman"/>
          <w:szCs w:val="20"/>
        </w:rPr>
        <w:t>159332</w:t>
      </w:r>
      <w:r w:rsidR="003C479F">
        <w:rPr>
          <w:rFonts w:ascii="Times New Roman" w:eastAsia="宋体" w:hAnsi="Times New Roman" w:cs="Times New Roman"/>
          <w:szCs w:val="20"/>
        </w:rPr>
        <w:t>）</w:t>
      </w:r>
      <w:r w:rsidRPr="00FC2A28">
        <w:rPr>
          <w:rFonts w:ascii="Times New Roman" w:eastAsia="宋体" w:hAnsi="Times New Roman" w:cs="Times New Roman" w:hint="eastAsia"/>
          <w:szCs w:val="20"/>
        </w:rPr>
        <w:t>的市场流动性和平稳运行，根据《</w:t>
      </w:r>
      <w:r w:rsidR="00092C75" w:rsidRPr="00092C75">
        <w:rPr>
          <w:rFonts w:ascii="Times New Roman" w:eastAsia="宋体" w:hAnsi="Times New Roman" w:cs="Times New Roman" w:hint="eastAsia"/>
          <w:szCs w:val="20"/>
        </w:rPr>
        <w:t>深圳证券交易所证券投资基金业务指引第</w:t>
      </w:r>
      <w:r w:rsidR="00092C75" w:rsidRPr="00092C75">
        <w:rPr>
          <w:rFonts w:ascii="Times New Roman" w:eastAsia="宋体" w:hAnsi="Times New Roman" w:cs="Times New Roman"/>
          <w:szCs w:val="20"/>
        </w:rPr>
        <w:t>2</w:t>
      </w:r>
      <w:r w:rsidR="00092C75" w:rsidRPr="00092C75">
        <w:rPr>
          <w:rFonts w:ascii="Times New Roman" w:eastAsia="宋体" w:hAnsi="Times New Roman" w:cs="Times New Roman"/>
          <w:szCs w:val="20"/>
        </w:rPr>
        <w:t>号</w:t>
      </w:r>
      <w:r w:rsidR="00092C75" w:rsidRPr="00092C75">
        <w:rPr>
          <w:rFonts w:ascii="Times New Roman" w:eastAsia="宋体" w:hAnsi="Times New Roman" w:cs="Times New Roman"/>
          <w:szCs w:val="20"/>
        </w:rPr>
        <w:t>——</w:t>
      </w:r>
      <w:r w:rsidR="00092C75" w:rsidRPr="00092C75">
        <w:rPr>
          <w:rFonts w:ascii="Times New Roman" w:eastAsia="宋体" w:hAnsi="Times New Roman" w:cs="Times New Roman"/>
          <w:szCs w:val="20"/>
        </w:rPr>
        <w:t>流动性服务</w:t>
      </w:r>
      <w:r w:rsidRPr="00FC2A28">
        <w:rPr>
          <w:rFonts w:ascii="Times New Roman" w:eastAsia="宋体" w:hAnsi="Times New Roman" w:cs="Times New Roman" w:hint="eastAsia"/>
          <w:szCs w:val="20"/>
        </w:rPr>
        <w:t>》</w:t>
      </w:r>
      <w:r w:rsidR="00F8460C">
        <w:rPr>
          <w:rFonts w:ascii="Times New Roman" w:eastAsia="宋体" w:hAnsi="Times New Roman" w:cs="Times New Roman" w:hint="eastAsia"/>
          <w:szCs w:val="20"/>
        </w:rPr>
        <w:t>等</w:t>
      </w:r>
      <w:r w:rsidRPr="00FC2A28">
        <w:rPr>
          <w:rFonts w:ascii="Times New Roman" w:eastAsia="宋体" w:hAnsi="Times New Roman" w:cs="Times New Roman" w:hint="eastAsia"/>
          <w:szCs w:val="20"/>
        </w:rPr>
        <w:t>有关规定，自</w:t>
      </w:r>
      <w:r w:rsidR="003C479F">
        <w:rPr>
          <w:rFonts w:ascii="Times New Roman" w:eastAsia="宋体" w:hAnsi="Times New Roman" w:cs="Times New Roman" w:hint="eastAsia"/>
          <w:szCs w:val="20"/>
        </w:rPr>
        <w:t>2024</w:t>
      </w:r>
      <w:r w:rsidRPr="00FC2A28">
        <w:rPr>
          <w:rFonts w:ascii="Times New Roman" w:eastAsia="宋体" w:hAnsi="Times New Roman" w:cs="Times New Roman" w:hint="eastAsia"/>
          <w:szCs w:val="20"/>
        </w:rPr>
        <w:t>年</w:t>
      </w:r>
      <w:r w:rsidR="003C479F">
        <w:rPr>
          <w:rFonts w:ascii="Times New Roman" w:eastAsia="宋体" w:hAnsi="Times New Roman" w:cs="Times New Roman"/>
          <w:szCs w:val="20"/>
        </w:rPr>
        <w:t>11</w:t>
      </w:r>
      <w:r w:rsidRPr="00FC2A28">
        <w:rPr>
          <w:rFonts w:ascii="Times New Roman" w:eastAsia="宋体" w:hAnsi="Times New Roman" w:cs="Times New Roman" w:hint="eastAsia"/>
          <w:szCs w:val="20"/>
        </w:rPr>
        <w:t>月</w:t>
      </w:r>
      <w:r w:rsidR="003C479F">
        <w:rPr>
          <w:rFonts w:ascii="Times New Roman" w:eastAsia="宋体" w:hAnsi="Times New Roman" w:cs="Times New Roman" w:hint="eastAsia"/>
          <w:szCs w:val="20"/>
        </w:rPr>
        <w:t>22</w:t>
      </w:r>
      <w:r w:rsidRPr="00FC2A28">
        <w:rPr>
          <w:rFonts w:ascii="Times New Roman" w:eastAsia="宋体" w:hAnsi="Times New Roman" w:cs="Times New Roman" w:hint="eastAsia"/>
          <w:szCs w:val="20"/>
        </w:rPr>
        <w:t>日起，</w:t>
      </w:r>
      <w:r w:rsidR="00477559">
        <w:rPr>
          <w:rFonts w:ascii="Times New Roman" w:eastAsia="宋体" w:hAnsi="Times New Roman" w:cs="Times New Roman" w:hint="eastAsia"/>
          <w:szCs w:val="20"/>
        </w:rPr>
        <w:t>本公司新增</w:t>
      </w:r>
      <w:r w:rsidR="00F453CA" w:rsidRPr="00F453CA">
        <w:rPr>
          <w:rFonts w:ascii="Times New Roman" w:eastAsia="宋体" w:hAnsi="Times New Roman" w:cs="Times New Roman" w:hint="eastAsia"/>
          <w:szCs w:val="20"/>
        </w:rPr>
        <w:t>浙商证券股份有限公司</w:t>
      </w:r>
      <w:r w:rsidRPr="00FC2A28">
        <w:rPr>
          <w:rFonts w:ascii="Times New Roman" w:eastAsia="宋体" w:hAnsi="Times New Roman" w:cs="Times New Roman" w:hint="eastAsia"/>
          <w:szCs w:val="20"/>
        </w:rPr>
        <w:t>为</w:t>
      </w:r>
      <w:r w:rsidR="005F3B78">
        <w:rPr>
          <w:rFonts w:ascii="Times New Roman" w:eastAsia="宋体" w:hAnsi="Times New Roman" w:cs="Times New Roman" w:hint="eastAsia"/>
          <w:szCs w:val="20"/>
        </w:rPr>
        <w:t>以上基金的</w:t>
      </w:r>
      <w:r w:rsidRPr="00FC2A28">
        <w:rPr>
          <w:rFonts w:ascii="Times New Roman" w:eastAsia="宋体" w:hAnsi="Times New Roman" w:cs="Times New Roman" w:hint="eastAsia"/>
          <w:szCs w:val="20"/>
        </w:rPr>
        <w:t>流动性服务商。</w:t>
      </w:r>
    </w:p>
    <w:p w:rsidR="00FC2A28" w:rsidRPr="00FC2A28" w:rsidRDefault="00FC2A28" w:rsidP="00F8460C">
      <w:pPr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C2A28">
      <w:pPr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FC2A28" w:rsidP="00FC2A28">
      <w:pPr>
        <w:jc w:val="lef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FC2A28" w:rsidRPr="00FC2A28" w:rsidRDefault="00FC2A28" w:rsidP="00FC2A28">
      <w:pPr>
        <w:jc w:val="right"/>
        <w:rPr>
          <w:rFonts w:ascii="Times New Roman" w:eastAsia="宋体" w:hAnsi="Times New Roman" w:cs="Times New Roman"/>
          <w:szCs w:val="20"/>
        </w:rPr>
      </w:pPr>
      <w:r w:rsidRPr="00FC2A28">
        <w:rPr>
          <w:rFonts w:ascii="Times New Roman" w:eastAsia="宋体" w:hAnsi="Times New Roman" w:cs="Times New Roman"/>
          <w:szCs w:val="20"/>
        </w:rPr>
        <w:t xml:space="preserve"> </w:t>
      </w:r>
    </w:p>
    <w:p w:rsidR="00FC2A28" w:rsidRPr="00FC2A28" w:rsidRDefault="00D36160" w:rsidP="00FC2A28">
      <w:pPr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富国基金管理有限公司</w:t>
      </w:r>
    </w:p>
    <w:p w:rsidR="00FC2A28" w:rsidRPr="00FC2A28" w:rsidRDefault="003C479F" w:rsidP="00D36160">
      <w:pPr>
        <w:ind w:right="210"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>2024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/>
          <w:szCs w:val="20"/>
        </w:rPr>
        <w:t>11</w:t>
      </w:r>
      <w:r w:rsidR="00FC2A28" w:rsidRPr="00FC2A28"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/>
          <w:szCs w:val="20"/>
        </w:rPr>
        <w:t>22</w:t>
      </w:r>
      <w:bookmarkStart w:id="0" w:name="_GoBack"/>
      <w:bookmarkEnd w:id="0"/>
      <w:r w:rsidR="00FC2A28" w:rsidRPr="00FC2A28">
        <w:rPr>
          <w:rFonts w:ascii="Times New Roman" w:eastAsia="宋体" w:hAnsi="Times New Roman" w:cs="Times New Roman" w:hint="eastAsia"/>
          <w:szCs w:val="20"/>
        </w:rPr>
        <w:t>日</w:t>
      </w:r>
    </w:p>
    <w:sectPr w:rsidR="00FC2A28" w:rsidRPr="00FC2A28" w:rsidSect="0046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FA" w:rsidRDefault="009141FA" w:rsidP="00092C75">
      <w:r>
        <w:separator/>
      </w:r>
    </w:p>
  </w:endnote>
  <w:endnote w:type="continuationSeparator" w:id="0">
    <w:p w:rsidR="009141FA" w:rsidRDefault="009141FA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FA" w:rsidRDefault="009141FA" w:rsidP="00092C75">
      <w:r>
        <w:separator/>
      </w:r>
    </w:p>
  </w:footnote>
  <w:footnote w:type="continuationSeparator" w:id="0">
    <w:p w:rsidR="009141FA" w:rsidRDefault="009141FA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341CC"/>
    <w:rsid w:val="00092C75"/>
    <w:rsid w:val="000F26FB"/>
    <w:rsid w:val="0010120F"/>
    <w:rsid w:val="00127428"/>
    <w:rsid w:val="00186B81"/>
    <w:rsid w:val="00263E38"/>
    <w:rsid w:val="002A51FA"/>
    <w:rsid w:val="003C479F"/>
    <w:rsid w:val="00465971"/>
    <w:rsid w:val="00477559"/>
    <w:rsid w:val="004B0283"/>
    <w:rsid w:val="00504DBF"/>
    <w:rsid w:val="0059718C"/>
    <w:rsid w:val="005C6C5C"/>
    <w:rsid w:val="005F3B78"/>
    <w:rsid w:val="006C23E7"/>
    <w:rsid w:val="00754F84"/>
    <w:rsid w:val="007B2188"/>
    <w:rsid w:val="008458AA"/>
    <w:rsid w:val="0087663B"/>
    <w:rsid w:val="008D0F9B"/>
    <w:rsid w:val="009141FA"/>
    <w:rsid w:val="00957DB8"/>
    <w:rsid w:val="009C10ED"/>
    <w:rsid w:val="009D1DE7"/>
    <w:rsid w:val="009E48E7"/>
    <w:rsid w:val="009E48F3"/>
    <w:rsid w:val="00A143F4"/>
    <w:rsid w:val="00A92FC4"/>
    <w:rsid w:val="00B059BD"/>
    <w:rsid w:val="00B50B2B"/>
    <w:rsid w:val="00CC41B0"/>
    <w:rsid w:val="00D33FA1"/>
    <w:rsid w:val="00D36160"/>
    <w:rsid w:val="00D86963"/>
    <w:rsid w:val="00E27905"/>
    <w:rsid w:val="00E96020"/>
    <w:rsid w:val="00EF2183"/>
    <w:rsid w:val="00F453CA"/>
    <w:rsid w:val="00F456BC"/>
    <w:rsid w:val="00F8460C"/>
    <w:rsid w:val="00FB06A4"/>
    <w:rsid w:val="00FC2A28"/>
    <w:rsid w:val="00FE0443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2024-11-21T16:02:00Z</dcterms:created>
  <dcterms:modified xsi:type="dcterms:W3CDTF">2024-11-21T16:02:00Z</dcterms:modified>
</cp:coreProperties>
</file>