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Default="003D32D0" w:rsidP="003D32D0">
      <w:pPr>
        <w:jc w:val="center"/>
        <w:rPr>
          <w:rFonts w:hAnsi="宋体"/>
          <w:b/>
          <w:sz w:val="48"/>
          <w:szCs w:val="48"/>
        </w:rPr>
      </w:pPr>
      <w:r w:rsidRPr="00652304">
        <w:rPr>
          <w:rFonts w:hAnsi="宋体"/>
          <w:b/>
          <w:sz w:val="48"/>
          <w:szCs w:val="48"/>
        </w:rPr>
        <w:t>同泰恒利纯债债券型证券投资基金暂停大额申购、转换转入、定期定额投资业务的公告</w:t>
      </w:r>
    </w:p>
    <w:p w:rsidR="0028618B" w:rsidRPr="00FE5DC5" w:rsidRDefault="0028618B" w:rsidP="0028618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2024年11月22日</w:t>
      </w:r>
      <w:bookmarkEnd w:id="0"/>
    </w:p>
    <w:p w:rsidR="00DA2749" w:rsidRDefault="00426411" w:rsidP="00F011A8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a"/>
        <w:tblW w:w="9072" w:type="dxa"/>
        <w:jc w:val="center"/>
        <w:tblLook w:val="04A0"/>
      </w:tblPr>
      <w:tblGrid>
        <w:gridCol w:w="1172"/>
        <w:gridCol w:w="3168"/>
        <w:gridCol w:w="4732"/>
      </w:tblGrid>
      <w:tr w:rsidR="00CA5203" w:rsidTr="002B1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同泰恒利纯债债券型证券投资基金</w:t>
            </w:r>
          </w:p>
        </w:tc>
      </w:tr>
      <w:tr w:rsidR="00CA5203" w:rsidTr="002B1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基金简称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</w:t>
            </w:r>
          </w:p>
        </w:tc>
      </w:tr>
      <w:tr w:rsidR="00CA5203" w:rsidTr="002B1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基金主代码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008728</w:t>
            </w:r>
          </w:p>
        </w:tc>
      </w:tr>
      <w:tr w:rsidR="00CA5203" w:rsidTr="002B1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基金管理人名称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同泰基金管理有限公司</w:t>
            </w:r>
          </w:p>
        </w:tc>
      </w:tr>
      <w:tr w:rsidR="00CA5203" w:rsidTr="002B1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DF5907">
              <w:rPr>
                <w:rFonts w:hint="eastAsia"/>
              </w:rPr>
              <w:t>公告依据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80708F">
              <w:rPr>
                <w:rFonts w:hint="eastAsia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CA5203"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2024年11月22日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2024年11月22日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暂停赎回起始日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暂停转换转出起始日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</w:t>
            </w:r>
            <w:r w:rsidR="002B1A8F" w:rsidRPr="00EB764E">
              <w:rPr>
                <w:rFonts w:hint="eastAsia"/>
              </w:rPr>
              <w:t>大额</w:t>
            </w:r>
            <w:r w:rsidRPr="00EB764E">
              <w:rPr>
                <w:rFonts w:hint="eastAsia"/>
              </w:rPr>
              <w:t>定期定额投资起始日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403B4B">
              <w:rPr>
                <w:rFonts w:hint="eastAsia"/>
              </w:rPr>
              <w:t>2024年11月22日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限制申购金额（单位：人民币元）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2B1A8F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2B1A8F" w:rsidRDefault="002B1A8F" w:rsidP="002B1A8F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2B1A8F" w:rsidRPr="00EB764E" w:rsidRDefault="002B1A8F" w:rsidP="002B1A8F">
            <w:r w:rsidRPr="00EB764E">
              <w:rPr>
                <w:rFonts w:hint="eastAsia"/>
              </w:rPr>
              <w:t>限制定期定额投资金额（单位：人民币元）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2B1A8F" w:rsidRPr="000C7A08" w:rsidRDefault="002B1A8F" w:rsidP="002B1A8F">
            <w:r w:rsidRPr="000C7A08">
              <w:rPr>
                <w:rFonts w:hint="eastAsia"/>
              </w:rPr>
              <w:t>1,000,000.00</w:t>
            </w:r>
          </w:p>
        </w:tc>
        <w:bookmarkStart w:id="1" w:name="_GoBack"/>
        <w:bookmarkEnd w:id="1"/>
      </w:tr>
      <w:tr w:rsidR="00CA5203" w:rsidTr="002B1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EB764E"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0C7A08">
              <w:rPr>
                <w:rFonts w:hint="eastAsia"/>
              </w:rPr>
              <w:t>为充分保护基金持有人利益</w:t>
            </w:r>
          </w:p>
        </w:tc>
      </w:tr>
    </w:tbl>
    <w:tbl>
      <w:tblPr>
        <w:tblStyle w:val="aa"/>
        <w:tblpPr w:leftFromText="180" w:rightFromText="180" w:vertAnchor="text" w:tblpXSpec="center" w:tblpY="1"/>
        <w:tblOverlap w:val="never"/>
        <w:tblW w:w="9072" w:type="dxa"/>
        <w:jc w:val="center"/>
        <w:tblBorders>
          <w:top w:val="none" w:sz="0" w:space="0" w:color="auto"/>
        </w:tblBorders>
        <w:tblLayout w:type="fixed"/>
        <w:tblLook w:val="04A0"/>
      </w:tblPr>
      <w:tblGrid>
        <w:gridCol w:w="4341"/>
        <w:gridCol w:w="1577"/>
        <w:gridCol w:w="1577"/>
        <w:gridCol w:w="1577"/>
      </w:tblGrid>
      <w:tr w:rsidR="002B1A8F" w:rsidTr="002B1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8C09CC">
            <w:r w:rsidRPr="00946FD3">
              <w:rPr>
                <w:rFonts w:hint="eastAsia"/>
              </w:rPr>
              <w:t>下属分类基金的基金简称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同泰恒利纯债A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同泰恒利纯债C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同泰恒利纯债D</w:t>
            </w:r>
          </w:p>
        </w:tc>
      </w:tr>
      <w:tr w:rsidR="002B1A8F" w:rsidTr="002B1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8C09CC">
            <w:r w:rsidRPr="00946FD3">
              <w:rPr>
                <w:rFonts w:hint="eastAsia"/>
              </w:rPr>
              <w:t>下属分类基金的交易代码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008728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008729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020710</w:t>
            </w:r>
          </w:p>
        </w:tc>
      </w:tr>
      <w:tr w:rsidR="002B1A8F" w:rsidTr="002B1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该分类基金是否暂停/恢复（大额）申购（转换转入、赎回、转换转出、定期定额投资）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</w:tr>
      <w:tr w:rsidR="002B1A8F" w:rsidTr="002B1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下属分类基金的限制申购金额（单位：人民币元）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</w:tr>
      <w:tr w:rsidR="002B1A8F" w:rsidTr="002B1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下属分类基金的限制转换转入金额（单位：人民币元）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</w:tr>
    </w:tbl>
    <w:p w:rsidR="00975E72" w:rsidRPr="005D2061" w:rsidRDefault="00426411" w:rsidP="005D2061">
      <w:pPr>
        <w:rPr>
          <w:szCs w:val="22"/>
        </w:rPr>
      </w:pPr>
      <w:r w:rsidRPr="0068729B">
        <w:rPr>
          <w:szCs w:val="22"/>
        </w:rPr>
        <w:lastRenderedPageBreak/>
        <w:t>注：恢复大额申购、转换转入、定期定额投资起始日：2024年11月25日。</w:t>
      </w:r>
      <w:r w:rsidRPr="0068729B">
        <w:rPr>
          <w:szCs w:val="22"/>
        </w:rPr>
        <w:br/>
        <w:t>恢复大额申购、转换转入、定期定额投资的原因说明：为满足投资者的投资需要。</w:t>
      </w:r>
    </w:p>
    <w:p w:rsidR="00426411" w:rsidRDefault="00426411" w:rsidP="00F011A8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4016B8">
      <w:pPr>
        <w:pStyle w:val="a8"/>
        <w:ind w:firstLine="420"/>
      </w:pPr>
      <w:r w:rsidRPr="0068729B">
        <w:t xml:space="preserve">(1)本基金于2024年11月22日暂停大额申购、转换转入、定期定额投资，单个账户每一开放日申购、转换转入、定期定额投资累计不得超过100万元(不含100万元)。本基金于2024年11月25日恢复大额申购、转换转入、定期定额投资，届时将不再另行公告。 </w:t>
      </w:r>
      <w:r w:rsidRPr="0068729B">
        <w:br/>
        <w:t xml:space="preserve">    (2)投资者可通过本基金管理人网站(www.tongtaiamc.com)或拨打全国免长途费的客服热线(400-830-1666)咨询相关情况。</w:t>
      </w:r>
    </w:p>
    <w:p w:rsidR="00912507" w:rsidRDefault="00912507" w:rsidP="00652304">
      <w:pPr>
        <w:pStyle w:val="a8"/>
        <w:ind w:firstLine="420"/>
      </w:pPr>
    </w:p>
    <w:p w:rsidR="00912507" w:rsidRDefault="00912507" w:rsidP="00652304">
      <w:pPr>
        <w:pStyle w:val="a8"/>
        <w:ind w:firstLine="420"/>
      </w:pPr>
    </w:p>
    <w:p w:rsidR="00912507" w:rsidRPr="009B1F6A" w:rsidRDefault="00912507" w:rsidP="009B1F6A">
      <w:pPr>
        <w:pStyle w:val="a8"/>
        <w:ind w:firstLine="560"/>
        <w:jc w:val="right"/>
        <w:rPr>
          <w:sz w:val="28"/>
          <w:szCs w:val="28"/>
        </w:rPr>
      </w:pPr>
      <w:r w:rsidRPr="009B1F6A">
        <w:rPr>
          <w:rFonts w:hint="eastAsia"/>
          <w:sz w:val="28"/>
          <w:szCs w:val="28"/>
        </w:rPr>
        <w:t>同泰基金管理有限公司</w:t>
      </w:r>
    </w:p>
    <w:p w:rsidR="00912507" w:rsidRPr="009B1F6A" w:rsidRDefault="00912507" w:rsidP="009B1F6A">
      <w:pPr>
        <w:pStyle w:val="a8"/>
        <w:ind w:firstLine="560"/>
        <w:jc w:val="right"/>
      </w:pPr>
      <w:r w:rsidRPr="009B1F6A">
        <w:rPr>
          <w:rFonts w:hint="eastAsia"/>
          <w:sz w:val="28"/>
          <w:szCs w:val="28"/>
        </w:rPr>
        <w:t>2024年11月22日</w:t>
      </w:r>
    </w:p>
    <w:sectPr w:rsidR="00912507" w:rsidRPr="009B1F6A" w:rsidSect="008C09CC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9E" w:rsidRDefault="00204B9E" w:rsidP="00426411">
      <w:r>
        <w:separator/>
      </w:r>
    </w:p>
  </w:endnote>
  <w:endnote w:type="continuationSeparator" w:id="0">
    <w:p w:rsidR="00204B9E" w:rsidRDefault="00204B9E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7" w:rsidRDefault="00912507" w:rsidP="00912507">
    <w:pPr>
      <w:pStyle w:val="a4"/>
      <w:jc w:val="center"/>
    </w:pPr>
    <w:r w:rsidRPr="00912507">
      <w:rPr>
        <w:rFonts w:hint="eastAsia"/>
      </w:rPr>
      <w:t>第</w:t>
    </w:r>
    <w:r w:rsidR="00FB374E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FB374E">
      <w:fldChar w:fldCharType="separate"/>
    </w:r>
    <w:r w:rsidR="00F011A8">
      <w:rPr>
        <w:noProof/>
      </w:rPr>
      <w:t>1</w:t>
    </w:r>
    <w:r w:rsidR="00FB374E">
      <w:fldChar w:fldCharType="end"/>
    </w:r>
    <w:r w:rsidRPr="00912507">
      <w:rPr>
        <w:rFonts w:hint="eastAsia"/>
      </w:rPr>
      <w:t>页 共</w:t>
    </w:r>
    <w:fldSimple w:instr=" NUMPAGES   \* MERGEFORMAT ">
      <w:r w:rsidR="00F011A8">
        <w:rPr>
          <w:noProof/>
        </w:rPr>
        <w:t>2</w:t>
      </w:r>
    </w:fldSimple>
    <w:r w:rsidRPr="00912507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9E" w:rsidRDefault="00204B9E" w:rsidP="00426411">
      <w:r>
        <w:separator/>
      </w:r>
    </w:p>
  </w:footnote>
  <w:footnote w:type="continuationSeparator" w:id="0">
    <w:p w:rsidR="00204B9E" w:rsidRDefault="00204B9E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EF" w:rsidRDefault="006047FA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同泰恒利纯债债券型证券投资基金暂停大额申购、转换转入、定期定额投资业务的公告</w:t>
    </w:r>
  </w:p>
  <w:p w:rsidR="008410EF" w:rsidRDefault="008410EF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881AD150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465BE"/>
    <w:rsid w:val="00096EE0"/>
    <w:rsid w:val="000F2376"/>
    <w:rsid w:val="000F646B"/>
    <w:rsid w:val="00104940"/>
    <w:rsid w:val="00166BB5"/>
    <w:rsid w:val="001954E5"/>
    <w:rsid w:val="001B68FF"/>
    <w:rsid w:val="001D1FEC"/>
    <w:rsid w:val="00204B9E"/>
    <w:rsid w:val="00253457"/>
    <w:rsid w:val="00261960"/>
    <w:rsid w:val="002764F5"/>
    <w:rsid w:val="0028618B"/>
    <w:rsid w:val="002B0D3B"/>
    <w:rsid w:val="002B1A8F"/>
    <w:rsid w:val="002B1E2C"/>
    <w:rsid w:val="002C40DA"/>
    <w:rsid w:val="003009B4"/>
    <w:rsid w:val="0031074A"/>
    <w:rsid w:val="00313E88"/>
    <w:rsid w:val="00314B2B"/>
    <w:rsid w:val="00322605"/>
    <w:rsid w:val="003271AC"/>
    <w:rsid w:val="0033746E"/>
    <w:rsid w:val="00341DD8"/>
    <w:rsid w:val="0035715B"/>
    <w:rsid w:val="00374702"/>
    <w:rsid w:val="003A4F3C"/>
    <w:rsid w:val="003D32D0"/>
    <w:rsid w:val="003E57BF"/>
    <w:rsid w:val="004016B8"/>
    <w:rsid w:val="00426411"/>
    <w:rsid w:val="00455466"/>
    <w:rsid w:val="00460244"/>
    <w:rsid w:val="0054420B"/>
    <w:rsid w:val="005C6647"/>
    <w:rsid w:val="005D2061"/>
    <w:rsid w:val="006047FA"/>
    <w:rsid w:val="006103F2"/>
    <w:rsid w:val="006206AB"/>
    <w:rsid w:val="00637698"/>
    <w:rsid w:val="00652304"/>
    <w:rsid w:val="0068568A"/>
    <w:rsid w:val="0068729B"/>
    <w:rsid w:val="006A1852"/>
    <w:rsid w:val="006F54B7"/>
    <w:rsid w:val="00731677"/>
    <w:rsid w:val="00775677"/>
    <w:rsid w:val="007D565D"/>
    <w:rsid w:val="007E74F8"/>
    <w:rsid w:val="008160FC"/>
    <w:rsid w:val="00831B52"/>
    <w:rsid w:val="008410EF"/>
    <w:rsid w:val="00855E4C"/>
    <w:rsid w:val="00862EFB"/>
    <w:rsid w:val="008839B3"/>
    <w:rsid w:val="00887C00"/>
    <w:rsid w:val="008C09CC"/>
    <w:rsid w:val="008C57FA"/>
    <w:rsid w:val="008D4E8A"/>
    <w:rsid w:val="00912507"/>
    <w:rsid w:val="0094280C"/>
    <w:rsid w:val="00955A97"/>
    <w:rsid w:val="00974789"/>
    <w:rsid w:val="00975E72"/>
    <w:rsid w:val="00985DF3"/>
    <w:rsid w:val="00996E7E"/>
    <w:rsid w:val="009B1F6A"/>
    <w:rsid w:val="009B3F09"/>
    <w:rsid w:val="009E1D40"/>
    <w:rsid w:val="009F6D07"/>
    <w:rsid w:val="00A15FEE"/>
    <w:rsid w:val="00A83FD6"/>
    <w:rsid w:val="00A95ECD"/>
    <w:rsid w:val="00B01AA3"/>
    <w:rsid w:val="00B02B1A"/>
    <w:rsid w:val="00B11A3B"/>
    <w:rsid w:val="00B3567E"/>
    <w:rsid w:val="00B37589"/>
    <w:rsid w:val="00B40980"/>
    <w:rsid w:val="00B626AD"/>
    <w:rsid w:val="00BA418C"/>
    <w:rsid w:val="00BA42EC"/>
    <w:rsid w:val="00BE3CB9"/>
    <w:rsid w:val="00BF004D"/>
    <w:rsid w:val="00BF50CE"/>
    <w:rsid w:val="00C70D9F"/>
    <w:rsid w:val="00C72A34"/>
    <w:rsid w:val="00C77B84"/>
    <w:rsid w:val="00C9178C"/>
    <w:rsid w:val="00C93522"/>
    <w:rsid w:val="00CA5203"/>
    <w:rsid w:val="00CA7993"/>
    <w:rsid w:val="00CF3DDC"/>
    <w:rsid w:val="00D45412"/>
    <w:rsid w:val="00D651DB"/>
    <w:rsid w:val="00DA2749"/>
    <w:rsid w:val="00E01C9B"/>
    <w:rsid w:val="00E33A18"/>
    <w:rsid w:val="00E40B6D"/>
    <w:rsid w:val="00E942A7"/>
    <w:rsid w:val="00EB53C0"/>
    <w:rsid w:val="00EC222A"/>
    <w:rsid w:val="00EF3257"/>
    <w:rsid w:val="00F011A8"/>
    <w:rsid w:val="00F018F1"/>
    <w:rsid w:val="00F24A63"/>
    <w:rsid w:val="00F37F37"/>
    <w:rsid w:val="00F55506"/>
    <w:rsid w:val="00FB374E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12507"/>
    <w:pPr>
      <w:widowControl w:val="0"/>
    </w:pPr>
    <w:rPr>
      <w:rFonts w:ascii="宋体" w:eastAsia="宋体"/>
    </w:rPr>
  </w:style>
  <w:style w:type="paragraph" w:styleId="1">
    <w:name w:val="heading 1"/>
    <w:next w:val="a"/>
    <w:link w:val="1Char"/>
    <w:uiPriority w:val="9"/>
    <w:qFormat/>
    <w:rsid w:val="00912507"/>
    <w:pPr>
      <w:keepNext/>
      <w:keepLines/>
      <w:numPr>
        <w:numId w:val="2"/>
      </w:numPr>
      <w:spacing w:beforeLines="50" w:afterLines="50"/>
      <w:outlineLvl w:val="0"/>
    </w:pPr>
    <w:rPr>
      <w:rFonts w:ascii="宋体" w:eastAsia="宋体" w:hAnsi="宋体" w:cs="宋体"/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507"/>
    <w:rPr>
      <w:rFonts w:ascii="宋体" w:eastAsia="宋体" w:hAnsi="宋体" w:cs="宋体"/>
      <w:b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8729B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8729B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8729B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8729B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52304"/>
    <w:pPr>
      <w:spacing w:line="360" w:lineRule="auto"/>
      <w:ind w:firstLineChars="200" w:firstLine="200"/>
    </w:pPr>
    <w:rPr>
      <w:rFonts w:ascii="宋体" w:eastAsia="宋体"/>
    </w:rPr>
  </w:style>
  <w:style w:type="paragraph" w:styleId="a9">
    <w:name w:val="Balloon Text"/>
    <w:basedOn w:val="a"/>
    <w:link w:val="Char2"/>
    <w:uiPriority w:val="99"/>
    <w:semiHidden/>
    <w:unhideWhenUsed/>
    <w:rsid w:val="0026196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960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CA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90933BB-9828-457F-8EB8-61F924B8BFAF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4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2024-11-21T16:01:00Z</dcterms:created>
  <dcterms:modified xsi:type="dcterms:W3CDTF">2024-11-21T16:01:00Z</dcterms:modified>
</cp:coreProperties>
</file>