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84" w:rsidRDefault="00604D88">
      <w:pPr>
        <w:jc w:val="center"/>
        <w:rPr>
          <w:b/>
          <w:color w:val="000000"/>
          <w:sz w:val="30"/>
          <w:szCs w:val="30"/>
        </w:rPr>
      </w:pPr>
      <w:bookmarkStart w:id="0" w:name="_Toc249263628"/>
      <w:r>
        <w:rPr>
          <w:rFonts w:ascii="宋体" w:hAnsi="宋体" w:hint="eastAsia"/>
          <w:b/>
          <w:color w:val="000000"/>
          <w:kern w:val="0"/>
          <w:sz w:val="30"/>
          <w:szCs w:val="30"/>
        </w:rPr>
        <w:t>关于富国天惠精选成长混合型证券投资基金（</w:t>
      </w:r>
      <w:r>
        <w:rPr>
          <w:rFonts w:ascii="宋体" w:hAnsi="宋体" w:hint="eastAsia"/>
          <w:b/>
          <w:color w:val="000000"/>
          <w:kern w:val="0"/>
          <w:sz w:val="30"/>
          <w:szCs w:val="30"/>
        </w:rPr>
        <w:t>LOF</w:t>
      </w:r>
      <w:r>
        <w:rPr>
          <w:rFonts w:ascii="宋体" w:hAnsi="宋体" w:hint="eastAsia"/>
          <w:b/>
          <w:color w:val="000000"/>
          <w:kern w:val="0"/>
          <w:sz w:val="30"/>
          <w:szCs w:val="30"/>
        </w:rPr>
        <w:t>）暂停大额申购、转换转入及定期定额投资业务的公告</w:t>
      </w:r>
    </w:p>
    <w:p w:rsidR="00A97A84" w:rsidRDefault="00A97A84">
      <w:pPr>
        <w:jc w:val="right"/>
        <w:rPr>
          <w:b/>
          <w:color w:val="000000"/>
          <w:sz w:val="30"/>
          <w:szCs w:val="30"/>
        </w:rPr>
      </w:pPr>
    </w:p>
    <w:p w:rsidR="00A97A84" w:rsidRDefault="00604D88">
      <w:pPr>
        <w:jc w:val="center"/>
        <w:rPr>
          <w:rFonts w:ascii="宋体" w:hAnsi="宋体"/>
          <w:color w:val="000000"/>
          <w:kern w:val="0"/>
          <w:sz w:val="18"/>
          <w:szCs w:val="22"/>
        </w:rPr>
      </w:pPr>
      <w:r>
        <w:rPr>
          <w:rFonts w:ascii="宋体" w:hAnsi="宋体" w:hint="eastAsia"/>
          <w:color w:val="000000"/>
          <w:kern w:val="0"/>
          <w:sz w:val="24"/>
        </w:rPr>
        <w:t>2024</w:t>
      </w:r>
      <w:r>
        <w:rPr>
          <w:rFonts w:ascii="宋体" w:hAnsi="宋体" w:hint="eastAsia"/>
          <w:color w:val="000000"/>
          <w:kern w:val="0"/>
          <w:sz w:val="24"/>
        </w:rPr>
        <w:t>年</w:t>
      </w:r>
      <w:r>
        <w:rPr>
          <w:rFonts w:ascii="宋体" w:hAnsi="宋体" w:hint="eastAsia"/>
          <w:color w:val="000000"/>
          <w:kern w:val="0"/>
          <w:sz w:val="24"/>
        </w:rPr>
        <w:t>11</w:t>
      </w:r>
      <w:r>
        <w:rPr>
          <w:rFonts w:ascii="宋体" w:hAnsi="宋体" w:hint="eastAsia"/>
          <w:color w:val="000000"/>
          <w:kern w:val="0"/>
          <w:sz w:val="24"/>
        </w:rPr>
        <w:t>月</w:t>
      </w:r>
      <w:r>
        <w:rPr>
          <w:rFonts w:ascii="宋体" w:hAnsi="宋体" w:hint="eastAsia"/>
          <w:color w:val="000000"/>
          <w:kern w:val="0"/>
          <w:sz w:val="24"/>
        </w:rPr>
        <w:t>20</w:t>
      </w:r>
      <w:r>
        <w:rPr>
          <w:rFonts w:ascii="宋体" w:hAnsi="宋体" w:hint="eastAsia"/>
          <w:color w:val="000000"/>
          <w:kern w:val="0"/>
          <w:sz w:val="24"/>
        </w:rPr>
        <w:t>日</w:t>
      </w:r>
    </w:p>
    <w:p w:rsidR="00A97A84" w:rsidRDefault="00A97A84">
      <w:pPr>
        <w:jc w:val="right"/>
        <w:rPr>
          <w:i/>
          <w:sz w:val="28"/>
          <w:szCs w:val="28"/>
        </w:rPr>
      </w:pPr>
    </w:p>
    <w:p w:rsidR="00A97A84" w:rsidRDefault="00604D88">
      <w:pPr>
        <w:pStyle w:val="a"/>
      </w:pPr>
      <w:r>
        <w:rPr>
          <w:rFonts w:hint="eastAsia"/>
        </w:rPr>
        <w:t>公告基本信息</w:t>
      </w:r>
      <w:bookmarkEnd w:id="0"/>
    </w:p>
    <w:tbl>
      <w:tblPr>
        <w:tblW w:w="8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7"/>
        <w:gridCol w:w="1413"/>
        <w:gridCol w:w="1486"/>
        <w:gridCol w:w="1415"/>
        <w:gridCol w:w="1451"/>
        <w:gridCol w:w="1451"/>
      </w:tblGrid>
      <w:tr w:rsidR="00A97A84">
        <w:trPr>
          <w:cantSplit/>
          <w:jc w:val="center"/>
        </w:trPr>
        <w:tc>
          <w:tcPr>
            <w:tcW w:w="4026" w:type="dxa"/>
            <w:gridSpan w:val="3"/>
          </w:tcPr>
          <w:p w:rsidR="00A97A84" w:rsidRDefault="00604D88">
            <w:pPr>
              <w:rPr>
                <w:rFonts w:ascii="宋体" w:hAnsi="宋体"/>
                <w:color w:val="000000"/>
                <w:sz w:val="24"/>
                <w:highlight w:val="cyan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基金名称</w:t>
            </w:r>
          </w:p>
        </w:tc>
        <w:tc>
          <w:tcPr>
            <w:tcW w:w="4317" w:type="dxa"/>
            <w:gridSpan w:val="3"/>
          </w:tcPr>
          <w:p w:rsidR="00A97A84" w:rsidRDefault="00604D88">
            <w:pPr>
              <w:rPr>
                <w:rFonts w:ascii="宋体" w:hAnsi="宋体"/>
                <w:color w:val="000000"/>
                <w:sz w:val="24"/>
                <w:highlight w:val="cya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富国天惠精选成长混合型证券投资基金（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LOF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A97A84">
        <w:trPr>
          <w:cantSplit/>
          <w:jc w:val="center"/>
        </w:trPr>
        <w:tc>
          <w:tcPr>
            <w:tcW w:w="4026" w:type="dxa"/>
            <w:gridSpan w:val="3"/>
          </w:tcPr>
          <w:p w:rsidR="00A97A84" w:rsidRDefault="00604D88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基金简称</w:t>
            </w:r>
          </w:p>
        </w:tc>
        <w:tc>
          <w:tcPr>
            <w:tcW w:w="4317" w:type="dxa"/>
            <w:gridSpan w:val="3"/>
          </w:tcPr>
          <w:p w:rsidR="00A97A84" w:rsidRDefault="00604D88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富国天惠成长混合（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LOF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A97A84">
        <w:trPr>
          <w:cantSplit/>
          <w:jc w:val="center"/>
        </w:trPr>
        <w:tc>
          <w:tcPr>
            <w:tcW w:w="4026" w:type="dxa"/>
            <w:gridSpan w:val="3"/>
          </w:tcPr>
          <w:p w:rsidR="00A97A84" w:rsidRDefault="00604D88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基金主代码</w:t>
            </w:r>
          </w:p>
        </w:tc>
        <w:tc>
          <w:tcPr>
            <w:tcW w:w="4317" w:type="dxa"/>
            <w:gridSpan w:val="3"/>
          </w:tcPr>
          <w:p w:rsidR="00A97A84" w:rsidRDefault="00604D88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161005</w:t>
            </w:r>
          </w:p>
        </w:tc>
      </w:tr>
      <w:tr w:rsidR="00A97A84">
        <w:trPr>
          <w:cantSplit/>
          <w:jc w:val="center"/>
        </w:trPr>
        <w:tc>
          <w:tcPr>
            <w:tcW w:w="4026" w:type="dxa"/>
            <w:gridSpan w:val="3"/>
          </w:tcPr>
          <w:p w:rsidR="00A97A84" w:rsidRDefault="00604D88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基金管理人名称</w:t>
            </w:r>
          </w:p>
        </w:tc>
        <w:tc>
          <w:tcPr>
            <w:tcW w:w="4317" w:type="dxa"/>
            <w:gridSpan w:val="3"/>
          </w:tcPr>
          <w:p w:rsidR="00A97A84" w:rsidRDefault="00604D88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富国基金管理有限公司</w:t>
            </w:r>
          </w:p>
        </w:tc>
      </w:tr>
      <w:tr w:rsidR="00A97A84">
        <w:trPr>
          <w:cantSplit/>
          <w:jc w:val="center"/>
        </w:trPr>
        <w:tc>
          <w:tcPr>
            <w:tcW w:w="4026" w:type="dxa"/>
            <w:gridSpan w:val="3"/>
          </w:tcPr>
          <w:p w:rsidR="00A97A84" w:rsidRDefault="00604D88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公告依据</w:t>
            </w:r>
          </w:p>
        </w:tc>
        <w:tc>
          <w:tcPr>
            <w:tcW w:w="4317" w:type="dxa"/>
            <w:gridSpan w:val="3"/>
          </w:tcPr>
          <w:p w:rsidR="00A97A84" w:rsidRDefault="00604D88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《中华人民共和国证券投资基金法》及配套法规、《富国天惠精选成长混合型证券投资基金（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LOF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）基金合同》、《富国天惠精选成长混合型证券投资基金（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LOF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）招募说明书》及其更新等</w:t>
            </w:r>
          </w:p>
        </w:tc>
      </w:tr>
      <w:tr w:rsidR="00A97A84">
        <w:trPr>
          <w:cantSplit/>
          <w:jc w:val="center"/>
        </w:trPr>
        <w:tc>
          <w:tcPr>
            <w:tcW w:w="1127" w:type="dxa"/>
            <w:vMerge w:val="restart"/>
            <w:vAlign w:val="center"/>
          </w:tcPr>
          <w:p w:rsidR="00A97A84" w:rsidRDefault="00604D8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暂停相关业务的起始日及原因说明</w:t>
            </w:r>
          </w:p>
        </w:tc>
        <w:tc>
          <w:tcPr>
            <w:tcW w:w="2899" w:type="dxa"/>
            <w:gridSpan w:val="2"/>
          </w:tcPr>
          <w:p w:rsidR="00A97A84" w:rsidRDefault="00604D8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暂停大额申购起始日</w:t>
            </w:r>
          </w:p>
        </w:tc>
        <w:tc>
          <w:tcPr>
            <w:tcW w:w="4317" w:type="dxa"/>
            <w:gridSpan w:val="3"/>
          </w:tcPr>
          <w:p w:rsidR="00A97A84" w:rsidRDefault="00604D88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2024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A97A84">
        <w:trPr>
          <w:cantSplit/>
          <w:jc w:val="center"/>
        </w:trPr>
        <w:tc>
          <w:tcPr>
            <w:tcW w:w="1127" w:type="dxa"/>
            <w:vMerge/>
            <w:vAlign w:val="center"/>
          </w:tcPr>
          <w:p w:rsidR="00A97A84" w:rsidRDefault="00A97A8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99" w:type="dxa"/>
            <w:gridSpan w:val="2"/>
          </w:tcPr>
          <w:p w:rsidR="00A97A84" w:rsidRDefault="00604D8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暂停大额转换转入起始日</w:t>
            </w:r>
          </w:p>
        </w:tc>
        <w:tc>
          <w:tcPr>
            <w:tcW w:w="4317" w:type="dxa"/>
            <w:gridSpan w:val="3"/>
          </w:tcPr>
          <w:p w:rsidR="00A97A84" w:rsidRDefault="00604D88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2024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A97A84">
        <w:trPr>
          <w:cantSplit/>
          <w:jc w:val="center"/>
        </w:trPr>
        <w:tc>
          <w:tcPr>
            <w:tcW w:w="1127" w:type="dxa"/>
            <w:vMerge/>
            <w:vAlign w:val="center"/>
          </w:tcPr>
          <w:p w:rsidR="00A97A84" w:rsidRDefault="00A97A8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99" w:type="dxa"/>
            <w:gridSpan w:val="2"/>
          </w:tcPr>
          <w:p w:rsidR="00A97A84" w:rsidRDefault="00604D8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暂停大额定期定额投资起始日</w:t>
            </w:r>
          </w:p>
        </w:tc>
        <w:tc>
          <w:tcPr>
            <w:tcW w:w="4317" w:type="dxa"/>
            <w:gridSpan w:val="3"/>
          </w:tcPr>
          <w:p w:rsidR="00A97A84" w:rsidRDefault="00604D88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2024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A97A84">
        <w:trPr>
          <w:cantSplit/>
          <w:jc w:val="center"/>
        </w:trPr>
        <w:tc>
          <w:tcPr>
            <w:tcW w:w="1127" w:type="dxa"/>
            <w:vMerge/>
            <w:vAlign w:val="center"/>
          </w:tcPr>
          <w:p w:rsidR="00A97A84" w:rsidRDefault="00A97A8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99" w:type="dxa"/>
            <w:gridSpan w:val="2"/>
          </w:tcPr>
          <w:p w:rsidR="00A97A84" w:rsidRDefault="00604D88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暂停大额申购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转换转入</w:t>
            </w:r>
            <w:r>
              <w:rPr>
                <w:rFonts w:hint="eastAsia"/>
                <w:color w:val="000000"/>
                <w:sz w:val="24"/>
              </w:rPr>
              <w:t>及</w:t>
            </w:r>
            <w:r>
              <w:rPr>
                <w:color w:val="000000"/>
                <w:sz w:val="24"/>
              </w:rPr>
              <w:t>定期定额投资的原因说明</w:t>
            </w:r>
          </w:p>
        </w:tc>
        <w:tc>
          <w:tcPr>
            <w:tcW w:w="4317" w:type="dxa"/>
            <w:gridSpan w:val="3"/>
          </w:tcPr>
          <w:p w:rsidR="00A97A84" w:rsidRDefault="00604D88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为了保证基金的平稳运作，保护基金持有人的利益。</w:t>
            </w:r>
          </w:p>
        </w:tc>
      </w:tr>
      <w:tr w:rsidR="00A97A84">
        <w:trPr>
          <w:cantSplit/>
          <w:trHeight w:val="62"/>
          <w:jc w:val="center"/>
        </w:trPr>
        <w:tc>
          <w:tcPr>
            <w:tcW w:w="2540" w:type="dxa"/>
            <w:gridSpan w:val="2"/>
          </w:tcPr>
          <w:p w:rsidR="00A97A84" w:rsidRDefault="00604D88">
            <w:pPr>
              <w:jc w:val="left"/>
              <w:rPr>
                <w:rFonts w:ascii="宋体" w:hAnsi="宋体"/>
                <w:color w:val="000000"/>
                <w:sz w:val="24"/>
              </w:rPr>
            </w:pPr>
            <w:bookmarkStart w:id="1" w:name="_Toc275961406"/>
            <w:r>
              <w:rPr>
                <w:rFonts w:ascii="宋体" w:hAnsi="宋体" w:cs="宋体"/>
                <w:sz w:val="24"/>
              </w:rPr>
              <w:t>下属分级基金的基金简称</w:t>
            </w:r>
          </w:p>
        </w:tc>
        <w:tc>
          <w:tcPr>
            <w:tcW w:w="2901" w:type="dxa"/>
            <w:gridSpan w:val="2"/>
          </w:tcPr>
          <w:p w:rsidR="00A97A84" w:rsidRDefault="00604D88">
            <w:pPr>
              <w:jc w:val="left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富国天惠成长混合（</w:t>
            </w:r>
            <w:r>
              <w:rPr>
                <w:rFonts w:ascii="宋体" w:hAnsi="宋体" w:cs="宋体" w:hint="eastAsia"/>
                <w:sz w:val="24"/>
              </w:rPr>
              <w:t>LOF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>A/B</w:t>
            </w:r>
          </w:p>
        </w:tc>
        <w:tc>
          <w:tcPr>
            <w:tcW w:w="1451" w:type="dxa"/>
          </w:tcPr>
          <w:p w:rsidR="00A97A84" w:rsidRDefault="00604D88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富国天惠成长混合（</w:t>
            </w:r>
            <w:r>
              <w:rPr>
                <w:rFonts w:ascii="宋体" w:hAnsi="宋体" w:cs="宋体" w:hint="eastAsia"/>
                <w:sz w:val="24"/>
              </w:rPr>
              <w:t>LOF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1451" w:type="dxa"/>
          </w:tcPr>
          <w:p w:rsidR="00A97A84" w:rsidRDefault="00604D8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富国天惠成长混合（</w:t>
            </w:r>
            <w:r>
              <w:rPr>
                <w:rFonts w:ascii="宋体" w:hAnsi="宋体" w:cs="宋体" w:hint="eastAsia"/>
                <w:sz w:val="24"/>
              </w:rPr>
              <w:t>LOF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A97A84">
        <w:trPr>
          <w:cantSplit/>
          <w:trHeight w:val="62"/>
          <w:jc w:val="center"/>
        </w:trPr>
        <w:tc>
          <w:tcPr>
            <w:tcW w:w="2540" w:type="dxa"/>
            <w:gridSpan w:val="2"/>
          </w:tcPr>
          <w:p w:rsidR="00A97A84" w:rsidRDefault="00604D88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下属分级基金的交易代码</w:t>
            </w:r>
          </w:p>
        </w:tc>
        <w:tc>
          <w:tcPr>
            <w:tcW w:w="2901" w:type="dxa"/>
            <w:gridSpan w:val="2"/>
          </w:tcPr>
          <w:p w:rsidR="00A97A84" w:rsidRDefault="00604D88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161005</w:t>
            </w:r>
          </w:p>
        </w:tc>
        <w:tc>
          <w:tcPr>
            <w:tcW w:w="1451" w:type="dxa"/>
          </w:tcPr>
          <w:p w:rsidR="00A97A84" w:rsidRDefault="00604D88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003494</w:t>
            </w:r>
          </w:p>
        </w:tc>
        <w:tc>
          <w:tcPr>
            <w:tcW w:w="1451" w:type="dxa"/>
          </w:tcPr>
          <w:p w:rsidR="00A97A84" w:rsidRDefault="00604D88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022645</w:t>
            </w:r>
          </w:p>
        </w:tc>
      </w:tr>
      <w:tr w:rsidR="00A97A84">
        <w:trPr>
          <w:cantSplit/>
          <w:trHeight w:val="62"/>
          <w:jc w:val="center"/>
        </w:trPr>
        <w:tc>
          <w:tcPr>
            <w:tcW w:w="2540" w:type="dxa"/>
            <w:gridSpan w:val="2"/>
          </w:tcPr>
          <w:p w:rsidR="00A97A84" w:rsidRDefault="00604D88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该分级基金是否暂停大额申购、转换转入</w:t>
            </w:r>
            <w:r>
              <w:rPr>
                <w:rFonts w:ascii="宋体" w:hAnsi="宋体" w:cs="宋体" w:hint="eastAsia"/>
                <w:sz w:val="24"/>
              </w:rPr>
              <w:t>及</w:t>
            </w:r>
            <w:r>
              <w:rPr>
                <w:rFonts w:ascii="宋体" w:hAnsi="宋体" w:cs="宋体"/>
                <w:sz w:val="24"/>
              </w:rPr>
              <w:t>定期定额</w:t>
            </w:r>
            <w:r>
              <w:rPr>
                <w:rFonts w:ascii="宋体" w:hAnsi="宋体" w:cs="宋体" w:hint="eastAsia"/>
                <w:sz w:val="24"/>
              </w:rPr>
              <w:t>投资</w:t>
            </w:r>
          </w:p>
        </w:tc>
        <w:tc>
          <w:tcPr>
            <w:tcW w:w="2901" w:type="dxa"/>
            <w:gridSpan w:val="2"/>
          </w:tcPr>
          <w:p w:rsidR="00A97A84" w:rsidRDefault="00604D88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</w:t>
            </w:r>
          </w:p>
        </w:tc>
        <w:tc>
          <w:tcPr>
            <w:tcW w:w="1451" w:type="dxa"/>
          </w:tcPr>
          <w:p w:rsidR="00A97A84" w:rsidRDefault="00604D88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</w:t>
            </w:r>
          </w:p>
        </w:tc>
        <w:tc>
          <w:tcPr>
            <w:tcW w:w="1451" w:type="dxa"/>
          </w:tcPr>
          <w:p w:rsidR="00A97A84" w:rsidRDefault="00604D88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</w:t>
            </w:r>
          </w:p>
        </w:tc>
      </w:tr>
      <w:tr w:rsidR="00A97A84">
        <w:trPr>
          <w:cantSplit/>
          <w:trHeight w:val="62"/>
          <w:jc w:val="center"/>
        </w:trPr>
        <w:tc>
          <w:tcPr>
            <w:tcW w:w="2540" w:type="dxa"/>
            <w:gridSpan w:val="2"/>
          </w:tcPr>
          <w:p w:rsidR="00A97A84" w:rsidRDefault="00604D88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lastRenderedPageBreak/>
              <w:t>下属分级基金的限制申购金额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（单位：元）</w:t>
            </w:r>
          </w:p>
        </w:tc>
        <w:tc>
          <w:tcPr>
            <w:tcW w:w="2901" w:type="dxa"/>
            <w:gridSpan w:val="2"/>
          </w:tcPr>
          <w:p w:rsidR="00A97A84" w:rsidRDefault="00604D88">
            <w:r>
              <w:rPr>
                <w:rFonts w:ascii="宋体" w:hAnsi="宋体" w:hint="eastAsia"/>
                <w:color w:val="000000"/>
                <w:sz w:val="24"/>
              </w:rPr>
              <w:t>20,000.00</w:t>
            </w:r>
          </w:p>
        </w:tc>
        <w:tc>
          <w:tcPr>
            <w:tcW w:w="1451" w:type="dxa"/>
          </w:tcPr>
          <w:p w:rsidR="00A97A84" w:rsidRDefault="00604D88">
            <w:r>
              <w:rPr>
                <w:rFonts w:ascii="宋体" w:hAnsi="宋体" w:hint="eastAsia"/>
                <w:color w:val="000000"/>
                <w:sz w:val="24"/>
              </w:rPr>
              <w:t>20,000.00</w:t>
            </w:r>
          </w:p>
        </w:tc>
        <w:tc>
          <w:tcPr>
            <w:tcW w:w="1451" w:type="dxa"/>
          </w:tcPr>
          <w:p w:rsidR="00A97A84" w:rsidRDefault="00604D8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20,000.00</w:t>
            </w:r>
          </w:p>
        </w:tc>
      </w:tr>
      <w:tr w:rsidR="00A97A84">
        <w:trPr>
          <w:cantSplit/>
          <w:trHeight w:val="62"/>
          <w:jc w:val="center"/>
        </w:trPr>
        <w:tc>
          <w:tcPr>
            <w:tcW w:w="2540" w:type="dxa"/>
            <w:gridSpan w:val="2"/>
          </w:tcPr>
          <w:p w:rsidR="00A97A84" w:rsidRDefault="00604D88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下属分级基金的限制转换转入金额（单位：元）</w:t>
            </w:r>
          </w:p>
        </w:tc>
        <w:tc>
          <w:tcPr>
            <w:tcW w:w="2901" w:type="dxa"/>
            <w:gridSpan w:val="2"/>
          </w:tcPr>
          <w:p w:rsidR="00A97A84" w:rsidRDefault="00604D88">
            <w:r>
              <w:rPr>
                <w:rFonts w:ascii="宋体" w:hAnsi="宋体" w:hint="eastAsia"/>
                <w:color w:val="000000"/>
                <w:sz w:val="24"/>
              </w:rPr>
              <w:t>20,000.00</w:t>
            </w:r>
          </w:p>
        </w:tc>
        <w:tc>
          <w:tcPr>
            <w:tcW w:w="1451" w:type="dxa"/>
          </w:tcPr>
          <w:p w:rsidR="00A97A84" w:rsidRDefault="00604D88">
            <w:r>
              <w:rPr>
                <w:rFonts w:ascii="宋体" w:hAnsi="宋体" w:hint="eastAsia"/>
                <w:color w:val="000000"/>
                <w:sz w:val="24"/>
              </w:rPr>
              <w:t>20,000.00</w:t>
            </w:r>
          </w:p>
        </w:tc>
        <w:tc>
          <w:tcPr>
            <w:tcW w:w="1451" w:type="dxa"/>
          </w:tcPr>
          <w:p w:rsidR="00A97A84" w:rsidRDefault="00604D8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20,000.00</w:t>
            </w:r>
          </w:p>
        </w:tc>
      </w:tr>
      <w:tr w:rsidR="00A97A84">
        <w:trPr>
          <w:cantSplit/>
          <w:trHeight w:val="62"/>
          <w:jc w:val="center"/>
        </w:trPr>
        <w:tc>
          <w:tcPr>
            <w:tcW w:w="2540" w:type="dxa"/>
            <w:gridSpan w:val="2"/>
          </w:tcPr>
          <w:p w:rsidR="00A97A84" w:rsidRDefault="00604D8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下属分级基金的限制定期定额投资金额（单位：元）</w:t>
            </w:r>
          </w:p>
        </w:tc>
        <w:tc>
          <w:tcPr>
            <w:tcW w:w="2901" w:type="dxa"/>
            <w:gridSpan w:val="2"/>
          </w:tcPr>
          <w:p w:rsidR="00A97A84" w:rsidRDefault="00604D88">
            <w:r>
              <w:rPr>
                <w:rFonts w:ascii="宋体" w:hAnsi="宋体" w:hint="eastAsia"/>
                <w:color w:val="000000"/>
                <w:sz w:val="24"/>
              </w:rPr>
              <w:t>20,000.00</w:t>
            </w:r>
          </w:p>
        </w:tc>
        <w:tc>
          <w:tcPr>
            <w:tcW w:w="1451" w:type="dxa"/>
          </w:tcPr>
          <w:p w:rsidR="00A97A84" w:rsidRDefault="00604D88">
            <w:r>
              <w:rPr>
                <w:rFonts w:ascii="宋体" w:hAnsi="宋体" w:hint="eastAsia"/>
                <w:color w:val="000000"/>
                <w:sz w:val="24"/>
              </w:rPr>
              <w:t>20,000.00</w:t>
            </w:r>
          </w:p>
        </w:tc>
        <w:tc>
          <w:tcPr>
            <w:tcW w:w="1451" w:type="dxa"/>
          </w:tcPr>
          <w:p w:rsidR="00A97A84" w:rsidRDefault="00604D8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20,000.00</w:t>
            </w:r>
          </w:p>
        </w:tc>
      </w:tr>
    </w:tbl>
    <w:p w:rsidR="00A97A84" w:rsidRDefault="00604D88">
      <w:pPr>
        <w:pStyle w:val="a"/>
      </w:pPr>
      <w:r>
        <w:t>其他需要提示的事项</w:t>
      </w:r>
      <w:bookmarkEnd w:id="1"/>
    </w:p>
    <w:p w:rsidR="00A97A84" w:rsidRDefault="00604D88">
      <w:pPr>
        <w:ind w:firstLineChars="200" w:firstLine="480"/>
        <w:rPr>
          <w:color w:val="000000"/>
          <w:sz w:val="24"/>
        </w:rPr>
      </w:pPr>
      <w:bookmarkStart w:id="2" w:name="OLE_LINK6"/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、本基金管理人原决定自</w:t>
      </w:r>
      <w:r>
        <w:rPr>
          <w:rFonts w:hint="eastAsia"/>
          <w:color w:val="000000"/>
          <w:sz w:val="24"/>
        </w:rPr>
        <w:t>2022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28</w:t>
      </w:r>
      <w:r>
        <w:rPr>
          <w:rFonts w:hint="eastAsia"/>
          <w:color w:val="000000"/>
          <w:sz w:val="24"/>
        </w:rPr>
        <w:t>日起单个基金账户对本基金</w:t>
      </w:r>
      <w:r>
        <w:rPr>
          <w:rFonts w:hint="eastAsia"/>
          <w:color w:val="000000"/>
          <w:sz w:val="24"/>
        </w:rPr>
        <w:t>A</w:t>
      </w:r>
      <w:r>
        <w:rPr>
          <w:rFonts w:hint="eastAsia"/>
          <w:color w:val="000000"/>
          <w:sz w:val="24"/>
        </w:rPr>
        <w:t>类、</w:t>
      </w:r>
      <w:r>
        <w:rPr>
          <w:rFonts w:hint="eastAsia"/>
          <w:color w:val="000000"/>
          <w:sz w:val="24"/>
        </w:rPr>
        <w:t>C</w:t>
      </w:r>
      <w:r>
        <w:rPr>
          <w:rFonts w:hint="eastAsia"/>
          <w:color w:val="000000"/>
          <w:sz w:val="24"/>
        </w:rPr>
        <w:t>类基金份额日累计金额超过</w:t>
      </w:r>
      <w:r>
        <w:rPr>
          <w:rFonts w:hint="eastAsia"/>
          <w:color w:val="000000"/>
          <w:sz w:val="24"/>
        </w:rPr>
        <w:t xml:space="preserve"> 2 </w:t>
      </w:r>
      <w:r>
        <w:rPr>
          <w:rFonts w:hint="eastAsia"/>
          <w:color w:val="000000"/>
          <w:sz w:val="24"/>
        </w:rPr>
        <w:t>万元（不含</w:t>
      </w:r>
      <w:r>
        <w:rPr>
          <w:color w:val="000000"/>
          <w:sz w:val="24"/>
        </w:rPr>
        <w:t xml:space="preserve"> 2 </w:t>
      </w:r>
      <w:r>
        <w:rPr>
          <w:rFonts w:hint="eastAsia"/>
          <w:color w:val="000000"/>
          <w:sz w:val="24"/>
        </w:rPr>
        <w:t>万元）的申购、定投及转换转入业务申请进行限制（见</w:t>
      </w:r>
      <w:r>
        <w:rPr>
          <w:rFonts w:hint="eastAsia"/>
          <w:color w:val="000000"/>
          <w:sz w:val="24"/>
        </w:rPr>
        <w:t>2022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27</w:t>
      </w:r>
      <w:r>
        <w:rPr>
          <w:rFonts w:hint="eastAsia"/>
          <w:color w:val="000000"/>
          <w:sz w:val="24"/>
        </w:rPr>
        <w:t>日公告）。本基金管理人现决定自</w:t>
      </w:r>
      <w:r>
        <w:rPr>
          <w:rFonts w:hint="eastAsia"/>
          <w:color w:val="000000"/>
          <w:sz w:val="24"/>
        </w:rPr>
        <w:t>2024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1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>20</w:t>
      </w:r>
      <w:r>
        <w:rPr>
          <w:rFonts w:hint="eastAsia"/>
          <w:color w:val="000000"/>
          <w:sz w:val="24"/>
        </w:rPr>
        <w:t>日起对单个基金账户对本基金</w:t>
      </w:r>
      <w:r>
        <w:rPr>
          <w:rFonts w:hint="eastAsia"/>
          <w:color w:val="000000"/>
          <w:sz w:val="24"/>
        </w:rPr>
        <w:t>A</w:t>
      </w:r>
      <w:r>
        <w:rPr>
          <w:rFonts w:hint="eastAsia"/>
          <w:color w:val="000000"/>
          <w:sz w:val="24"/>
        </w:rPr>
        <w:t>类、</w:t>
      </w:r>
      <w:r>
        <w:rPr>
          <w:rFonts w:hint="eastAsia"/>
          <w:color w:val="000000"/>
          <w:sz w:val="24"/>
        </w:rPr>
        <w:t>C</w:t>
      </w:r>
      <w:r>
        <w:rPr>
          <w:rFonts w:hint="eastAsia"/>
          <w:color w:val="000000"/>
          <w:sz w:val="24"/>
        </w:rPr>
        <w:t>类及</w:t>
      </w:r>
      <w:r>
        <w:rPr>
          <w:rFonts w:hint="eastAsia"/>
          <w:color w:val="000000"/>
          <w:sz w:val="24"/>
        </w:rPr>
        <w:t>D</w:t>
      </w:r>
      <w:r>
        <w:rPr>
          <w:rFonts w:hint="eastAsia"/>
          <w:color w:val="000000"/>
          <w:sz w:val="24"/>
        </w:rPr>
        <w:t>类基金份额日累计金额超过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万元（不含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万元）的申购、转换转入及定期定额投资业务申请进行限制，如单个基金账户单个基金份额日累计申请金额超过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万元，则本基金管理人有权拒绝。</w:t>
      </w:r>
      <w:r>
        <w:rPr>
          <w:color w:val="000000"/>
          <w:sz w:val="24"/>
        </w:rPr>
        <w:t xml:space="preserve"> </w:t>
      </w:r>
    </w:p>
    <w:p w:rsidR="00A97A84" w:rsidRDefault="00604D88">
      <w:pPr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、在暂停本基金大额申购、转换转入及定期定额投资业务期间，本基金单日单个基金账户单个基金份额累</w:t>
      </w:r>
      <w:bookmarkStart w:id="3" w:name="_GoBack"/>
      <w:bookmarkEnd w:id="3"/>
      <w:r>
        <w:rPr>
          <w:rFonts w:hint="eastAsia"/>
          <w:color w:val="000000"/>
          <w:sz w:val="24"/>
        </w:rPr>
        <w:t>计金额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万元（含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万元）以下的申购、定期定额投资和转换转入以及赎回、转换转出等业务正常办理</w:t>
      </w:r>
      <w:r>
        <w:rPr>
          <w:rFonts w:hint="eastAsia"/>
          <w:color w:val="000000"/>
          <w:sz w:val="24"/>
        </w:rPr>
        <w:t>。</w:t>
      </w:r>
      <w:bookmarkEnd w:id="2"/>
    </w:p>
    <w:p w:rsidR="00A97A84" w:rsidRDefault="00604D88">
      <w:pPr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、关于恢复本基金大额申购、转换转入及定期定额投资业务的时间，基金管理人将另行公告。</w:t>
      </w:r>
    </w:p>
    <w:p w:rsidR="00A97A84" w:rsidRDefault="00604D88">
      <w:pPr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、投资者可以登录富国基金管理有限公司网站</w:t>
      </w:r>
      <w:r>
        <w:rPr>
          <w:color w:val="000000"/>
          <w:sz w:val="24"/>
        </w:rPr>
        <w:t>www.fullgoal.com.cn</w:t>
      </w:r>
      <w:r>
        <w:rPr>
          <w:rFonts w:hint="eastAsia"/>
          <w:color w:val="000000"/>
          <w:sz w:val="24"/>
        </w:rPr>
        <w:t>或拨打富国基金管理有限公司客户服务热线</w:t>
      </w:r>
      <w:r>
        <w:rPr>
          <w:color w:val="000000"/>
          <w:sz w:val="24"/>
        </w:rPr>
        <w:t>95105686</w:t>
      </w:r>
      <w:r>
        <w:rPr>
          <w:rFonts w:hint="eastAsia"/>
          <w:color w:val="000000"/>
          <w:sz w:val="24"/>
        </w:rPr>
        <w:t>、</w:t>
      </w:r>
      <w:r>
        <w:rPr>
          <w:color w:val="000000"/>
          <w:sz w:val="24"/>
        </w:rPr>
        <w:t>4008880688</w:t>
      </w:r>
      <w:r>
        <w:rPr>
          <w:rFonts w:hint="eastAsia"/>
          <w:color w:val="000000"/>
          <w:sz w:val="24"/>
        </w:rPr>
        <w:t>（全国统一，均免长途费）进行相关咨询。</w:t>
      </w:r>
    </w:p>
    <w:p w:rsidR="00A97A84" w:rsidRDefault="00604D88">
      <w:pPr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、风险提示：本公司承诺以诚实信用、勤勉尽责的原则管理和运用基金资产，但不保证基金一定盈利，也不保证最低收益。敬请投资者注意投资风险。投资者投资于上述基金前应认真阅读基金的基金合同、更新的招募说明书及相关公告。</w:t>
      </w:r>
    </w:p>
    <w:p w:rsidR="00A97A84" w:rsidRDefault="00604D88">
      <w:pPr>
        <w:ind w:firstLine="420"/>
        <w:rPr>
          <w:color w:val="000000"/>
          <w:sz w:val="24"/>
        </w:rPr>
      </w:pPr>
      <w:r>
        <w:rPr>
          <w:color w:val="000000"/>
          <w:sz w:val="24"/>
        </w:rPr>
        <w:t>特此公告。</w:t>
      </w:r>
    </w:p>
    <w:p w:rsidR="00A97A84" w:rsidRDefault="00A97A84">
      <w:pPr>
        <w:jc w:val="right"/>
        <w:rPr>
          <w:rFonts w:ascii="宋体" w:hAnsi="宋体"/>
          <w:color w:val="000000"/>
          <w:kern w:val="0"/>
          <w:sz w:val="24"/>
        </w:rPr>
      </w:pPr>
    </w:p>
    <w:p w:rsidR="00A97A84" w:rsidRDefault="00604D88">
      <w:pPr>
        <w:jc w:val="righ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富国基金管理有限公司</w:t>
      </w:r>
    </w:p>
    <w:p w:rsidR="00A97A84" w:rsidRDefault="00604D88">
      <w:pPr>
        <w:jc w:val="righ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2024</w:t>
      </w:r>
      <w:r>
        <w:rPr>
          <w:rFonts w:ascii="宋体" w:hAnsi="宋体" w:hint="eastAsia"/>
          <w:color w:val="000000"/>
          <w:kern w:val="0"/>
          <w:sz w:val="24"/>
        </w:rPr>
        <w:t>年</w:t>
      </w:r>
      <w:r>
        <w:rPr>
          <w:rFonts w:ascii="宋体" w:hAnsi="宋体" w:hint="eastAsia"/>
          <w:color w:val="000000"/>
          <w:kern w:val="0"/>
          <w:sz w:val="24"/>
        </w:rPr>
        <w:t>11</w:t>
      </w:r>
      <w:r>
        <w:rPr>
          <w:rFonts w:ascii="宋体" w:hAnsi="宋体" w:hint="eastAsia"/>
          <w:color w:val="000000"/>
          <w:kern w:val="0"/>
          <w:sz w:val="24"/>
        </w:rPr>
        <w:t>月</w:t>
      </w:r>
      <w:r>
        <w:rPr>
          <w:rFonts w:ascii="宋体" w:hAnsi="宋体" w:hint="eastAsia"/>
          <w:color w:val="000000"/>
          <w:kern w:val="0"/>
          <w:sz w:val="24"/>
        </w:rPr>
        <w:t>20</w:t>
      </w:r>
      <w:r>
        <w:rPr>
          <w:rFonts w:ascii="宋体" w:hAnsi="宋体" w:hint="eastAsia"/>
          <w:color w:val="000000"/>
          <w:kern w:val="0"/>
          <w:sz w:val="24"/>
        </w:rPr>
        <w:t>日</w:t>
      </w:r>
    </w:p>
    <w:sectPr w:rsidR="00A97A84" w:rsidSect="00A97A84">
      <w:pgSz w:w="11906" w:h="16838"/>
      <w:pgMar w:top="2268" w:right="2268" w:bottom="2268" w:left="2268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55180"/>
    <w:multiLevelType w:val="multilevel"/>
    <w:tmpl w:val="63755180"/>
    <w:lvl w:ilvl="0">
      <w:start w:val="1"/>
      <w:numFmt w:val="decimal"/>
      <w:pStyle w:val="1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4426EE"/>
    <w:multiLevelType w:val="multilevel"/>
    <w:tmpl w:val="7B4426EE"/>
    <w:lvl w:ilvl="0">
      <w:start w:val="1"/>
      <w:numFmt w:val="decimal"/>
      <w:pStyle w:val="a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attachedTemplate r:id="rId1"/>
  <w:stylePaneFormatFilter w:val="3F01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7F42"/>
    <w:rsid w:val="00032D94"/>
    <w:rsid w:val="00057684"/>
    <w:rsid w:val="000634F0"/>
    <w:rsid w:val="000672A2"/>
    <w:rsid w:val="00084AE5"/>
    <w:rsid w:val="000923D0"/>
    <w:rsid w:val="000977A6"/>
    <w:rsid w:val="000B52D5"/>
    <w:rsid w:val="000B5FFC"/>
    <w:rsid w:val="000D34BA"/>
    <w:rsid w:val="000D7522"/>
    <w:rsid w:val="00103B85"/>
    <w:rsid w:val="00125246"/>
    <w:rsid w:val="00126599"/>
    <w:rsid w:val="001434F1"/>
    <w:rsid w:val="00160463"/>
    <w:rsid w:val="0017409F"/>
    <w:rsid w:val="00174FE8"/>
    <w:rsid w:val="001816B0"/>
    <w:rsid w:val="0019287A"/>
    <w:rsid w:val="001A23F3"/>
    <w:rsid w:val="001C1C9A"/>
    <w:rsid w:val="001C6EF6"/>
    <w:rsid w:val="001E3807"/>
    <w:rsid w:val="00202AF4"/>
    <w:rsid w:val="002246FB"/>
    <w:rsid w:val="002312BB"/>
    <w:rsid w:val="0024016F"/>
    <w:rsid w:val="00242AF0"/>
    <w:rsid w:val="002553C3"/>
    <w:rsid w:val="0025618E"/>
    <w:rsid w:val="00281317"/>
    <w:rsid w:val="00281AE2"/>
    <w:rsid w:val="00282DEB"/>
    <w:rsid w:val="00293001"/>
    <w:rsid w:val="002C2ADA"/>
    <w:rsid w:val="002D4A9A"/>
    <w:rsid w:val="002F2892"/>
    <w:rsid w:val="003006F6"/>
    <w:rsid w:val="00314822"/>
    <w:rsid w:val="003235F3"/>
    <w:rsid w:val="003250BC"/>
    <w:rsid w:val="0033773A"/>
    <w:rsid w:val="00340BC0"/>
    <w:rsid w:val="00363752"/>
    <w:rsid w:val="00365403"/>
    <w:rsid w:val="003673E9"/>
    <w:rsid w:val="00370B6E"/>
    <w:rsid w:val="00387F42"/>
    <w:rsid w:val="00391684"/>
    <w:rsid w:val="0039728D"/>
    <w:rsid w:val="003B74CD"/>
    <w:rsid w:val="003C2515"/>
    <w:rsid w:val="003C41E4"/>
    <w:rsid w:val="003F07FE"/>
    <w:rsid w:val="003F12E1"/>
    <w:rsid w:val="00416857"/>
    <w:rsid w:val="00463134"/>
    <w:rsid w:val="0046512C"/>
    <w:rsid w:val="00482A8B"/>
    <w:rsid w:val="00492A32"/>
    <w:rsid w:val="004B10FE"/>
    <w:rsid w:val="004D08A0"/>
    <w:rsid w:val="00507A11"/>
    <w:rsid w:val="00513F60"/>
    <w:rsid w:val="0051530D"/>
    <w:rsid w:val="00537D6D"/>
    <w:rsid w:val="00544911"/>
    <w:rsid w:val="00583FB4"/>
    <w:rsid w:val="00593986"/>
    <w:rsid w:val="005A00CB"/>
    <w:rsid w:val="005A1E88"/>
    <w:rsid w:val="005A6FFF"/>
    <w:rsid w:val="005E24C4"/>
    <w:rsid w:val="00604D88"/>
    <w:rsid w:val="0061070B"/>
    <w:rsid w:val="0061664E"/>
    <w:rsid w:val="00620C5F"/>
    <w:rsid w:val="006276AF"/>
    <w:rsid w:val="00627E9A"/>
    <w:rsid w:val="006462FC"/>
    <w:rsid w:val="00662818"/>
    <w:rsid w:val="00676DFD"/>
    <w:rsid w:val="00684475"/>
    <w:rsid w:val="00684853"/>
    <w:rsid w:val="006B6833"/>
    <w:rsid w:val="006D3B75"/>
    <w:rsid w:val="00752807"/>
    <w:rsid w:val="007640F1"/>
    <w:rsid w:val="007661A5"/>
    <w:rsid w:val="007929AB"/>
    <w:rsid w:val="00796044"/>
    <w:rsid w:val="00797CBE"/>
    <w:rsid w:val="007A3AF2"/>
    <w:rsid w:val="007A4B62"/>
    <w:rsid w:val="007E2B84"/>
    <w:rsid w:val="007E61D6"/>
    <w:rsid w:val="008162FD"/>
    <w:rsid w:val="0083283D"/>
    <w:rsid w:val="008356C2"/>
    <w:rsid w:val="00836563"/>
    <w:rsid w:val="00847A71"/>
    <w:rsid w:val="00872ACE"/>
    <w:rsid w:val="00877069"/>
    <w:rsid w:val="0089500E"/>
    <w:rsid w:val="008A6BE5"/>
    <w:rsid w:val="008F67DB"/>
    <w:rsid w:val="009269A3"/>
    <w:rsid w:val="00932CA8"/>
    <w:rsid w:val="00935DFA"/>
    <w:rsid w:val="009413D9"/>
    <w:rsid w:val="009572BF"/>
    <w:rsid w:val="00961000"/>
    <w:rsid w:val="009853AD"/>
    <w:rsid w:val="009862C8"/>
    <w:rsid w:val="009864A7"/>
    <w:rsid w:val="009A7A98"/>
    <w:rsid w:val="009D4F57"/>
    <w:rsid w:val="009F21A3"/>
    <w:rsid w:val="00A1179E"/>
    <w:rsid w:val="00A41E37"/>
    <w:rsid w:val="00A85184"/>
    <w:rsid w:val="00A90890"/>
    <w:rsid w:val="00A90AC9"/>
    <w:rsid w:val="00A97A84"/>
    <w:rsid w:val="00AA5BD2"/>
    <w:rsid w:val="00AB05DB"/>
    <w:rsid w:val="00AC6211"/>
    <w:rsid w:val="00AF02DA"/>
    <w:rsid w:val="00B020E2"/>
    <w:rsid w:val="00B039C5"/>
    <w:rsid w:val="00B23342"/>
    <w:rsid w:val="00B252A6"/>
    <w:rsid w:val="00B27512"/>
    <w:rsid w:val="00B37EDF"/>
    <w:rsid w:val="00B43EEF"/>
    <w:rsid w:val="00B5552F"/>
    <w:rsid w:val="00B95FDF"/>
    <w:rsid w:val="00BB0834"/>
    <w:rsid w:val="00BC09E0"/>
    <w:rsid w:val="00BC2B20"/>
    <w:rsid w:val="00BD2CCA"/>
    <w:rsid w:val="00C0304E"/>
    <w:rsid w:val="00C14369"/>
    <w:rsid w:val="00C15863"/>
    <w:rsid w:val="00C32EF7"/>
    <w:rsid w:val="00C43225"/>
    <w:rsid w:val="00C7384A"/>
    <w:rsid w:val="00C73DEF"/>
    <w:rsid w:val="00C740F4"/>
    <w:rsid w:val="00C82B41"/>
    <w:rsid w:val="00CA5A48"/>
    <w:rsid w:val="00CC199B"/>
    <w:rsid w:val="00CF309F"/>
    <w:rsid w:val="00D20948"/>
    <w:rsid w:val="00D3544B"/>
    <w:rsid w:val="00D5575A"/>
    <w:rsid w:val="00D7653E"/>
    <w:rsid w:val="00D76BCA"/>
    <w:rsid w:val="00D91D63"/>
    <w:rsid w:val="00D9785E"/>
    <w:rsid w:val="00DC1C3B"/>
    <w:rsid w:val="00DD68C9"/>
    <w:rsid w:val="00E13FF3"/>
    <w:rsid w:val="00E434C9"/>
    <w:rsid w:val="00E458D5"/>
    <w:rsid w:val="00E6133E"/>
    <w:rsid w:val="00E63817"/>
    <w:rsid w:val="00E663C8"/>
    <w:rsid w:val="00E93DB2"/>
    <w:rsid w:val="00E95CB5"/>
    <w:rsid w:val="00EC0FEA"/>
    <w:rsid w:val="00EC6901"/>
    <w:rsid w:val="00ED2EA3"/>
    <w:rsid w:val="00ED741F"/>
    <w:rsid w:val="00F03CB3"/>
    <w:rsid w:val="00F076FE"/>
    <w:rsid w:val="00F46B02"/>
    <w:rsid w:val="00F70607"/>
    <w:rsid w:val="00F92AE4"/>
    <w:rsid w:val="00F93F60"/>
    <w:rsid w:val="00FB1939"/>
    <w:rsid w:val="00FB797F"/>
    <w:rsid w:val="00FD2AE2"/>
    <w:rsid w:val="0A3B7458"/>
    <w:rsid w:val="185276F3"/>
    <w:rsid w:val="21E6749A"/>
    <w:rsid w:val="235F4376"/>
    <w:rsid w:val="23EF5F01"/>
    <w:rsid w:val="27242053"/>
    <w:rsid w:val="53ED6CD5"/>
    <w:rsid w:val="5F16176D"/>
    <w:rsid w:val="66107AE8"/>
    <w:rsid w:val="66CC2135"/>
    <w:rsid w:val="69333B57"/>
    <w:rsid w:val="7075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97A8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uiPriority w:val="9"/>
    <w:qFormat/>
    <w:rsid w:val="00A97A84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qFormat/>
    <w:rsid w:val="00A97A84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semiHidden/>
    <w:qFormat/>
    <w:rsid w:val="00A97A84"/>
    <w:pPr>
      <w:shd w:val="clear" w:color="auto" w:fill="000080"/>
    </w:pPr>
  </w:style>
  <w:style w:type="paragraph" w:styleId="3">
    <w:name w:val="toc 3"/>
    <w:next w:val="a0"/>
    <w:uiPriority w:val="39"/>
    <w:unhideWhenUsed/>
    <w:qFormat/>
    <w:rsid w:val="00A97A84"/>
    <w:pPr>
      <w:spacing w:after="100"/>
      <w:ind w:left="440"/>
    </w:pPr>
  </w:style>
  <w:style w:type="paragraph" w:styleId="a5">
    <w:name w:val="Balloon Text"/>
    <w:link w:val="Char"/>
    <w:uiPriority w:val="99"/>
    <w:semiHidden/>
    <w:unhideWhenUsed/>
    <w:qFormat/>
    <w:rsid w:val="00A97A84"/>
    <w:rPr>
      <w:rFonts w:ascii="Tahoma" w:hAnsi="Tahoma" w:cs="Tahoma"/>
      <w:sz w:val="16"/>
      <w:szCs w:val="16"/>
    </w:rPr>
  </w:style>
  <w:style w:type="paragraph" w:styleId="a6">
    <w:name w:val="footer"/>
    <w:basedOn w:val="a0"/>
    <w:link w:val="Char0"/>
    <w:qFormat/>
    <w:rsid w:val="00A97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link w:val="Char1"/>
    <w:qFormat/>
    <w:rsid w:val="00A97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next w:val="a0"/>
    <w:uiPriority w:val="39"/>
    <w:unhideWhenUsed/>
    <w:qFormat/>
    <w:rsid w:val="00A97A84"/>
    <w:pPr>
      <w:spacing w:after="100"/>
    </w:pPr>
  </w:style>
  <w:style w:type="paragraph" w:styleId="4">
    <w:name w:val="toc 4"/>
    <w:next w:val="a0"/>
    <w:uiPriority w:val="39"/>
    <w:unhideWhenUsed/>
    <w:qFormat/>
    <w:rsid w:val="00A97A84"/>
    <w:pPr>
      <w:spacing w:after="100"/>
      <w:ind w:left="660"/>
    </w:pPr>
  </w:style>
  <w:style w:type="paragraph" w:styleId="a8">
    <w:name w:val="footnote text"/>
    <w:basedOn w:val="a0"/>
    <w:qFormat/>
    <w:rsid w:val="00A97A84"/>
    <w:pPr>
      <w:snapToGrid w:val="0"/>
      <w:jc w:val="left"/>
    </w:pPr>
    <w:rPr>
      <w:sz w:val="18"/>
      <w:szCs w:val="20"/>
    </w:rPr>
  </w:style>
  <w:style w:type="paragraph" w:styleId="20">
    <w:name w:val="toc 2"/>
    <w:next w:val="a0"/>
    <w:uiPriority w:val="39"/>
    <w:unhideWhenUsed/>
    <w:qFormat/>
    <w:rsid w:val="00A97A84"/>
    <w:pPr>
      <w:spacing w:after="100"/>
      <w:ind w:left="220"/>
    </w:pPr>
  </w:style>
  <w:style w:type="paragraph" w:styleId="a">
    <w:name w:val="Title"/>
    <w:basedOn w:val="1"/>
    <w:next w:val="a0"/>
    <w:link w:val="Char2"/>
    <w:qFormat/>
    <w:rsid w:val="00A97A84"/>
    <w:pPr>
      <w:numPr>
        <w:numId w:val="2"/>
      </w:numPr>
      <w:spacing w:before="120" w:after="120"/>
    </w:pPr>
    <w:rPr>
      <w:rFonts w:ascii="Calibri" w:hAnsi="Calibri"/>
      <w:sz w:val="28"/>
      <w:lang w:val="zh-CN"/>
    </w:rPr>
  </w:style>
  <w:style w:type="character" w:styleId="a9">
    <w:name w:val="Hyperlink"/>
    <w:uiPriority w:val="99"/>
    <w:unhideWhenUsed/>
    <w:qFormat/>
    <w:rsid w:val="00A97A84"/>
    <w:rPr>
      <w:color w:val="0563C1" w:themeColor="hyperlink"/>
      <w:u w:val="single"/>
    </w:rPr>
  </w:style>
  <w:style w:type="character" w:styleId="aa">
    <w:name w:val="footnote reference"/>
    <w:qFormat/>
    <w:rsid w:val="00A97A84"/>
    <w:rPr>
      <w:vertAlign w:val="superscript"/>
    </w:rPr>
  </w:style>
  <w:style w:type="paragraph" w:customStyle="1" w:styleId="Char3">
    <w:name w:val="Char"/>
    <w:basedOn w:val="a0"/>
    <w:qFormat/>
    <w:rsid w:val="00A97A84"/>
  </w:style>
  <w:style w:type="character" w:customStyle="1" w:styleId="Char1">
    <w:name w:val="页眉 Char"/>
    <w:link w:val="a7"/>
    <w:qFormat/>
    <w:rsid w:val="00A97A84"/>
    <w:rPr>
      <w:kern w:val="2"/>
      <w:sz w:val="18"/>
      <w:szCs w:val="18"/>
    </w:rPr>
  </w:style>
  <w:style w:type="character" w:customStyle="1" w:styleId="Char0">
    <w:name w:val="页脚 Char"/>
    <w:link w:val="a6"/>
    <w:qFormat/>
    <w:rsid w:val="00A97A84"/>
    <w:rPr>
      <w:kern w:val="2"/>
      <w:sz w:val="18"/>
      <w:szCs w:val="18"/>
    </w:rPr>
  </w:style>
  <w:style w:type="character" w:customStyle="1" w:styleId="Char2">
    <w:name w:val="标题 Char"/>
    <w:link w:val="a"/>
    <w:qFormat/>
    <w:rsid w:val="00A97A84"/>
    <w:rPr>
      <w:rFonts w:ascii="Calibri" w:hAnsi="Calibri"/>
      <w:b/>
      <w:bCs/>
      <w:kern w:val="44"/>
      <w:sz w:val="28"/>
      <w:szCs w:val="44"/>
      <w:lang w:val="zh-CN" w:eastAsia="zh-CN"/>
    </w:rPr>
  </w:style>
  <w:style w:type="character" w:styleId="ab">
    <w:name w:val="Placeholder Text"/>
    <w:basedOn w:val="a1"/>
    <w:uiPriority w:val="99"/>
    <w:semiHidden/>
    <w:qFormat/>
    <w:rsid w:val="00A97A84"/>
    <w:rPr>
      <w:color w:val="808080"/>
    </w:rPr>
  </w:style>
  <w:style w:type="paragraph" w:customStyle="1" w:styleId="TOC1">
    <w:name w:val="TOC 标题1"/>
    <w:uiPriority w:val="39"/>
    <w:semiHidden/>
    <w:unhideWhenUsed/>
    <w:qFormat/>
    <w:rsid w:val="00A97A84"/>
    <w:rPr>
      <w:lang w:eastAsia="ja-JP"/>
    </w:rPr>
  </w:style>
  <w:style w:type="character" w:customStyle="1" w:styleId="Char">
    <w:name w:val="批注框文本 Char"/>
    <w:link w:val="a5"/>
    <w:uiPriority w:val="99"/>
    <w:semiHidden/>
    <w:qFormat/>
    <w:rsid w:val="00A97A84"/>
    <w:rPr>
      <w:rFonts w:ascii="Tahoma" w:hAnsi="Tahoma" w:cs="Tahoma"/>
      <w:sz w:val="16"/>
      <w:szCs w:val="16"/>
    </w:rPr>
  </w:style>
  <w:style w:type="paragraph" w:styleId="ac">
    <w:name w:val="List Paragraph"/>
    <w:basedOn w:val="a0"/>
    <w:uiPriority w:val="99"/>
    <w:rsid w:val="00A97A8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tNetWorkSpace\smartdoc\&#20849;&#21516;&#22522;&#37329;_&#20020;&#26102;&#20844;&#21578;(&#22522;&#37329;&#26242;&#20572;&#22823;&#39069;&#30003;&#36141;&#31561;&#19994;&#21153;&#20844;&#21578;)_LS0000_&#20844;&#21215;&#20020;&#26102;&#20844;&#21578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共同基金_临时公告(基金暂停大额申购等业务公告)_LS0000_公募临时公告.dotx</Template>
  <TotalTime>0</TotalTime>
  <Pages>2</Pages>
  <Words>190</Words>
  <Characters>1089</Characters>
  <Application>Microsoft Office Word</Application>
  <DocSecurity>4</DocSecurity>
  <Lines>9</Lines>
  <Paragraphs>2</Paragraphs>
  <ScaleCrop>false</ScaleCrop>
  <Company>fullgoal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基金暂停/恢复（大额）申购（、转换转入、赎回、转换转出、定期定额投资）公告</dc:title>
  <dc:creator>bianliya</dc:creator>
  <cp:lastModifiedBy>ZHONGM</cp:lastModifiedBy>
  <cp:revision>2</cp:revision>
  <dcterms:created xsi:type="dcterms:W3CDTF">2024-11-19T16:02:00Z</dcterms:created>
  <dcterms:modified xsi:type="dcterms:W3CDTF">2024-11-19T16:02:00Z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ECECEB6B5BBF43E9970DDFE74BB2A7B2</vt:lpwstr>
  </property>
</Properties>
</file>