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67" w:rsidRDefault="00253B90">
      <w:pPr>
        <w:widowControl/>
        <w:shd w:val="clear" w:color="auto" w:fill="FFFFFF"/>
        <w:spacing w:line="360" w:lineRule="auto"/>
        <w:contextualSpacing/>
        <w:jc w:val="center"/>
        <w:outlineLvl w:val="1"/>
        <w:rPr>
          <w:rFonts w:ascii="Times New Roman" w:hAnsi="Times New Roman" w:cs="Times New Roman"/>
          <w:b/>
          <w:bCs/>
          <w:kern w:val="36"/>
          <w:sz w:val="24"/>
          <w:szCs w:val="24"/>
        </w:rPr>
      </w:pPr>
      <w:bookmarkStart w:id="0" w:name="_GoBack"/>
      <w:r>
        <w:rPr>
          <w:rFonts w:ascii="Times New Roman" w:hAnsi="Times New Roman" w:cs="Times New Roman"/>
          <w:b/>
          <w:sz w:val="24"/>
          <w:szCs w:val="24"/>
        </w:rPr>
        <w:t>富国基金管理有限公司关于</w:t>
      </w:r>
      <w:r w:rsidR="00B011B4">
        <w:rPr>
          <w:rFonts w:ascii="Times New Roman" w:hAnsi="Times New Roman" w:cs="Times New Roman" w:hint="eastAsia"/>
          <w:b/>
          <w:sz w:val="24"/>
          <w:szCs w:val="24"/>
        </w:rPr>
        <w:t>富国上证科创板</w:t>
      </w:r>
      <w:r w:rsidR="00B011B4">
        <w:rPr>
          <w:rFonts w:ascii="Times New Roman" w:hAnsi="Times New Roman" w:cs="Times New Roman" w:hint="eastAsia"/>
          <w:b/>
          <w:sz w:val="24"/>
          <w:szCs w:val="24"/>
        </w:rPr>
        <w:t>100</w:t>
      </w:r>
      <w:r w:rsidR="00B011B4">
        <w:rPr>
          <w:rFonts w:ascii="Times New Roman" w:hAnsi="Times New Roman" w:cs="Times New Roman" w:hint="eastAsia"/>
          <w:b/>
          <w:sz w:val="24"/>
          <w:szCs w:val="24"/>
        </w:rPr>
        <w:t>指数型发起式证券投资基金</w:t>
      </w:r>
      <w:r>
        <w:rPr>
          <w:rFonts w:ascii="Times New Roman" w:hAnsi="Times New Roman" w:cs="Times New Roman"/>
          <w:b/>
          <w:bCs/>
          <w:kern w:val="36"/>
          <w:sz w:val="24"/>
          <w:szCs w:val="24"/>
        </w:rPr>
        <w:t>提前结束募集的公告</w:t>
      </w:r>
    </w:p>
    <w:bookmarkEnd w:id="0"/>
    <w:p w:rsidR="00812467" w:rsidRDefault="00812467">
      <w:pPr>
        <w:widowControl/>
        <w:shd w:val="clear" w:color="auto" w:fill="FFFFFF"/>
        <w:spacing w:line="360" w:lineRule="auto"/>
        <w:contextualSpacing/>
        <w:jc w:val="center"/>
        <w:outlineLvl w:val="1"/>
        <w:rPr>
          <w:rFonts w:ascii="Times New Roman" w:hAnsi="Times New Roman" w:cs="Times New Roman"/>
          <w:b/>
          <w:bCs/>
          <w:kern w:val="36"/>
          <w:sz w:val="24"/>
          <w:szCs w:val="24"/>
        </w:rPr>
      </w:pPr>
    </w:p>
    <w:p w:rsidR="00812467" w:rsidRDefault="00B011B4">
      <w:pPr>
        <w:widowControl/>
        <w:shd w:val="clear" w:color="auto" w:fill="FFFFFF"/>
        <w:spacing w:line="360" w:lineRule="auto"/>
        <w:ind w:firstLineChars="200" w:firstLine="480"/>
        <w:contextualSpacing/>
        <w:jc w:val="left"/>
        <w:rPr>
          <w:rFonts w:ascii="Times New Roman" w:hAnsi="Times New Roman" w:cs="Times New Roman"/>
          <w:kern w:val="0"/>
          <w:sz w:val="24"/>
          <w:szCs w:val="24"/>
        </w:rPr>
      </w:pPr>
      <w:r>
        <w:rPr>
          <w:rFonts w:ascii="Times New Roman" w:hAnsi="Times New Roman" w:cs="Times New Roman" w:hint="eastAsia"/>
          <w:sz w:val="24"/>
        </w:rPr>
        <w:t>富国上证科创板</w:t>
      </w:r>
      <w:r>
        <w:rPr>
          <w:rFonts w:ascii="Times New Roman" w:hAnsi="Times New Roman" w:cs="Times New Roman" w:hint="eastAsia"/>
          <w:sz w:val="24"/>
        </w:rPr>
        <w:t>100</w:t>
      </w:r>
      <w:r>
        <w:rPr>
          <w:rFonts w:ascii="Times New Roman" w:hAnsi="Times New Roman" w:cs="Times New Roman" w:hint="eastAsia"/>
          <w:sz w:val="24"/>
        </w:rPr>
        <w:t>指数型发起式证券投资基金</w:t>
      </w:r>
      <w:r w:rsidR="00253B90">
        <w:rPr>
          <w:rFonts w:ascii="Times New Roman" w:hAnsi="Times New Roman" w:cs="Times New Roman"/>
          <w:sz w:val="24"/>
        </w:rPr>
        <w:t>（以下简称</w:t>
      </w:r>
      <w:r w:rsidR="00253B90">
        <w:rPr>
          <w:rFonts w:ascii="Times New Roman" w:hAnsi="Times New Roman" w:cs="Times New Roman"/>
          <w:sz w:val="24"/>
        </w:rPr>
        <w:t>“</w:t>
      </w:r>
      <w:r w:rsidR="00253B90">
        <w:rPr>
          <w:rFonts w:ascii="Times New Roman" w:hAnsi="Times New Roman" w:cs="Times New Roman"/>
          <w:sz w:val="24"/>
        </w:rPr>
        <w:t>本基金</w:t>
      </w:r>
      <w:r w:rsidR="00253B90">
        <w:rPr>
          <w:rFonts w:ascii="Times New Roman" w:hAnsi="Times New Roman" w:cs="Times New Roman"/>
          <w:sz w:val="24"/>
        </w:rPr>
        <w:t>”</w:t>
      </w:r>
      <w:r w:rsidR="00253B90">
        <w:rPr>
          <w:rFonts w:ascii="Times New Roman" w:hAnsi="Times New Roman" w:cs="Times New Roman"/>
          <w:sz w:val="24"/>
        </w:rPr>
        <w:t>）根据</w:t>
      </w:r>
      <w:r w:rsidR="00AE7508">
        <w:rPr>
          <w:rFonts w:ascii="Times New Roman" w:hAnsi="Times New Roman" w:cs="Times New Roman"/>
          <w:sz w:val="24"/>
        </w:rPr>
        <w:t>2024</w:t>
      </w:r>
      <w:r w:rsidR="00253B90">
        <w:rPr>
          <w:rFonts w:ascii="Times New Roman" w:hAnsi="Times New Roman" w:cs="Times New Roman"/>
          <w:sz w:val="24"/>
        </w:rPr>
        <w:t>年</w:t>
      </w:r>
      <w:r w:rsidR="00AE7508">
        <w:rPr>
          <w:rFonts w:ascii="Times New Roman" w:hAnsi="Times New Roman" w:cs="Times New Roman" w:hint="eastAsia"/>
          <w:sz w:val="24"/>
        </w:rPr>
        <w:t>4</w:t>
      </w:r>
      <w:r w:rsidR="00253B90">
        <w:rPr>
          <w:rFonts w:ascii="Times New Roman" w:hAnsi="Times New Roman" w:cs="Times New Roman"/>
          <w:sz w:val="24"/>
        </w:rPr>
        <w:t>月</w:t>
      </w:r>
      <w:r w:rsidR="00AE7508">
        <w:rPr>
          <w:rFonts w:ascii="Times New Roman" w:hAnsi="Times New Roman" w:cs="Times New Roman"/>
          <w:sz w:val="24"/>
        </w:rPr>
        <w:t>7</w:t>
      </w:r>
      <w:r w:rsidR="00253B90">
        <w:rPr>
          <w:rFonts w:ascii="Times New Roman" w:hAnsi="Times New Roman" w:cs="Times New Roman"/>
          <w:sz w:val="24"/>
        </w:rPr>
        <w:t>日中国证监会准予注册的批复（证监许可</w:t>
      </w:r>
      <w:r w:rsidR="00253B90">
        <w:rPr>
          <w:rFonts w:ascii="Times New Roman" w:hAnsi="Times New Roman" w:cs="Times New Roman" w:hint="eastAsia"/>
          <w:sz w:val="24"/>
        </w:rPr>
        <w:t>【</w:t>
      </w:r>
      <w:r>
        <w:rPr>
          <w:rFonts w:ascii="Times New Roman" w:hAnsi="Times New Roman" w:cs="Times New Roman" w:hint="eastAsia"/>
          <w:sz w:val="24"/>
        </w:rPr>
        <w:t>202</w:t>
      </w:r>
      <w:r>
        <w:rPr>
          <w:rFonts w:ascii="Times New Roman" w:hAnsi="Times New Roman" w:cs="Times New Roman"/>
          <w:sz w:val="24"/>
        </w:rPr>
        <w:t>4</w:t>
      </w:r>
      <w:r w:rsidR="00253B90">
        <w:rPr>
          <w:rFonts w:ascii="Times New Roman" w:hAnsi="Times New Roman" w:cs="Times New Roman" w:hint="eastAsia"/>
          <w:sz w:val="24"/>
        </w:rPr>
        <w:t>】</w:t>
      </w:r>
      <w:r>
        <w:rPr>
          <w:rFonts w:ascii="Times New Roman" w:hAnsi="Times New Roman" w:cs="Times New Roman"/>
          <w:sz w:val="24"/>
        </w:rPr>
        <w:t>556</w:t>
      </w:r>
      <w:r w:rsidR="00253B90">
        <w:rPr>
          <w:rFonts w:ascii="Times New Roman" w:hAnsi="Times New Roman" w:cs="Times New Roman"/>
          <w:sz w:val="24"/>
        </w:rPr>
        <w:t>号）进行募集。</w:t>
      </w:r>
      <w:r w:rsidR="00253B90">
        <w:rPr>
          <w:rFonts w:ascii="Times New Roman" w:hAnsi="Times New Roman" w:cs="Times New Roman"/>
          <w:kern w:val="0"/>
          <w:sz w:val="24"/>
          <w:szCs w:val="24"/>
        </w:rPr>
        <w:t>本基金已于</w:t>
      </w:r>
      <w:r w:rsidR="00AE7508">
        <w:rPr>
          <w:rFonts w:ascii="Times New Roman" w:hAnsi="Times New Roman" w:cs="Times New Roman"/>
          <w:sz w:val="24"/>
        </w:rPr>
        <w:t>2024</w:t>
      </w:r>
      <w:r w:rsidR="00253B90">
        <w:rPr>
          <w:rFonts w:ascii="Times New Roman" w:hAnsi="Times New Roman" w:cs="Times New Roman"/>
          <w:sz w:val="24"/>
        </w:rPr>
        <w:t>年</w:t>
      </w:r>
      <w:r w:rsidR="00AE7508">
        <w:rPr>
          <w:rFonts w:ascii="Times New Roman" w:hAnsi="Times New Roman" w:cs="Times New Roman"/>
          <w:sz w:val="24"/>
        </w:rPr>
        <w:t>9</w:t>
      </w:r>
      <w:r w:rsidR="00253B90">
        <w:rPr>
          <w:rFonts w:ascii="Times New Roman" w:hAnsi="Times New Roman" w:cs="Times New Roman"/>
          <w:sz w:val="24"/>
        </w:rPr>
        <w:t>月</w:t>
      </w:r>
      <w:r w:rsidR="00AE7508">
        <w:rPr>
          <w:rFonts w:ascii="Times New Roman" w:hAnsi="Times New Roman" w:cs="Times New Roman"/>
          <w:sz w:val="24"/>
        </w:rPr>
        <w:t>30</w:t>
      </w:r>
      <w:r w:rsidR="00253B90">
        <w:rPr>
          <w:rFonts w:ascii="Times New Roman" w:hAnsi="Times New Roman" w:cs="Times New Roman"/>
          <w:sz w:val="24"/>
        </w:rPr>
        <w:t>日</w:t>
      </w:r>
      <w:r w:rsidR="00253B90">
        <w:rPr>
          <w:rFonts w:ascii="Times New Roman" w:hAnsi="Times New Roman" w:cs="Times New Roman"/>
          <w:kern w:val="0"/>
          <w:sz w:val="24"/>
          <w:szCs w:val="24"/>
        </w:rPr>
        <w:t>开始募集，原定认购截止日为</w:t>
      </w:r>
      <w:r w:rsidR="00AE7508">
        <w:rPr>
          <w:rFonts w:ascii="Times New Roman" w:hAnsi="Times New Roman" w:cs="Times New Roman"/>
          <w:sz w:val="24"/>
        </w:rPr>
        <w:t>2024</w:t>
      </w:r>
      <w:r w:rsidR="00253B90">
        <w:rPr>
          <w:rFonts w:ascii="Times New Roman" w:hAnsi="Times New Roman" w:cs="Times New Roman"/>
          <w:sz w:val="24"/>
        </w:rPr>
        <w:t>年</w:t>
      </w:r>
      <w:r w:rsidR="00AE7508">
        <w:rPr>
          <w:rFonts w:ascii="Times New Roman" w:hAnsi="Times New Roman" w:cs="Times New Roman"/>
          <w:sz w:val="24"/>
        </w:rPr>
        <w:t>12</w:t>
      </w:r>
      <w:r w:rsidR="00253B90">
        <w:rPr>
          <w:rFonts w:ascii="Times New Roman" w:hAnsi="Times New Roman" w:cs="Times New Roman"/>
          <w:sz w:val="24"/>
        </w:rPr>
        <w:t>月</w:t>
      </w:r>
      <w:r w:rsidR="00253B90">
        <w:rPr>
          <w:rFonts w:ascii="Times New Roman" w:hAnsi="Times New Roman" w:cs="Times New Roman" w:hint="eastAsia"/>
          <w:sz w:val="24"/>
        </w:rPr>
        <w:t>2</w:t>
      </w:r>
      <w:r w:rsidR="00AE7508">
        <w:rPr>
          <w:rFonts w:ascii="Times New Roman" w:hAnsi="Times New Roman" w:cs="Times New Roman"/>
          <w:sz w:val="24"/>
        </w:rPr>
        <w:t>7</w:t>
      </w:r>
      <w:r w:rsidR="00253B90">
        <w:rPr>
          <w:rFonts w:ascii="Times New Roman" w:hAnsi="Times New Roman" w:cs="Times New Roman"/>
          <w:sz w:val="24"/>
        </w:rPr>
        <w:t>日</w:t>
      </w:r>
      <w:r w:rsidR="00253B90">
        <w:rPr>
          <w:rFonts w:ascii="Times New Roman" w:hAnsi="Times New Roman" w:cs="Times New Roman" w:hint="eastAsia"/>
          <w:kern w:val="0"/>
          <w:sz w:val="24"/>
          <w:szCs w:val="24"/>
        </w:rPr>
        <w:t>。</w:t>
      </w:r>
    </w:p>
    <w:p w:rsidR="00812467" w:rsidRDefault="00253B90">
      <w:pPr>
        <w:widowControl/>
        <w:shd w:val="clear" w:color="auto" w:fill="FFFFFF"/>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为了更好地保护投资者利益，根据《</w:t>
      </w:r>
      <w:r w:rsidR="00B011B4">
        <w:rPr>
          <w:rFonts w:ascii="Times New Roman" w:hAnsi="Times New Roman" w:cs="Times New Roman" w:hint="eastAsia"/>
          <w:sz w:val="24"/>
        </w:rPr>
        <w:t>富国上证科创板</w:t>
      </w:r>
      <w:r w:rsidR="00B011B4">
        <w:rPr>
          <w:rFonts w:ascii="Times New Roman" w:hAnsi="Times New Roman" w:cs="Times New Roman" w:hint="eastAsia"/>
          <w:sz w:val="24"/>
        </w:rPr>
        <w:t>100</w:t>
      </w:r>
      <w:r w:rsidR="00B011B4">
        <w:rPr>
          <w:rFonts w:ascii="Times New Roman" w:hAnsi="Times New Roman" w:cs="Times New Roman" w:hint="eastAsia"/>
          <w:sz w:val="24"/>
        </w:rPr>
        <w:t>指数型发起式证券投资基金</w:t>
      </w:r>
      <w:r>
        <w:rPr>
          <w:rFonts w:ascii="Times New Roman" w:hAnsi="Times New Roman" w:cs="Times New Roman" w:hint="eastAsia"/>
          <w:kern w:val="0"/>
          <w:sz w:val="24"/>
          <w:szCs w:val="24"/>
        </w:rPr>
        <w:t>招募说明书》、《</w:t>
      </w:r>
      <w:r w:rsidR="00B011B4">
        <w:rPr>
          <w:rFonts w:ascii="Times New Roman" w:hAnsi="Times New Roman" w:cs="Times New Roman" w:hint="eastAsia"/>
          <w:sz w:val="24"/>
        </w:rPr>
        <w:t>富国上证科创板</w:t>
      </w:r>
      <w:r w:rsidR="00B011B4">
        <w:rPr>
          <w:rFonts w:ascii="Times New Roman" w:hAnsi="Times New Roman" w:cs="Times New Roman" w:hint="eastAsia"/>
          <w:sz w:val="24"/>
        </w:rPr>
        <w:t>100</w:t>
      </w:r>
      <w:r w:rsidR="00B011B4">
        <w:rPr>
          <w:rFonts w:ascii="Times New Roman" w:hAnsi="Times New Roman" w:cs="Times New Roman" w:hint="eastAsia"/>
          <w:sz w:val="24"/>
        </w:rPr>
        <w:t>指数型发起式证券投资基金</w:t>
      </w:r>
      <w:r>
        <w:rPr>
          <w:rFonts w:ascii="Times New Roman" w:hAnsi="Times New Roman" w:cs="Times New Roman" w:hint="eastAsia"/>
          <w:kern w:val="0"/>
          <w:sz w:val="24"/>
          <w:szCs w:val="24"/>
        </w:rPr>
        <w:t>基金份额发售公告》的约定，本基金的募集截止日提前至</w:t>
      </w:r>
      <w:r w:rsidR="00AE7508">
        <w:rPr>
          <w:rFonts w:ascii="Times New Roman" w:hAnsi="Times New Roman" w:cs="Times New Roman" w:hint="eastAsia"/>
          <w:kern w:val="0"/>
          <w:sz w:val="24"/>
          <w:szCs w:val="24"/>
        </w:rPr>
        <w:t>202</w:t>
      </w:r>
      <w:r w:rsidR="00AE7508">
        <w:rPr>
          <w:rFonts w:ascii="Times New Roman" w:hAnsi="Times New Roman" w:cs="Times New Roman"/>
          <w:kern w:val="0"/>
          <w:sz w:val="24"/>
          <w:szCs w:val="24"/>
        </w:rPr>
        <w:t>4</w:t>
      </w:r>
      <w:r>
        <w:rPr>
          <w:rFonts w:ascii="Times New Roman" w:hAnsi="Times New Roman" w:cs="Times New Roman" w:hint="eastAsia"/>
          <w:kern w:val="0"/>
          <w:sz w:val="24"/>
          <w:szCs w:val="24"/>
        </w:rPr>
        <w:t>年</w:t>
      </w:r>
      <w:r w:rsidR="00830167">
        <w:rPr>
          <w:rFonts w:ascii="Times New Roman" w:hAnsi="Times New Roman" w:cs="Times New Roman"/>
          <w:kern w:val="0"/>
          <w:sz w:val="24"/>
          <w:szCs w:val="24"/>
        </w:rPr>
        <w:t>12</w:t>
      </w:r>
      <w:r>
        <w:rPr>
          <w:rFonts w:ascii="Times New Roman" w:hAnsi="Times New Roman" w:cs="Times New Roman" w:hint="eastAsia"/>
          <w:kern w:val="0"/>
          <w:sz w:val="24"/>
          <w:szCs w:val="24"/>
        </w:rPr>
        <w:t>月</w:t>
      </w:r>
      <w:r w:rsidR="00830167">
        <w:rPr>
          <w:rFonts w:ascii="Times New Roman" w:hAnsi="Times New Roman" w:cs="Times New Roman"/>
          <w:kern w:val="0"/>
          <w:sz w:val="24"/>
          <w:szCs w:val="24"/>
        </w:rPr>
        <w:t>6</w:t>
      </w:r>
      <w:r>
        <w:rPr>
          <w:rFonts w:ascii="Times New Roman" w:hAnsi="Times New Roman" w:cs="Times New Roman" w:hint="eastAsia"/>
          <w:kern w:val="0"/>
          <w:sz w:val="24"/>
          <w:szCs w:val="24"/>
        </w:rPr>
        <w:t>日，并自</w:t>
      </w:r>
      <w:r w:rsidR="00AE7508">
        <w:rPr>
          <w:rFonts w:ascii="Times New Roman" w:hAnsi="Times New Roman" w:cs="Times New Roman" w:hint="eastAsia"/>
          <w:kern w:val="0"/>
          <w:sz w:val="24"/>
          <w:szCs w:val="24"/>
        </w:rPr>
        <w:t>202</w:t>
      </w:r>
      <w:r w:rsidR="00AE7508">
        <w:rPr>
          <w:rFonts w:ascii="Times New Roman" w:hAnsi="Times New Roman" w:cs="Times New Roman"/>
          <w:kern w:val="0"/>
          <w:sz w:val="24"/>
          <w:szCs w:val="24"/>
        </w:rPr>
        <w:t>4</w:t>
      </w:r>
      <w:r>
        <w:rPr>
          <w:rFonts w:ascii="Times New Roman" w:hAnsi="Times New Roman" w:cs="Times New Roman" w:hint="eastAsia"/>
          <w:kern w:val="0"/>
          <w:sz w:val="24"/>
          <w:szCs w:val="24"/>
        </w:rPr>
        <w:t>年</w:t>
      </w:r>
      <w:r w:rsidR="00830167">
        <w:rPr>
          <w:rFonts w:ascii="Times New Roman" w:hAnsi="Times New Roman" w:cs="Times New Roman" w:hint="eastAsia"/>
          <w:kern w:val="0"/>
          <w:sz w:val="24"/>
          <w:szCs w:val="24"/>
        </w:rPr>
        <w:t>1</w:t>
      </w:r>
      <w:r w:rsidR="00830167">
        <w:rPr>
          <w:rFonts w:ascii="Times New Roman" w:hAnsi="Times New Roman" w:cs="Times New Roman"/>
          <w:kern w:val="0"/>
          <w:sz w:val="24"/>
          <w:szCs w:val="24"/>
        </w:rPr>
        <w:t>2</w:t>
      </w:r>
      <w:r>
        <w:rPr>
          <w:rFonts w:ascii="Times New Roman" w:hAnsi="Times New Roman" w:cs="Times New Roman" w:hint="eastAsia"/>
          <w:kern w:val="0"/>
          <w:sz w:val="24"/>
          <w:szCs w:val="24"/>
        </w:rPr>
        <w:t>月</w:t>
      </w:r>
      <w:r w:rsidR="00830167">
        <w:rPr>
          <w:rFonts w:ascii="Times New Roman" w:hAnsi="Times New Roman" w:cs="Times New Roman"/>
          <w:kern w:val="0"/>
          <w:sz w:val="24"/>
          <w:szCs w:val="24"/>
        </w:rPr>
        <w:t>7</w:t>
      </w:r>
      <w:r>
        <w:rPr>
          <w:rFonts w:ascii="Times New Roman" w:hAnsi="Times New Roman" w:cs="Times New Roman" w:hint="eastAsia"/>
          <w:kern w:val="0"/>
          <w:sz w:val="24"/>
          <w:szCs w:val="24"/>
        </w:rPr>
        <w:t>日起不再接受认购申请，提前结束募集。</w:t>
      </w:r>
    </w:p>
    <w:p w:rsidR="00812467" w:rsidRDefault="00253B90">
      <w:pPr>
        <w:spacing w:line="360" w:lineRule="auto"/>
        <w:ind w:firstLine="420"/>
        <w:rPr>
          <w:rFonts w:ascii="Times New Roman" w:hAnsi="Times New Roman" w:cs="Times New Roman"/>
          <w:sz w:val="24"/>
          <w:szCs w:val="24"/>
        </w:rPr>
      </w:pPr>
      <w:r>
        <w:rPr>
          <w:rFonts w:ascii="Times New Roman" w:hAnsi="Times New Roman" w:cs="Times New Roman"/>
          <w:sz w:val="24"/>
          <w:szCs w:val="24"/>
        </w:rPr>
        <w:t>投资者可以登陆本公司网站</w:t>
      </w:r>
      <w:r>
        <w:rPr>
          <w:rFonts w:ascii="Times New Roman" w:hAnsi="Times New Roman" w:cs="Times New Roman"/>
          <w:sz w:val="24"/>
          <w:szCs w:val="24"/>
        </w:rPr>
        <w:t>www.fullgoal.com.cn</w:t>
      </w:r>
      <w:r>
        <w:rPr>
          <w:rFonts w:ascii="Times New Roman" w:hAnsi="Times New Roman" w:cs="Times New Roman"/>
          <w:sz w:val="24"/>
          <w:szCs w:val="24"/>
        </w:rPr>
        <w:t>或拨打本公司客户服务热线</w:t>
      </w:r>
      <w:r>
        <w:rPr>
          <w:rFonts w:ascii="Times New Roman" w:hAnsi="Times New Roman" w:cs="Times New Roman"/>
          <w:sz w:val="24"/>
          <w:szCs w:val="24"/>
        </w:rPr>
        <w:t>95105686</w:t>
      </w:r>
      <w:r>
        <w:rPr>
          <w:rFonts w:ascii="Times New Roman" w:hAnsi="Times New Roman" w:cs="Times New Roman"/>
          <w:sz w:val="24"/>
          <w:szCs w:val="24"/>
        </w:rPr>
        <w:t>、</w:t>
      </w:r>
      <w:r>
        <w:rPr>
          <w:rFonts w:ascii="Times New Roman" w:hAnsi="Times New Roman" w:cs="Times New Roman"/>
          <w:sz w:val="24"/>
          <w:szCs w:val="24"/>
        </w:rPr>
        <w:t>4008880688</w:t>
      </w:r>
      <w:r>
        <w:rPr>
          <w:rFonts w:ascii="Times New Roman" w:hAnsi="Times New Roman" w:cs="Times New Roman"/>
          <w:sz w:val="24"/>
          <w:szCs w:val="24"/>
        </w:rPr>
        <w:t>（全国统一，均免长途费）进行相关咨询。</w:t>
      </w:r>
    </w:p>
    <w:p w:rsidR="00812467" w:rsidRDefault="00253B90">
      <w:pPr>
        <w:spacing w:line="360" w:lineRule="auto"/>
        <w:ind w:firstLine="420"/>
        <w:rPr>
          <w:rFonts w:ascii="Times New Roman" w:hAnsi="Times New Roman" w:cs="Times New Roman"/>
          <w:sz w:val="24"/>
          <w:szCs w:val="24"/>
        </w:rPr>
      </w:pPr>
      <w:r>
        <w:rPr>
          <w:rFonts w:ascii="Times New Roman" w:hAnsi="Times New Roman" w:cs="Times New Roman"/>
          <w:sz w:val="24"/>
          <w:szCs w:val="24"/>
        </w:rPr>
        <w:t>风险提示：基金管理人承诺以诚实信用、勤勉尽责的原则管理和运用基金资产，但不保证一定盈利，也不保证最低收益。敬请投资者注意投资风险。投资者投资于本基金前应认真阅读本基金的基金合同和招募说明书</w:t>
      </w:r>
      <w:r>
        <w:rPr>
          <w:rFonts w:ascii="Times New Roman" w:hAnsi="Times New Roman" w:cs="Times New Roman" w:hint="eastAsia"/>
          <w:sz w:val="24"/>
          <w:szCs w:val="24"/>
        </w:rPr>
        <w:t>等文件，充分了解本基金的风险收益特征，审慎做出投资决定</w:t>
      </w:r>
      <w:r>
        <w:rPr>
          <w:rFonts w:ascii="Times New Roman" w:hAnsi="Times New Roman" w:cs="Times New Roman"/>
          <w:sz w:val="24"/>
          <w:szCs w:val="24"/>
        </w:rPr>
        <w:t>。</w:t>
      </w:r>
    </w:p>
    <w:p w:rsidR="00812467" w:rsidRDefault="00253B90">
      <w:pPr>
        <w:widowControl/>
        <w:shd w:val="clear" w:color="auto" w:fill="FFFFFF"/>
        <w:spacing w:line="360" w:lineRule="auto"/>
        <w:ind w:firstLineChars="200" w:firstLine="480"/>
        <w:contextualSpacing/>
        <w:jc w:val="left"/>
        <w:rPr>
          <w:rFonts w:ascii="Times New Roman" w:hAnsi="Times New Roman" w:cs="Times New Roman"/>
          <w:sz w:val="24"/>
          <w:szCs w:val="24"/>
        </w:rPr>
      </w:pPr>
      <w:r>
        <w:rPr>
          <w:rFonts w:ascii="Times New Roman" w:hAnsi="Times New Roman" w:cs="Times New Roman"/>
          <w:sz w:val="24"/>
          <w:szCs w:val="24"/>
        </w:rPr>
        <w:t>特此公告。</w:t>
      </w:r>
    </w:p>
    <w:p w:rsidR="00812467" w:rsidRDefault="00812467">
      <w:pPr>
        <w:widowControl/>
        <w:shd w:val="clear" w:color="auto" w:fill="FFFFFF"/>
        <w:spacing w:line="360" w:lineRule="auto"/>
        <w:ind w:firstLineChars="200" w:firstLine="480"/>
        <w:contextualSpacing/>
        <w:jc w:val="left"/>
        <w:rPr>
          <w:rFonts w:ascii="Times New Roman" w:hAnsi="Times New Roman" w:cs="Times New Roman"/>
          <w:kern w:val="0"/>
          <w:sz w:val="24"/>
          <w:szCs w:val="24"/>
        </w:rPr>
      </w:pPr>
    </w:p>
    <w:p w:rsidR="00812467" w:rsidRDefault="00253B90">
      <w:pPr>
        <w:widowControl/>
        <w:shd w:val="clear" w:color="auto" w:fill="FFFFFF"/>
        <w:spacing w:line="360" w:lineRule="auto"/>
        <w:ind w:firstLine="405"/>
        <w:contextualSpacing/>
        <w:jc w:val="right"/>
        <w:rPr>
          <w:rFonts w:ascii="Times New Roman" w:hAnsi="Times New Roman" w:cs="Times New Roman"/>
          <w:kern w:val="0"/>
          <w:sz w:val="24"/>
          <w:szCs w:val="24"/>
        </w:rPr>
      </w:pPr>
      <w:r>
        <w:rPr>
          <w:rFonts w:ascii="Times New Roman" w:hAnsi="Times New Roman" w:cs="Times New Roman"/>
          <w:kern w:val="0"/>
          <w:sz w:val="24"/>
          <w:szCs w:val="24"/>
        </w:rPr>
        <w:t>富国基金管理有限公司</w:t>
      </w:r>
    </w:p>
    <w:p w:rsidR="00812467" w:rsidRDefault="00AE7508">
      <w:pPr>
        <w:widowControl/>
        <w:shd w:val="clear" w:color="auto" w:fill="FFFFFF"/>
        <w:spacing w:line="360" w:lineRule="auto"/>
        <w:ind w:firstLine="405"/>
        <w:contextualSpacing/>
        <w:jc w:val="right"/>
        <w:rPr>
          <w:rFonts w:ascii="Times New Roman" w:hAnsi="Times New Roman" w:cs="Times New Roman"/>
          <w:kern w:val="0"/>
          <w:sz w:val="24"/>
          <w:szCs w:val="24"/>
        </w:rPr>
      </w:pPr>
      <w:r>
        <w:rPr>
          <w:rFonts w:ascii="Times New Roman" w:hAnsi="Times New Roman" w:cs="Times New Roman"/>
          <w:kern w:val="0"/>
          <w:sz w:val="24"/>
          <w:szCs w:val="24"/>
        </w:rPr>
        <w:t>2024</w:t>
      </w:r>
      <w:r w:rsidR="00253B90">
        <w:rPr>
          <w:rFonts w:ascii="Times New Roman" w:hAnsi="Times New Roman" w:cs="Times New Roman"/>
          <w:kern w:val="0"/>
          <w:sz w:val="24"/>
          <w:szCs w:val="24"/>
        </w:rPr>
        <w:t>年</w:t>
      </w:r>
      <w:r>
        <w:rPr>
          <w:rFonts w:ascii="Times New Roman" w:hAnsi="Times New Roman" w:cs="Times New Roman"/>
          <w:kern w:val="0"/>
          <w:sz w:val="24"/>
          <w:szCs w:val="24"/>
        </w:rPr>
        <w:t>11</w:t>
      </w:r>
      <w:r w:rsidR="00253B90">
        <w:rPr>
          <w:rFonts w:ascii="Times New Roman" w:hAnsi="Times New Roman" w:cs="Times New Roman"/>
          <w:kern w:val="0"/>
          <w:sz w:val="24"/>
          <w:szCs w:val="24"/>
        </w:rPr>
        <w:t>月</w:t>
      </w:r>
      <w:r w:rsidR="003F436F">
        <w:rPr>
          <w:rFonts w:ascii="Times New Roman" w:hAnsi="Times New Roman" w:cs="Times New Roman"/>
          <w:kern w:val="0"/>
          <w:sz w:val="24"/>
          <w:szCs w:val="24"/>
        </w:rPr>
        <w:t>20</w:t>
      </w:r>
      <w:r w:rsidR="00253B90">
        <w:rPr>
          <w:rFonts w:ascii="Times New Roman" w:hAnsi="Times New Roman" w:cs="Times New Roman"/>
          <w:kern w:val="0"/>
          <w:sz w:val="24"/>
          <w:szCs w:val="24"/>
        </w:rPr>
        <w:t>日</w:t>
      </w:r>
    </w:p>
    <w:p w:rsidR="00812467" w:rsidRDefault="00812467">
      <w:pPr>
        <w:rPr>
          <w:rFonts w:ascii="Times New Roman" w:hAnsi="Times New Roman" w:cs="Times New Roman"/>
        </w:rPr>
      </w:pPr>
    </w:p>
    <w:sectPr w:rsidR="00812467" w:rsidSect="00201D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25A" w:rsidRDefault="0089425A" w:rsidP="00941079">
      <w:r>
        <w:separator/>
      </w:r>
    </w:p>
  </w:endnote>
  <w:endnote w:type="continuationSeparator" w:id="0">
    <w:p w:rsidR="0089425A" w:rsidRDefault="0089425A" w:rsidP="00941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25A" w:rsidRDefault="0089425A" w:rsidP="00941079">
      <w:r>
        <w:separator/>
      </w:r>
    </w:p>
  </w:footnote>
  <w:footnote w:type="continuationSeparator" w:id="0">
    <w:p w:rsidR="0089425A" w:rsidRDefault="0089425A" w:rsidP="00941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02D"/>
    <w:rsid w:val="00020672"/>
    <w:rsid w:val="00035914"/>
    <w:rsid w:val="00052E87"/>
    <w:rsid w:val="00055F43"/>
    <w:rsid w:val="000819D2"/>
    <w:rsid w:val="000B2923"/>
    <w:rsid w:val="000B4FDB"/>
    <w:rsid w:val="000B6FA7"/>
    <w:rsid w:val="000B7CD5"/>
    <w:rsid w:val="000E3DD7"/>
    <w:rsid w:val="000F52A7"/>
    <w:rsid w:val="00101DA1"/>
    <w:rsid w:val="00121EA2"/>
    <w:rsid w:val="001442B7"/>
    <w:rsid w:val="00146F82"/>
    <w:rsid w:val="00151F62"/>
    <w:rsid w:val="00152623"/>
    <w:rsid w:val="00176C9E"/>
    <w:rsid w:val="001B354E"/>
    <w:rsid w:val="001B62D0"/>
    <w:rsid w:val="001F06C7"/>
    <w:rsid w:val="00201D7D"/>
    <w:rsid w:val="00242355"/>
    <w:rsid w:val="002425CE"/>
    <w:rsid w:val="00253B90"/>
    <w:rsid w:val="002B2383"/>
    <w:rsid w:val="002B6CDF"/>
    <w:rsid w:val="00305B99"/>
    <w:rsid w:val="00351F21"/>
    <w:rsid w:val="00366EAC"/>
    <w:rsid w:val="00386792"/>
    <w:rsid w:val="003A41F8"/>
    <w:rsid w:val="003F00FF"/>
    <w:rsid w:val="003F436F"/>
    <w:rsid w:val="00416344"/>
    <w:rsid w:val="00433A73"/>
    <w:rsid w:val="00480541"/>
    <w:rsid w:val="004948B7"/>
    <w:rsid w:val="004C6BFA"/>
    <w:rsid w:val="004C70D9"/>
    <w:rsid w:val="004F4F90"/>
    <w:rsid w:val="00521723"/>
    <w:rsid w:val="00573E80"/>
    <w:rsid w:val="005A6353"/>
    <w:rsid w:val="005D4E5F"/>
    <w:rsid w:val="005D59FD"/>
    <w:rsid w:val="006332AE"/>
    <w:rsid w:val="00647983"/>
    <w:rsid w:val="006526F8"/>
    <w:rsid w:val="00695A8E"/>
    <w:rsid w:val="006B1586"/>
    <w:rsid w:val="006D6B82"/>
    <w:rsid w:val="007001F8"/>
    <w:rsid w:val="00707864"/>
    <w:rsid w:val="0071296A"/>
    <w:rsid w:val="007A42BE"/>
    <w:rsid w:val="00812467"/>
    <w:rsid w:val="008161BF"/>
    <w:rsid w:val="00830167"/>
    <w:rsid w:val="0084297F"/>
    <w:rsid w:val="00854E71"/>
    <w:rsid w:val="0089425A"/>
    <w:rsid w:val="008E1C75"/>
    <w:rsid w:val="008F6B70"/>
    <w:rsid w:val="00905358"/>
    <w:rsid w:val="009171F6"/>
    <w:rsid w:val="00941079"/>
    <w:rsid w:val="0094603B"/>
    <w:rsid w:val="00964438"/>
    <w:rsid w:val="0097653F"/>
    <w:rsid w:val="009927DD"/>
    <w:rsid w:val="009A045A"/>
    <w:rsid w:val="009E5467"/>
    <w:rsid w:val="00A0769A"/>
    <w:rsid w:val="00A148C7"/>
    <w:rsid w:val="00A458C1"/>
    <w:rsid w:val="00A77DF3"/>
    <w:rsid w:val="00AD0BC5"/>
    <w:rsid w:val="00AD1992"/>
    <w:rsid w:val="00AE7508"/>
    <w:rsid w:val="00AF7506"/>
    <w:rsid w:val="00B011B4"/>
    <w:rsid w:val="00B03EBF"/>
    <w:rsid w:val="00B10EE9"/>
    <w:rsid w:val="00B37593"/>
    <w:rsid w:val="00B54668"/>
    <w:rsid w:val="00B7128F"/>
    <w:rsid w:val="00B721C8"/>
    <w:rsid w:val="00B74DF5"/>
    <w:rsid w:val="00BD2727"/>
    <w:rsid w:val="00C023D3"/>
    <w:rsid w:val="00C405F9"/>
    <w:rsid w:val="00C47571"/>
    <w:rsid w:val="00C645BF"/>
    <w:rsid w:val="00C67217"/>
    <w:rsid w:val="00CF63B1"/>
    <w:rsid w:val="00D41331"/>
    <w:rsid w:val="00D77533"/>
    <w:rsid w:val="00D8002D"/>
    <w:rsid w:val="00D837A6"/>
    <w:rsid w:val="00DA1C21"/>
    <w:rsid w:val="00DA636C"/>
    <w:rsid w:val="00DB15D0"/>
    <w:rsid w:val="00DB4BF1"/>
    <w:rsid w:val="00DB5F91"/>
    <w:rsid w:val="00DB739B"/>
    <w:rsid w:val="00DE6A82"/>
    <w:rsid w:val="00E017CA"/>
    <w:rsid w:val="00E06930"/>
    <w:rsid w:val="00E127A8"/>
    <w:rsid w:val="00E14500"/>
    <w:rsid w:val="00E31C1D"/>
    <w:rsid w:val="00E40F9E"/>
    <w:rsid w:val="00E61FA1"/>
    <w:rsid w:val="00EE1D3B"/>
    <w:rsid w:val="00F20290"/>
    <w:rsid w:val="00F464F2"/>
    <w:rsid w:val="2AB32034"/>
    <w:rsid w:val="36842149"/>
    <w:rsid w:val="398F0ECE"/>
    <w:rsid w:val="484F480C"/>
    <w:rsid w:val="4C380D5F"/>
    <w:rsid w:val="4F3F48F0"/>
    <w:rsid w:val="62786A39"/>
    <w:rsid w:val="71250E5C"/>
    <w:rsid w:val="74FA4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01D7D"/>
    <w:pPr>
      <w:jc w:val="left"/>
    </w:pPr>
  </w:style>
  <w:style w:type="paragraph" w:styleId="a4">
    <w:name w:val="Balloon Text"/>
    <w:basedOn w:val="a"/>
    <w:link w:val="Char0"/>
    <w:uiPriority w:val="99"/>
    <w:semiHidden/>
    <w:unhideWhenUsed/>
    <w:qFormat/>
    <w:rsid w:val="00201D7D"/>
    <w:rPr>
      <w:sz w:val="18"/>
      <w:szCs w:val="18"/>
    </w:rPr>
  </w:style>
  <w:style w:type="paragraph" w:styleId="a5">
    <w:name w:val="footer"/>
    <w:basedOn w:val="a"/>
    <w:link w:val="Char1"/>
    <w:uiPriority w:val="99"/>
    <w:unhideWhenUsed/>
    <w:qFormat/>
    <w:rsid w:val="00201D7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01D7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01D7D"/>
    <w:rPr>
      <w:b/>
      <w:bCs/>
    </w:rPr>
  </w:style>
  <w:style w:type="character" w:styleId="a8">
    <w:name w:val="annotation reference"/>
    <w:basedOn w:val="a0"/>
    <w:uiPriority w:val="99"/>
    <w:semiHidden/>
    <w:unhideWhenUsed/>
    <w:qFormat/>
    <w:rsid w:val="00201D7D"/>
    <w:rPr>
      <w:sz w:val="21"/>
      <w:szCs w:val="21"/>
    </w:rPr>
  </w:style>
  <w:style w:type="character" w:customStyle="1" w:styleId="Char2">
    <w:name w:val="页眉 Char"/>
    <w:basedOn w:val="a0"/>
    <w:link w:val="a6"/>
    <w:uiPriority w:val="99"/>
    <w:qFormat/>
    <w:rsid w:val="00201D7D"/>
    <w:rPr>
      <w:sz w:val="18"/>
      <w:szCs w:val="18"/>
    </w:rPr>
  </w:style>
  <w:style w:type="character" w:customStyle="1" w:styleId="Char1">
    <w:name w:val="页脚 Char"/>
    <w:basedOn w:val="a0"/>
    <w:link w:val="a5"/>
    <w:uiPriority w:val="99"/>
    <w:qFormat/>
    <w:rsid w:val="00201D7D"/>
    <w:rPr>
      <w:sz w:val="18"/>
      <w:szCs w:val="18"/>
    </w:rPr>
  </w:style>
  <w:style w:type="character" w:customStyle="1" w:styleId="Char">
    <w:name w:val="批注文字 Char"/>
    <w:basedOn w:val="a0"/>
    <w:link w:val="a3"/>
    <w:uiPriority w:val="99"/>
    <w:semiHidden/>
    <w:qFormat/>
    <w:rsid w:val="00201D7D"/>
  </w:style>
  <w:style w:type="character" w:customStyle="1" w:styleId="Char3">
    <w:name w:val="批注主题 Char"/>
    <w:basedOn w:val="Char"/>
    <w:link w:val="a7"/>
    <w:uiPriority w:val="99"/>
    <w:semiHidden/>
    <w:qFormat/>
    <w:rsid w:val="00201D7D"/>
    <w:rPr>
      <w:b/>
      <w:bCs/>
    </w:rPr>
  </w:style>
  <w:style w:type="character" w:customStyle="1" w:styleId="Char0">
    <w:name w:val="批注框文本 Char"/>
    <w:basedOn w:val="a0"/>
    <w:link w:val="a4"/>
    <w:uiPriority w:val="99"/>
    <w:semiHidden/>
    <w:qFormat/>
    <w:rsid w:val="00201D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933D-E8D9-4A10-82B0-4CACFE7E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4</DocSecurity>
  <Lines>3</Lines>
  <Paragraphs>1</Paragraphs>
  <ScaleCrop>false</ScaleCrop>
  <Company>MS</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富国基金管理有限公司关于富国大盘核心资产混合型证券投资基金提前结束募集的公告</dc:title>
  <dc:creator>伋青</dc:creator>
  <cp:lastModifiedBy>ZHONGM</cp:lastModifiedBy>
  <cp:revision>2</cp:revision>
  <dcterms:created xsi:type="dcterms:W3CDTF">2024-11-19T16:02:00Z</dcterms:created>
  <dcterms:modified xsi:type="dcterms:W3CDTF">2024-11-19T16:02:00Z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1EE4BCD5F1524C74923684CF55891770</vt:lpwstr>
  </property>
</Properties>
</file>