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61" w:rsidRPr="003834D2" w:rsidRDefault="00002961" w:rsidP="0046050D">
      <w:pPr>
        <w:widowControl/>
        <w:spacing w:line="60" w:lineRule="auto"/>
        <w:jc w:val="center"/>
        <w:outlineLvl w:val="1"/>
        <w:rPr>
          <w:rFonts w:ascii="宋体" w:eastAsia="宋体" w:hAnsi="宋体" w:cs="宋体"/>
          <w:b/>
          <w:bCs/>
          <w:color w:val="333333"/>
          <w:kern w:val="0"/>
          <w:sz w:val="28"/>
          <w:szCs w:val="28"/>
        </w:rPr>
      </w:pPr>
      <w:r w:rsidRPr="0046050D">
        <w:rPr>
          <w:rFonts w:ascii="宋体" w:eastAsia="宋体" w:hAnsi="宋体" w:cs="宋体" w:hint="eastAsia"/>
          <w:b/>
          <w:bCs/>
          <w:color w:val="333333"/>
          <w:kern w:val="0"/>
          <w:sz w:val="28"/>
          <w:szCs w:val="28"/>
        </w:rPr>
        <w:t>银</w:t>
      </w:r>
      <w:r w:rsidRPr="003834D2">
        <w:rPr>
          <w:rFonts w:ascii="宋体" w:eastAsia="宋体" w:hAnsi="宋体" w:cs="宋体" w:hint="eastAsia"/>
          <w:b/>
          <w:bCs/>
          <w:color w:val="333333"/>
          <w:kern w:val="0"/>
          <w:sz w:val="28"/>
          <w:szCs w:val="28"/>
        </w:rPr>
        <w:t>河基金管理有限公司关于旗下</w:t>
      </w:r>
      <w:r w:rsidR="00B215DC">
        <w:rPr>
          <w:rFonts w:ascii="宋体" w:eastAsia="宋体" w:hAnsi="宋体" w:cs="宋体" w:hint="eastAsia"/>
          <w:b/>
          <w:bCs/>
          <w:color w:val="333333"/>
          <w:kern w:val="0"/>
          <w:sz w:val="28"/>
          <w:szCs w:val="28"/>
        </w:rPr>
        <w:t>部分</w:t>
      </w:r>
      <w:r w:rsidR="004B77F3" w:rsidRPr="004B77F3">
        <w:rPr>
          <w:rFonts w:ascii="宋体" w:eastAsia="宋体" w:hAnsi="宋体" w:cs="宋体"/>
          <w:b/>
          <w:bCs/>
          <w:color w:val="333333"/>
          <w:kern w:val="0"/>
          <w:sz w:val="28"/>
          <w:szCs w:val="28"/>
        </w:rPr>
        <w:t>基金</w:t>
      </w:r>
      <w:r w:rsidR="00775504">
        <w:rPr>
          <w:rFonts w:ascii="宋体" w:eastAsia="宋体" w:hAnsi="宋体" w:cs="宋体" w:hint="eastAsia"/>
          <w:b/>
          <w:bCs/>
          <w:color w:val="333333"/>
          <w:kern w:val="0"/>
          <w:sz w:val="28"/>
          <w:szCs w:val="28"/>
        </w:rPr>
        <w:t>在</w:t>
      </w:r>
      <w:r w:rsidR="0048668B" w:rsidRPr="0048668B">
        <w:rPr>
          <w:rFonts w:ascii="宋体" w:eastAsia="宋体" w:hAnsi="宋体" w:cs="宋体" w:hint="eastAsia"/>
          <w:b/>
          <w:bCs/>
          <w:color w:val="333333"/>
          <w:kern w:val="0"/>
          <w:sz w:val="28"/>
          <w:szCs w:val="28"/>
        </w:rPr>
        <w:t>中信期货有限公司</w:t>
      </w:r>
      <w:r w:rsidR="00775504">
        <w:rPr>
          <w:rFonts w:ascii="宋体" w:eastAsia="宋体" w:hAnsi="宋体" w:cs="宋体" w:hint="eastAsia"/>
          <w:b/>
          <w:bCs/>
          <w:color w:val="333333"/>
          <w:kern w:val="0"/>
          <w:sz w:val="28"/>
          <w:szCs w:val="28"/>
        </w:rPr>
        <w:t>开通定投业务并参加</w:t>
      </w:r>
      <w:r w:rsidR="00D738DC" w:rsidRPr="00D738DC">
        <w:rPr>
          <w:rFonts w:ascii="宋体" w:eastAsia="宋体" w:hAnsi="宋体" w:cs="宋体" w:hint="eastAsia"/>
          <w:b/>
          <w:bCs/>
          <w:color w:val="333333"/>
          <w:kern w:val="0"/>
          <w:sz w:val="28"/>
          <w:szCs w:val="28"/>
        </w:rPr>
        <w:t>费率优惠活动的公告</w:t>
      </w:r>
    </w:p>
    <w:p w:rsidR="00B215DC" w:rsidRDefault="00F65856" w:rsidP="00775504">
      <w:pPr>
        <w:widowControl/>
        <w:spacing w:line="288" w:lineRule="auto"/>
        <w:ind w:firstLine="374"/>
        <w:rPr>
          <w:rFonts w:ascii="宋体" w:eastAsia="宋体" w:hAnsi="宋体" w:cs="Tahoma"/>
          <w:color w:val="000000"/>
          <w:kern w:val="0"/>
          <w:szCs w:val="21"/>
        </w:rPr>
      </w:pPr>
      <w:r w:rsidRPr="00F65856">
        <w:rPr>
          <w:rFonts w:ascii="宋体" w:hAnsi="宋体" w:cs="宋体" w:hint="eastAsia"/>
          <w:kern w:val="0"/>
          <w:szCs w:val="21"/>
        </w:rPr>
        <w:t>为更好地满足广大投资者的需求，银河基金管理有限公司（以下简称“本公司”</w:t>
      </w:r>
      <w:r>
        <w:rPr>
          <w:rFonts w:ascii="宋体" w:hAnsi="宋体" w:cs="宋体" w:hint="eastAsia"/>
          <w:kern w:val="0"/>
          <w:szCs w:val="21"/>
        </w:rPr>
        <w:t>、“基金管理人”</w:t>
      </w:r>
      <w:r w:rsidRPr="00F65856">
        <w:rPr>
          <w:rFonts w:ascii="宋体" w:hAnsi="宋体" w:cs="宋体" w:hint="eastAsia"/>
          <w:kern w:val="0"/>
          <w:szCs w:val="21"/>
        </w:rPr>
        <w:t>）与</w:t>
      </w:r>
      <w:r w:rsidR="0048668B" w:rsidRPr="0048668B">
        <w:rPr>
          <w:rFonts w:ascii="宋体" w:hAnsi="宋体" w:cs="宋体" w:hint="eastAsia"/>
          <w:kern w:val="0"/>
          <w:szCs w:val="21"/>
        </w:rPr>
        <w:t>中信期货有限公司</w:t>
      </w:r>
      <w:r w:rsidR="00775504">
        <w:rPr>
          <w:rFonts w:ascii="宋体" w:hAnsi="宋体" w:cs="宋体" w:hint="eastAsia"/>
          <w:kern w:val="0"/>
          <w:szCs w:val="21"/>
        </w:rPr>
        <w:t>（以下简称“</w:t>
      </w:r>
      <w:r w:rsidR="0048668B" w:rsidRPr="0048668B">
        <w:rPr>
          <w:rFonts w:ascii="宋体" w:hAnsi="宋体" w:cs="宋体" w:hint="eastAsia"/>
          <w:kern w:val="0"/>
          <w:szCs w:val="21"/>
        </w:rPr>
        <w:t>中信期货</w:t>
      </w:r>
      <w:r w:rsidR="00775504">
        <w:rPr>
          <w:rFonts w:ascii="宋体" w:hAnsi="宋体" w:cs="宋体" w:hint="eastAsia"/>
          <w:kern w:val="0"/>
          <w:szCs w:val="21"/>
        </w:rPr>
        <w:t>”）</w:t>
      </w:r>
      <w:r w:rsidRPr="00F65856">
        <w:rPr>
          <w:rFonts w:ascii="宋体" w:hAnsi="宋体" w:cs="宋体" w:hint="eastAsia"/>
          <w:kern w:val="0"/>
          <w:szCs w:val="21"/>
        </w:rPr>
        <w:t>协商</w:t>
      </w:r>
      <w:r>
        <w:rPr>
          <w:rFonts w:ascii="宋体" w:hAnsi="宋体" w:cs="宋体" w:hint="eastAsia"/>
          <w:kern w:val="0"/>
          <w:szCs w:val="21"/>
        </w:rPr>
        <w:t>决定</w:t>
      </w:r>
      <w:r w:rsidRPr="00F65856">
        <w:rPr>
          <w:rFonts w:ascii="宋体" w:hAnsi="宋体" w:cs="宋体" w:hint="eastAsia"/>
          <w:kern w:val="0"/>
          <w:szCs w:val="21"/>
        </w:rPr>
        <w:t>，</w:t>
      </w:r>
      <w:r w:rsidR="00C30181" w:rsidRPr="003834D2">
        <w:rPr>
          <w:rFonts w:ascii="宋体" w:hAnsi="宋体" w:cs="宋体" w:hint="eastAsia"/>
          <w:kern w:val="0"/>
          <w:szCs w:val="21"/>
        </w:rPr>
        <w:t>自</w:t>
      </w:r>
      <w:r w:rsidR="00775504" w:rsidRPr="003834D2">
        <w:rPr>
          <w:rFonts w:ascii="宋体" w:hAnsi="宋体" w:cs="宋体" w:hint="eastAsia"/>
          <w:kern w:val="0"/>
          <w:szCs w:val="21"/>
        </w:rPr>
        <w:t>202</w:t>
      </w:r>
      <w:r w:rsidR="00775504">
        <w:rPr>
          <w:rFonts w:ascii="宋体" w:hAnsi="宋体" w:cs="宋体"/>
          <w:kern w:val="0"/>
          <w:szCs w:val="21"/>
        </w:rPr>
        <w:t>4</w:t>
      </w:r>
      <w:r w:rsidR="00775504" w:rsidRPr="003834D2">
        <w:rPr>
          <w:rFonts w:ascii="宋体" w:hAnsi="宋体" w:cs="宋体" w:hint="eastAsia"/>
          <w:kern w:val="0"/>
          <w:szCs w:val="21"/>
        </w:rPr>
        <w:t>年</w:t>
      </w:r>
      <w:r w:rsidR="00775504">
        <w:rPr>
          <w:rFonts w:ascii="宋体" w:hAnsi="宋体" w:cs="宋体"/>
          <w:kern w:val="0"/>
          <w:szCs w:val="21"/>
        </w:rPr>
        <w:t>11</w:t>
      </w:r>
      <w:r w:rsidR="00775504" w:rsidRPr="003834D2">
        <w:rPr>
          <w:rFonts w:ascii="宋体" w:hAnsi="宋体" w:cs="宋体" w:hint="eastAsia"/>
          <w:kern w:val="0"/>
          <w:szCs w:val="21"/>
        </w:rPr>
        <w:t>月</w:t>
      </w:r>
      <w:r w:rsidR="00775504">
        <w:rPr>
          <w:rFonts w:ascii="宋体" w:hAnsi="宋体" w:cs="宋体"/>
          <w:kern w:val="0"/>
          <w:szCs w:val="21"/>
        </w:rPr>
        <w:t>20</w:t>
      </w:r>
      <w:r w:rsidR="00C30181" w:rsidRPr="00413B7B">
        <w:rPr>
          <w:rFonts w:ascii="宋体" w:hAnsi="宋体" w:cs="宋体" w:hint="eastAsia"/>
          <w:kern w:val="0"/>
          <w:szCs w:val="21"/>
        </w:rPr>
        <w:t>日起</w:t>
      </w:r>
      <w:r w:rsidR="00C30181" w:rsidRPr="003834D2">
        <w:rPr>
          <w:rFonts w:ascii="宋体" w:hAnsi="宋体" w:cs="宋体" w:hint="eastAsia"/>
          <w:kern w:val="0"/>
          <w:szCs w:val="21"/>
        </w:rPr>
        <w:t>，</w:t>
      </w:r>
      <w:r w:rsidR="002C2994" w:rsidRPr="003834D2">
        <w:rPr>
          <w:rFonts w:ascii="宋体" w:hAnsi="宋体" w:cs="宋体" w:hint="eastAsia"/>
          <w:kern w:val="0"/>
          <w:szCs w:val="21"/>
        </w:rPr>
        <w:t>本公司</w:t>
      </w:r>
      <w:r w:rsidR="00C30181" w:rsidRPr="003834D2">
        <w:rPr>
          <w:rFonts w:ascii="宋体" w:hAnsi="宋体" w:cs="宋体" w:hint="eastAsia"/>
          <w:kern w:val="0"/>
          <w:szCs w:val="21"/>
        </w:rPr>
        <w:t>旗下</w:t>
      </w:r>
      <w:r w:rsidR="00B215DC" w:rsidRPr="00B215DC">
        <w:rPr>
          <w:rFonts w:ascii="Arial" w:hAnsi="Arial" w:cs="Arial" w:hint="eastAsia"/>
          <w:color w:val="333333"/>
          <w:shd w:val="clear" w:color="auto" w:fill="FFFFFF"/>
        </w:rPr>
        <w:t>部分基金</w:t>
      </w:r>
      <w:r w:rsidR="00775504">
        <w:rPr>
          <w:rFonts w:ascii="Arial" w:hAnsi="Arial" w:cs="Arial" w:hint="eastAsia"/>
          <w:color w:val="333333"/>
          <w:shd w:val="clear" w:color="auto" w:fill="FFFFFF"/>
        </w:rPr>
        <w:t>在</w:t>
      </w:r>
      <w:r w:rsidR="0048668B" w:rsidRPr="0048668B">
        <w:rPr>
          <w:rFonts w:ascii="宋体" w:hAnsi="宋体" w:cs="宋体" w:hint="eastAsia"/>
          <w:kern w:val="0"/>
          <w:szCs w:val="21"/>
        </w:rPr>
        <w:t>中信期货</w:t>
      </w:r>
      <w:r w:rsidR="00775504">
        <w:rPr>
          <w:rFonts w:ascii="Arial" w:hAnsi="Arial" w:cs="Arial" w:hint="eastAsia"/>
          <w:color w:val="333333"/>
          <w:shd w:val="clear" w:color="auto" w:fill="FFFFFF"/>
        </w:rPr>
        <w:t>开通定投业务并参加费率优惠活动</w:t>
      </w:r>
      <w:r w:rsidR="00D6317E">
        <w:rPr>
          <w:rFonts w:ascii="Arial" w:hAnsi="Arial" w:cs="Arial" w:hint="eastAsia"/>
          <w:color w:val="333333"/>
          <w:shd w:val="clear" w:color="auto" w:fill="FFFFFF"/>
        </w:rPr>
        <w:t>，</w:t>
      </w:r>
      <w:r w:rsidR="00B215DC" w:rsidRPr="00B215DC">
        <w:rPr>
          <w:rFonts w:ascii="宋体" w:hAnsi="宋体" w:cs="宋体" w:hint="eastAsia"/>
          <w:kern w:val="0"/>
          <w:szCs w:val="21"/>
        </w:rPr>
        <w:t>定投起始金额为10元起</w:t>
      </w:r>
      <w:r w:rsidR="00F86B74">
        <w:rPr>
          <w:rFonts w:ascii="宋体" w:hAnsi="宋体" w:cs="宋体" w:hint="eastAsia"/>
          <w:kern w:val="0"/>
          <w:szCs w:val="21"/>
        </w:rPr>
        <w:t>。</w:t>
      </w:r>
      <w:r w:rsidR="00B215DC" w:rsidRPr="00B215DC">
        <w:rPr>
          <w:rFonts w:ascii="宋体" w:hAnsi="宋体" w:cs="宋体" w:hint="eastAsia"/>
          <w:kern w:val="0"/>
          <w:szCs w:val="21"/>
        </w:rPr>
        <w:t>申购、定投费率优惠活动的优惠规则及结束时间以</w:t>
      </w:r>
      <w:r w:rsidR="0048668B" w:rsidRPr="0048668B">
        <w:rPr>
          <w:rFonts w:ascii="宋体" w:hAnsi="宋体" w:cs="宋体" w:hint="eastAsia"/>
          <w:kern w:val="0"/>
          <w:szCs w:val="21"/>
        </w:rPr>
        <w:t>中信期货</w:t>
      </w:r>
      <w:r w:rsidR="00B215DC" w:rsidRPr="00B215DC">
        <w:rPr>
          <w:rFonts w:ascii="宋体" w:hAnsi="宋体" w:cs="宋体" w:hint="eastAsia"/>
          <w:kern w:val="0"/>
          <w:szCs w:val="21"/>
        </w:rPr>
        <w:t>相关公告为准。</w:t>
      </w:r>
      <w:r w:rsidR="00775504" w:rsidRPr="00775504">
        <w:rPr>
          <w:rFonts w:ascii="宋体" w:hAnsi="宋体" w:cs="宋体" w:hint="eastAsia"/>
          <w:kern w:val="0"/>
          <w:szCs w:val="21"/>
        </w:rPr>
        <w:t>若原申购费率是固定费用则按固定费用执行，不再享有折扣费率。</w:t>
      </w:r>
    </w:p>
    <w:p w:rsidR="00775504" w:rsidRDefault="00B215DC" w:rsidP="00A0453E">
      <w:pPr>
        <w:pStyle w:val="ab"/>
        <w:widowControl/>
        <w:numPr>
          <w:ilvl w:val="0"/>
          <w:numId w:val="1"/>
        </w:numPr>
        <w:ind w:firstLineChars="0"/>
        <w:rPr>
          <w:rFonts w:ascii="宋体" w:eastAsia="宋体" w:hAnsi="宋体" w:cs="Tahoma"/>
          <w:b/>
          <w:color w:val="000000"/>
          <w:kern w:val="0"/>
          <w:szCs w:val="21"/>
        </w:rPr>
      </w:pPr>
      <w:r w:rsidRPr="006E3944">
        <w:rPr>
          <w:rFonts w:ascii="宋体" w:eastAsia="宋体" w:hAnsi="宋体" w:cs="Tahoma" w:hint="eastAsia"/>
          <w:b/>
          <w:color w:val="000000"/>
          <w:kern w:val="0"/>
          <w:szCs w:val="21"/>
        </w:rPr>
        <w:t>适用基金</w:t>
      </w:r>
    </w:p>
    <w:tbl>
      <w:tblPr>
        <w:tblW w:w="0" w:type="auto"/>
        <w:tblInd w:w="-289" w:type="dxa"/>
        <w:tblLook w:val="04A0"/>
      </w:tblPr>
      <w:tblGrid>
        <w:gridCol w:w="694"/>
        <w:gridCol w:w="1150"/>
        <w:gridCol w:w="2804"/>
        <w:gridCol w:w="1793"/>
        <w:gridCol w:w="2144"/>
      </w:tblGrid>
      <w:tr w:rsidR="006E3944" w:rsidRPr="006E3944" w:rsidTr="009E31B6">
        <w:trPr>
          <w:trHeight w:val="555"/>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944" w:rsidRPr="006E3944" w:rsidRDefault="006E3944" w:rsidP="006E3944">
            <w:pPr>
              <w:widowControl/>
              <w:jc w:val="center"/>
              <w:rPr>
                <w:rFonts w:ascii="宋体" w:eastAsia="宋体" w:hAnsi="宋体" w:cs="宋体"/>
                <w:b/>
                <w:bCs/>
                <w:color w:val="000000"/>
                <w:kern w:val="0"/>
                <w:szCs w:val="21"/>
              </w:rPr>
            </w:pPr>
            <w:r w:rsidRPr="006E3944">
              <w:rPr>
                <w:rFonts w:ascii="宋体" w:eastAsia="宋体" w:hAnsi="宋体" w:cs="宋体" w:hint="eastAsia"/>
                <w:b/>
                <w:bCs/>
                <w:color w:val="000000"/>
                <w:kern w:val="0"/>
                <w:szCs w:val="21"/>
              </w:rPr>
              <w:t>序号</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6E3944" w:rsidRPr="006E3944" w:rsidRDefault="006E3944" w:rsidP="006E3944">
            <w:pPr>
              <w:widowControl/>
              <w:jc w:val="center"/>
              <w:rPr>
                <w:rFonts w:ascii="宋体" w:eastAsia="宋体" w:hAnsi="宋体" w:cs="宋体"/>
                <w:b/>
                <w:bCs/>
                <w:color w:val="000000"/>
                <w:kern w:val="0"/>
                <w:szCs w:val="21"/>
              </w:rPr>
            </w:pPr>
            <w:r w:rsidRPr="006E3944">
              <w:rPr>
                <w:rFonts w:ascii="宋体" w:eastAsia="宋体" w:hAnsi="宋体" w:cs="宋体" w:hint="eastAsia"/>
                <w:b/>
                <w:bCs/>
                <w:color w:val="000000"/>
                <w:kern w:val="0"/>
                <w:szCs w:val="21"/>
              </w:rPr>
              <w:t>基金代码</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rsidR="006E3944" w:rsidRPr="006E3944" w:rsidRDefault="006E3944" w:rsidP="006E3944">
            <w:pPr>
              <w:widowControl/>
              <w:jc w:val="center"/>
              <w:rPr>
                <w:rFonts w:ascii="宋体" w:eastAsia="宋体" w:hAnsi="宋体" w:cs="宋体"/>
                <w:b/>
                <w:bCs/>
                <w:color w:val="000000"/>
                <w:kern w:val="0"/>
                <w:szCs w:val="21"/>
              </w:rPr>
            </w:pPr>
            <w:r w:rsidRPr="006E3944">
              <w:rPr>
                <w:rFonts w:ascii="宋体" w:eastAsia="宋体" w:hAnsi="宋体" w:cs="宋体" w:hint="eastAsia"/>
                <w:b/>
                <w:bCs/>
                <w:color w:val="000000"/>
                <w:kern w:val="0"/>
                <w:szCs w:val="21"/>
              </w:rPr>
              <w:t>基金名称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6E3944" w:rsidRPr="006E3944" w:rsidRDefault="006E3944" w:rsidP="006E3944">
            <w:pPr>
              <w:widowControl/>
              <w:jc w:val="center"/>
              <w:rPr>
                <w:rFonts w:ascii="宋体" w:eastAsia="宋体" w:hAnsi="宋体" w:cs="宋体"/>
                <w:b/>
                <w:bCs/>
                <w:color w:val="000000"/>
                <w:kern w:val="0"/>
                <w:szCs w:val="21"/>
              </w:rPr>
            </w:pPr>
            <w:r w:rsidRPr="006E3944">
              <w:rPr>
                <w:rFonts w:ascii="宋体" w:eastAsia="宋体" w:hAnsi="宋体" w:cs="宋体" w:hint="eastAsia"/>
                <w:b/>
                <w:bCs/>
                <w:color w:val="000000"/>
                <w:kern w:val="0"/>
                <w:szCs w:val="21"/>
              </w:rPr>
              <w:t>基金简称</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6E3944" w:rsidRPr="006E3944" w:rsidRDefault="006E3944" w:rsidP="006E3944">
            <w:pPr>
              <w:widowControl/>
              <w:jc w:val="center"/>
              <w:rPr>
                <w:rFonts w:ascii="宋体" w:eastAsia="宋体" w:hAnsi="宋体" w:cs="宋体"/>
                <w:b/>
                <w:bCs/>
                <w:color w:val="000000"/>
                <w:kern w:val="0"/>
                <w:szCs w:val="21"/>
              </w:rPr>
            </w:pPr>
            <w:r w:rsidRPr="006E3944">
              <w:rPr>
                <w:rFonts w:ascii="宋体" w:eastAsia="宋体" w:hAnsi="宋体" w:cs="宋体" w:hint="eastAsia"/>
                <w:b/>
                <w:bCs/>
                <w:color w:val="000000"/>
                <w:kern w:val="0"/>
                <w:szCs w:val="21"/>
              </w:rPr>
              <w:t>是否开通定投</w:t>
            </w:r>
          </w:p>
        </w:tc>
        <w:bookmarkStart w:id="0" w:name="_GoBack"/>
        <w:bookmarkEnd w:id="0"/>
      </w:tr>
      <w:tr w:rsidR="00E660B5" w:rsidRPr="006E3944" w:rsidTr="009E31B6">
        <w:trPr>
          <w:trHeight w:val="15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Pr>
                <w:rFonts w:ascii="等线" w:eastAsia="等线" w:hAnsi="等线" w:hint="eastAsia"/>
                <w:color w:val="000000"/>
                <w:sz w:val="22"/>
              </w:rPr>
              <w:t>1</w:t>
            </w:r>
          </w:p>
        </w:tc>
        <w:tc>
          <w:tcPr>
            <w:tcW w:w="1150"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150968</w:t>
            </w:r>
          </w:p>
        </w:tc>
        <w:tc>
          <w:tcPr>
            <w:tcW w:w="2804"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银河研究精选混合型证券投资基金A类份额</w:t>
            </w:r>
          </w:p>
        </w:tc>
        <w:tc>
          <w:tcPr>
            <w:tcW w:w="1793"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银河研究精选混合A</w:t>
            </w:r>
          </w:p>
        </w:tc>
        <w:tc>
          <w:tcPr>
            <w:tcW w:w="2144"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已开通</w:t>
            </w:r>
          </w:p>
        </w:tc>
      </w:tr>
      <w:tr w:rsidR="00E660B5" w:rsidRPr="006E3944" w:rsidTr="009E31B6">
        <w:trPr>
          <w:trHeight w:val="147"/>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Pr>
                <w:rFonts w:ascii="等线" w:eastAsia="等线" w:hAnsi="等线" w:hint="eastAsia"/>
                <w:color w:val="000000"/>
                <w:sz w:val="22"/>
              </w:rPr>
              <w:t>2</w:t>
            </w:r>
          </w:p>
        </w:tc>
        <w:tc>
          <w:tcPr>
            <w:tcW w:w="1150"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151001</w:t>
            </w:r>
          </w:p>
        </w:tc>
        <w:tc>
          <w:tcPr>
            <w:tcW w:w="2804"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银河稳健证券投资基金</w:t>
            </w:r>
          </w:p>
        </w:tc>
        <w:tc>
          <w:tcPr>
            <w:tcW w:w="1793"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银河稳健混合</w:t>
            </w:r>
          </w:p>
        </w:tc>
        <w:tc>
          <w:tcPr>
            <w:tcW w:w="2144"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已开通</w:t>
            </w:r>
          </w:p>
        </w:tc>
      </w:tr>
      <w:tr w:rsidR="00E660B5" w:rsidRPr="006E3944" w:rsidTr="006E3944">
        <w:trPr>
          <w:trHeight w:val="195"/>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Pr>
                <w:rFonts w:ascii="等线" w:eastAsia="等线" w:hAnsi="等线" w:hint="eastAsia"/>
                <w:color w:val="000000"/>
                <w:sz w:val="22"/>
              </w:rPr>
              <w:t>3</w:t>
            </w:r>
          </w:p>
        </w:tc>
        <w:tc>
          <w:tcPr>
            <w:tcW w:w="1150"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151002</w:t>
            </w:r>
          </w:p>
        </w:tc>
        <w:tc>
          <w:tcPr>
            <w:tcW w:w="2804"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银河收益证券投资基金</w:t>
            </w:r>
          </w:p>
        </w:tc>
        <w:tc>
          <w:tcPr>
            <w:tcW w:w="1793"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银河收益混合</w:t>
            </w:r>
          </w:p>
        </w:tc>
        <w:tc>
          <w:tcPr>
            <w:tcW w:w="2144" w:type="dxa"/>
            <w:tcBorders>
              <w:top w:val="single" w:sz="4" w:space="0" w:color="auto"/>
              <w:left w:val="nil"/>
              <w:bottom w:val="single" w:sz="4" w:space="0" w:color="auto"/>
              <w:right w:val="single" w:sz="4" w:space="0" w:color="auto"/>
            </w:tcBorders>
            <w:shd w:val="clear" w:color="auto" w:fill="auto"/>
            <w:vAlign w:val="center"/>
          </w:tcPr>
          <w:p w:rsidR="00E660B5" w:rsidRPr="006E3944" w:rsidRDefault="00E660B5" w:rsidP="00E660B5">
            <w:pPr>
              <w:jc w:val="center"/>
              <w:rPr>
                <w:rFonts w:ascii="宋体" w:eastAsia="宋体" w:hAnsi="宋体" w:cs="宋体"/>
                <w:b/>
                <w:bCs/>
                <w:color w:val="000000"/>
                <w:kern w:val="0"/>
                <w:szCs w:val="21"/>
              </w:rPr>
            </w:pPr>
            <w:r w:rsidRPr="006E3944">
              <w:rPr>
                <w:rFonts w:ascii="等线" w:eastAsia="等线" w:hAnsi="等线" w:cs="宋体" w:hint="eastAsia"/>
                <w:color w:val="000000"/>
                <w:kern w:val="0"/>
                <w:sz w:val="22"/>
              </w:rPr>
              <w:t>已开通</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004250</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银河量化优选混合型证券投资基金A类份额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银河量化优选混合A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5</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005126</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银河量化稳进混合型证券投资基金</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银河量化稳进混合</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6</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005211</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银河智慧主题灵活配置混合型证券投资基金A类份额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银河智慧混合A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7</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005386</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银河睿达灵活配置混合型证券投资基金A类份额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银河睿达混合A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8</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005387</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银河睿达灵活配置混合型证券投资基金C类份额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银河睿达混合C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9</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005585</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银河文体娱乐主题灵活配</w:t>
            </w:r>
            <w:r w:rsidRPr="006E3944">
              <w:rPr>
                <w:rFonts w:ascii="等线" w:eastAsia="等线" w:hAnsi="等线" w:cs="宋体" w:hint="eastAsia"/>
                <w:color w:val="000000"/>
                <w:kern w:val="0"/>
                <w:sz w:val="22"/>
              </w:rPr>
              <w:lastRenderedPageBreak/>
              <w:t>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lastRenderedPageBreak/>
              <w:t>银河文体娱乐混</w:t>
            </w:r>
            <w:r w:rsidRPr="006E3944">
              <w:rPr>
                <w:rFonts w:ascii="等线" w:eastAsia="等线" w:hAnsi="等线" w:cs="宋体" w:hint="eastAsia"/>
                <w:color w:val="000000"/>
                <w:kern w:val="0"/>
                <w:sz w:val="22"/>
              </w:rPr>
              <w:lastRenderedPageBreak/>
              <w:t>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lastRenderedPageBreak/>
              <w:t>已开通，起始金额调</w:t>
            </w:r>
            <w:r w:rsidRPr="006E3944">
              <w:rPr>
                <w:rFonts w:ascii="等线" w:eastAsia="等线" w:hAnsi="等线" w:cs="宋体" w:hint="eastAsia"/>
                <w:color w:val="000000"/>
                <w:kern w:val="0"/>
                <w:sz w:val="22"/>
              </w:rPr>
              <w:lastRenderedPageBreak/>
              <w:t>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lastRenderedPageBreak/>
              <w:t>10</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006759</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银河乐活优萃混合型证券投资基金A类份额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银河乐活优萃混合A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11</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007203</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银河新动能混合型证券投资基金A类份额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银河新动能混合A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12</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017757</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银河新动能混合型证券投资基金C类份额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银河新动能混合C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13</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017760</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银河大国智造主题灵活配置混合型证券投资基金C类份额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银河智造混合C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14</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017762</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银河转型增长主题灵活配置混合型证券投资基金C类份额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银河转型混合C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15</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018872</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银河量化优选混合型证券投资基金C类份额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银河量化优选混合C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16</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018888</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银河主题策略混合型证券投资基金C类份额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银河主题混合C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17</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018889</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银河现代服务主题灵活配置混合型证券投资基金C类份额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银河服务混合C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18</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161505</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银河通利债券型证券投资</w:t>
            </w:r>
            <w:r w:rsidRPr="006E3944">
              <w:rPr>
                <w:rFonts w:ascii="等线" w:eastAsia="等线" w:hAnsi="等线" w:cs="宋体" w:hint="eastAsia"/>
                <w:color w:val="000000"/>
                <w:kern w:val="0"/>
                <w:sz w:val="22"/>
              </w:rPr>
              <w:lastRenderedPageBreak/>
              <w:t>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lastRenderedPageBreak/>
              <w:t>银河通利债券</w:t>
            </w:r>
            <w:r w:rsidRPr="006E3944">
              <w:rPr>
                <w:rFonts w:ascii="等线" w:eastAsia="等线" w:hAnsi="等线" w:cs="宋体" w:hint="eastAsia"/>
                <w:color w:val="000000"/>
                <w:kern w:val="0"/>
                <w:sz w:val="22"/>
              </w:rPr>
              <w:lastRenderedPageBreak/>
              <w:t>LOF</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lastRenderedPageBreak/>
              <w:t>已开通，起始金额调</w:t>
            </w:r>
            <w:r w:rsidRPr="006E3944">
              <w:rPr>
                <w:rFonts w:ascii="等线" w:eastAsia="等线" w:hAnsi="等线" w:cs="宋体" w:hint="eastAsia"/>
                <w:color w:val="000000"/>
                <w:kern w:val="0"/>
                <w:sz w:val="22"/>
              </w:rPr>
              <w:lastRenderedPageBreak/>
              <w:t>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lastRenderedPageBreak/>
              <w:t>19</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161506</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银河通利债券型证券投资基金C类份额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银河通利债券C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20</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501307</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银河中证沪港深高股息指数型证券投资基金（LOF）A类份额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沪港深红利LOF</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21</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501308</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银河中证沪港深高股息指数型证券投资基金（LOF）C类份额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银河高C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22</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519613</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银河君尚灵活配置混合型证券投资基金A类份额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银河君尚混合A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23</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519614</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银河君尚灵活配置混合型证券投资基金C类份额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银河君尚混合C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24</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519619</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银河君荣灵活配置混合型证券投资基金A类份额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银河君荣混合A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25</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519620</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银河君荣灵活配置混合型证券投资基金C类份额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银河君荣混合C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26</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519622</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银河君怡纯债债券型证券投资基金</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银河君怡债券</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27</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519623</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银河君耀灵活配置混合型证券投资基金A类份额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银河君耀混合A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28</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519624</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银河君耀灵活配置混合型证券投资基金C类份额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银河君耀混合C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29</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519625</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银河君盛灵活配置混合型证券投资基金A类份额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银河君盛混合A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30</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519626</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银河君盛灵活配置混合型证券投资基金C类份额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银河君盛混合C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31</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519642</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银河大国智造主题灵活配置混合型证券投资基金A类份额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银河智造混合A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32</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519644</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银河智联主题灵活配置混合型证券投资基金A类份额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银河智联混合A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是</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33</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519651</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银河转型增长主题灵活配置混合型证券投资基金A类份额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银河转型混合A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34</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519652</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银河鑫利灵活配置混合型证券投资基金A类份额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银河鑫利混合A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35</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519653</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银河鑫利灵活配置混合型证券投资基金C类份额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银河鑫利混合C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36</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519654</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银河丰利纯债债券型证券投资基金</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银河丰利债券</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37</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519655</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银河现代服务主题灵活配置混合型证券投资基金A类份额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银河服务混合A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38</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519656</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银河灵活配置混合型证券投资基金A类份额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银河灵活配置混合A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39</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519657</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银河灵活配置混合型证券投资基金C类份额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银河灵活配置混合C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40</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519660</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银河增利债券型发起式证券投资基金A类份额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银河增利债券A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41</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519661</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银河增利债券型发起式证券投资基金C类份额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银河增利债券C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42</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519664</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银河美丽优萃混合型证券投资基金A类份额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银河美丽混合A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43</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519665</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银河美丽优萃混合型证券投资基金C类份额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银河美丽混合C</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44</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519666</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银河银信添利债券型证券投资基金B类份额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银河银信添利债券B</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45</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519667</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银河银信添利债券型证券投资基金A类份额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银河银信添利债券A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46</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519668</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银河竞争优势成长混合型证券投资基金</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银河成长混合</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47</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519669</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银河领先债券型证券投资基金A类份额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银河领先债券A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48</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519670</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银河行业优选混合型证券投资基金A类份额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银河行业混合A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49</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519671</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银河沪深300价值指数证券投资基金A类份额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银河沪深300价值指数A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50</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519672</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银河蓝筹精选混合型证券投资基金A类份额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银河蓝筹混合A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51</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519673</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银河康乐股票型证券投资基金A类份额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银河康乐股票A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52</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519674</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银河创新成长混合型证券投资基金A类份额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银河创新混合A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53</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519675</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银河泰利纯债债券型证券投资基金A类份额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银河泰利债券A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54</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519676</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银河强化收益债券型证券投资基金</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银河强化债券</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55</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519677</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银河定投宝中证腾讯济安价值100A类份额股指数型发起式证券投资基金</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银河定投宝腾讯济安指数</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56</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519678</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银河消费驱动混合型证券投资基金A类份额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银河消费混合A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r w:rsidR="00E660B5" w:rsidRPr="006E3944" w:rsidTr="006E3944">
        <w:trPr>
          <w:trHeight w:val="40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Pr>
                <w:rFonts w:ascii="等线" w:eastAsia="等线" w:hAnsi="等线" w:hint="eastAsia"/>
                <w:color w:val="000000"/>
                <w:sz w:val="22"/>
              </w:rPr>
              <w:t>57</w:t>
            </w:r>
          </w:p>
        </w:tc>
        <w:tc>
          <w:tcPr>
            <w:tcW w:w="1150"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519679</w:t>
            </w:r>
          </w:p>
        </w:tc>
        <w:tc>
          <w:tcPr>
            <w:tcW w:w="280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银河主题策略混合型证券投资基金A类份额</w:t>
            </w:r>
          </w:p>
        </w:tc>
        <w:tc>
          <w:tcPr>
            <w:tcW w:w="1793"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银河主题混合A</w:t>
            </w:r>
          </w:p>
        </w:tc>
        <w:tc>
          <w:tcPr>
            <w:tcW w:w="2144" w:type="dxa"/>
            <w:tcBorders>
              <w:top w:val="nil"/>
              <w:left w:val="nil"/>
              <w:bottom w:val="single" w:sz="4" w:space="0" w:color="auto"/>
              <w:right w:val="single" w:sz="4" w:space="0" w:color="auto"/>
            </w:tcBorders>
            <w:shd w:val="clear" w:color="auto" w:fill="auto"/>
            <w:noWrap/>
            <w:vAlign w:val="center"/>
            <w:hideMark/>
          </w:tcPr>
          <w:p w:rsidR="00E660B5" w:rsidRPr="006E3944" w:rsidRDefault="00E660B5" w:rsidP="00E660B5">
            <w:pPr>
              <w:widowControl/>
              <w:jc w:val="center"/>
              <w:rPr>
                <w:rFonts w:ascii="等线" w:eastAsia="等线" w:hAnsi="等线" w:cs="宋体"/>
                <w:color w:val="000000"/>
                <w:kern w:val="0"/>
                <w:sz w:val="22"/>
              </w:rPr>
            </w:pPr>
            <w:r w:rsidRPr="006E3944">
              <w:rPr>
                <w:rFonts w:ascii="等线" w:eastAsia="等线" w:hAnsi="等线" w:cs="宋体" w:hint="eastAsia"/>
                <w:color w:val="000000"/>
                <w:kern w:val="0"/>
                <w:sz w:val="22"/>
              </w:rPr>
              <w:t>已开通，起始金额调整为10元</w:t>
            </w:r>
          </w:p>
        </w:tc>
      </w:tr>
    </w:tbl>
    <w:p w:rsidR="00B2542E" w:rsidRPr="002B36C4" w:rsidRDefault="00B2542E" w:rsidP="006E3944">
      <w:pPr>
        <w:widowControl/>
        <w:spacing w:line="360" w:lineRule="auto"/>
        <w:jc w:val="left"/>
        <w:rPr>
          <w:rFonts w:ascii="宋体" w:eastAsia="宋体" w:hAnsi="宋体" w:cs="Tahoma"/>
          <w:b/>
          <w:color w:val="000000"/>
          <w:kern w:val="0"/>
          <w:szCs w:val="21"/>
        </w:rPr>
      </w:pPr>
      <w:r>
        <w:rPr>
          <w:rFonts w:ascii="宋体" w:eastAsia="宋体" w:hAnsi="宋体" w:cs="Tahoma" w:hint="eastAsia"/>
          <w:b/>
          <w:color w:val="000000"/>
          <w:kern w:val="0"/>
          <w:szCs w:val="21"/>
        </w:rPr>
        <w:t>二、投</w:t>
      </w:r>
      <w:r w:rsidRPr="002B36C4">
        <w:rPr>
          <w:rFonts w:ascii="宋体" w:eastAsia="宋体" w:hAnsi="宋体" w:cs="Tahoma" w:hint="eastAsia"/>
          <w:b/>
          <w:color w:val="000000"/>
          <w:kern w:val="0"/>
          <w:szCs w:val="21"/>
        </w:rPr>
        <w:t>资者可通过以下途径咨询有关详情</w:t>
      </w:r>
    </w:p>
    <w:p w:rsidR="00F52A67" w:rsidRPr="00BE7A4F" w:rsidRDefault="00825828" w:rsidP="00CB4ACD">
      <w:pPr>
        <w:widowControl/>
        <w:spacing w:line="288" w:lineRule="auto"/>
        <w:ind w:firstLineChars="177" w:firstLine="372"/>
        <w:jc w:val="left"/>
        <w:rPr>
          <w:rFonts w:asciiTheme="minorEastAsia" w:hAnsiTheme="minorEastAsia" w:cs="宋体"/>
          <w:color w:val="000000"/>
          <w:kern w:val="0"/>
          <w:szCs w:val="21"/>
        </w:rPr>
      </w:pPr>
      <w:r w:rsidRPr="00BE7A4F">
        <w:rPr>
          <w:rFonts w:asciiTheme="minorEastAsia" w:hAnsiTheme="minorEastAsia" w:cs="Tahoma" w:hint="eastAsia"/>
          <w:color w:val="000000"/>
          <w:kern w:val="0"/>
          <w:szCs w:val="21"/>
        </w:rPr>
        <w:t>1、</w:t>
      </w:r>
      <w:r w:rsidR="00F52A67" w:rsidRPr="00BE7A4F">
        <w:rPr>
          <w:rFonts w:asciiTheme="minorEastAsia" w:hAnsiTheme="minorEastAsia" w:cs="宋体" w:hint="eastAsia"/>
          <w:color w:val="000000"/>
          <w:kern w:val="0"/>
          <w:szCs w:val="21"/>
        </w:rPr>
        <w:t>银河基金管理有限公司</w:t>
      </w:r>
    </w:p>
    <w:p w:rsidR="00F52A67" w:rsidRPr="00BE7A4F" w:rsidRDefault="00F52A67" w:rsidP="00CB4ACD">
      <w:pPr>
        <w:spacing w:line="288" w:lineRule="auto"/>
        <w:ind w:firstLineChars="177" w:firstLine="372"/>
        <w:rPr>
          <w:rFonts w:asciiTheme="minorEastAsia" w:hAnsiTheme="minorEastAsia" w:cs="宋体"/>
          <w:color w:val="000000"/>
          <w:kern w:val="0"/>
          <w:szCs w:val="21"/>
        </w:rPr>
      </w:pPr>
      <w:r w:rsidRPr="00BE7A4F">
        <w:rPr>
          <w:rFonts w:asciiTheme="minorEastAsia" w:hAnsiTheme="minorEastAsia" w:cs="宋体" w:hint="eastAsia"/>
          <w:color w:val="000000"/>
          <w:kern w:val="0"/>
          <w:szCs w:val="21"/>
        </w:rPr>
        <w:t>客户服务电话：400-820-0860</w:t>
      </w:r>
    </w:p>
    <w:p w:rsidR="008B3C5E" w:rsidRDefault="00F52A67" w:rsidP="00CB4ACD">
      <w:pPr>
        <w:spacing w:line="288" w:lineRule="auto"/>
        <w:ind w:firstLineChars="177" w:firstLine="372"/>
        <w:rPr>
          <w:rFonts w:asciiTheme="minorEastAsia" w:hAnsiTheme="minorEastAsia" w:cs="宋体"/>
          <w:color w:val="000000"/>
          <w:kern w:val="0"/>
          <w:szCs w:val="21"/>
        </w:rPr>
      </w:pPr>
      <w:r w:rsidRPr="00BE7A4F">
        <w:rPr>
          <w:rFonts w:asciiTheme="minorEastAsia" w:hAnsiTheme="minorEastAsia" w:cs="宋体" w:hint="eastAsia"/>
          <w:color w:val="000000"/>
          <w:kern w:val="0"/>
          <w:szCs w:val="21"/>
        </w:rPr>
        <w:t>网址：</w:t>
      </w:r>
      <w:r w:rsidR="00BA0AAE" w:rsidRPr="00BA0AAE">
        <w:rPr>
          <w:rFonts w:asciiTheme="minorEastAsia" w:hAnsiTheme="minorEastAsia" w:cs="宋体" w:hint="eastAsia"/>
          <w:color w:val="000000"/>
          <w:kern w:val="0"/>
          <w:szCs w:val="21"/>
        </w:rPr>
        <w:t>www.c</w:t>
      </w:r>
      <w:r w:rsidR="00BA0AAE" w:rsidRPr="00BA0AAE">
        <w:rPr>
          <w:rFonts w:asciiTheme="minorEastAsia" w:hAnsiTheme="minorEastAsia" w:cs="宋体"/>
          <w:color w:val="000000"/>
          <w:kern w:val="0"/>
          <w:szCs w:val="21"/>
        </w:rPr>
        <w:t>gf.cn</w:t>
      </w:r>
    </w:p>
    <w:p w:rsidR="0048668B" w:rsidRPr="0048668B" w:rsidRDefault="00C93073" w:rsidP="0048668B">
      <w:pPr>
        <w:widowControl/>
        <w:spacing w:line="288" w:lineRule="auto"/>
        <w:ind w:firstLineChars="177" w:firstLine="372"/>
        <w:jc w:val="left"/>
        <w:rPr>
          <w:rFonts w:asciiTheme="minorEastAsia" w:hAnsiTheme="minorEastAsia" w:cs="Tahoma"/>
          <w:color w:val="000000"/>
          <w:kern w:val="0"/>
          <w:szCs w:val="21"/>
        </w:rPr>
      </w:pPr>
      <w:r w:rsidRPr="00BA0AAE">
        <w:rPr>
          <w:rFonts w:asciiTheme="minorEastAsia" w:hAnsiTheme="minorEastAsia" w:cs="Tahoma"/>
          <w:color w:val="000000"/>
          <w:kern w:val="0"/>
          <w:szCs w:val="21"/>
        </w:rPr>
        <w:t>2</w:t>
      </w:r>
      <w:r w:rsidRPr="00BA0AAE">
        <w:rPr>
          <w:rFonts w:asciiTheme="minorEastAsia" w:hAnsiTheme="minorEastAsia" w:cs="Tahoma" w:hint="eastAsia"/>
          <w:color w:val="000000"/>
          <w:kern w:val="0"/>
          <w:szCs w:val="21"/>
        </w:rPr>
        <w:t>、</w:t>
      </w:r>
      <w:r w:rsidR="0048668B" w:rsidRPr="0048668B">
        <w:rPr>
          <w:rFonts w:asciiTheme="minorEastAsia" w:hAnsiTheme="minorEastAsia" w:cs="Tahoma" w:hint="eastAsia"/>
          <w:color w:val="000000"/>
          <w:kern w:val="0"/>
          <w:szCs w:val="21"/>
        </w:rPr>
        <w:t>中信期货有限公司</w:t>
      </w:r>
    </w:p>
    <w:p w:rsidR="0048668B" w:rsidRPr="0048668B" w:rsidRDefault="0048668B" w:rsidP="0048668B">
      <w:pPr>
        <w:widowControl/>
        <w:spacing w:line="288" w:lineRule="auto"/>
        <w:ind w:firstLineChars="177" w:firstLine="372"/>
        <w:jc w:val="left"/>
        <w:rPr>
          <w:rFonts w:asciiTheme="minorEastAsia" w:hAnsiTheme="minorEastAsia" w:cs="Tahoma"/>
          <w:color w:val="000000"/>
          <w:kern w:val="0"/>
          <w:szCs w:val="21"/>
        </w:rPr>
      </w:pPr>
      <w:r w:rsidRPr="0048668B">
        <w:rPr>
          <w:rFonts w:asciiTheme="minorEastAsia" w:hAnsiTheme="minorEastAsia" w:cs="Tahoma" w:hint="eastAsia"/>
          <w:color w:val="000000"/>
          <w:kern w:val="0"/>
          <w:szCs w:val="21"/>
        </w:rPr>
        <w:t>客户服务电话：400-990-8826</w:t>
      </w:r>
    </w:p>
    <w:p w:rsidR="00C93073" w:rsidRPr="00BA0AAE" w:rsidRDefault="0048668B">
      <w:pPr>
        <w:widowControl/>
        <w:spacing w:line="288" w:lineRule="auto"/>
        <w:ind w:firstLineChars="177" w:firstLine="372"/>
        <w:jc w:val="left"/>
        <w:rPr>
          <w:rFonts w:asciiTheme="minorEastAsia" w:hAnsiTheme="minorEastAsia" w:cs="Tahoma"/>
          <w:color w:val="000000"/>
          <w:kern w:val="0"/>
          <w:szCs w:val="21"/>
        </w:rPr>
      </w:pPr>
      <w:r w:rsidRPr="0048668B">
        <w:rPr>
          <w:rFonts w:asciiTheme="minorEastAsia" w:hAnsiTheme="minorEastAsia" w:cs="Tahoma" w:hint="eastAsia"/>
          <w:color w:val="000000"/>
          <w:kern w:val="0"/>
          <w:szCs w:val="21"/>
        </w:rPr>
        <w:t>网址：www.citicsf.com</w:t>
      </w:r>
    </w:p>
    <w:p w:rsidR="00413B7B" w:rsidRDefault="0048668B" w:rsidP="004F1B70">
      <w:pPr>
        <w:spacing w:line="288" w:lineRule="auto"/>
        <w:ind w:firstLineChars="177" w:firstLine="372"/>
        <w:rPr>
          <w:rFonts w:asciiTheme="minorEastAsia" w:hAnsiTheme="minorEastAsia" w:cs="Tahoma"/>
          <w:color w:val="000000"/>
          <w:kern w:val="0"/>
          <w:szCs w:val="21"/>
        </w:rPr>
      </w:pPr>
      <w:r w:rsidRPr="0048668B">
        <w:rPr>
          <w:rFonts w:ascii="宋体" w:hAnsi="宋体" w:cs="宋体" w:hint="eastAsia"/>
          <w:kern w:val="0"/>
          <w:szCs w:val="21"/>
        </w:rPr>
        <w:t>中信期货</w:t>
      </w:r>
      <w:r w:rsidR="00811E4C" w:rsidRPr="00811E4C">
        <w:rPr>
          <w:rFonts w:asciiTheme="minorEastAsia" w:hAnsiTheme="minorEastAsia" w:cs="Tahoma" w:hint="eastAsia"/>
          <w:color w:val="000000"/>
          <w:kern w:val="0"/>
          <w:szCs w:val="21"/>
        </w:rPr>
        <w:t>保留对上述业务的最终解释权。</w:t>
      </w:r>
    </w:p>
    <w:p w:rsidR="00811E4C" w:rsidRPr="00811E4C" w:rsidRDefault="00811E4C" w:rsidP="004F1B70">
      <w:pPr>
        <w:spacing w:line="288" w:lineRule="auto"/>
        <w:ind w:firstLineChars="177" w:firstLine="372"/>
        <w:rPr>
          <w:rFonts w:asciiTheme="minorEastAsia" w:hAnsiTheme="minorEastAsia" w:cs="Tahoma"/>
          <w:color w:val="000000"/>
          <w:kern w:val="0"/>
          <w:szCs w:val="21"/>
        </w:rPr>
      </w:pPr>
    </w:p>
    <w:p w:rsidR="00811E4C" w:rsidRPr="00811E4C" w:rsidRDefault="0015254D" w:rsidP="00811E4C">
      <w:pPr>
        <w:widowControl/>
        <w:spacing w:line="288" w:lineRule="auto"/>
        <w:ind w:firstLine="372"/>
        <w:jc w:val="left"/>
        <w:rPr>
          <w:rFonts w:ascii="宋体" w:hAnsi="宋体" w:cs="宋体"/>
          <w:color w:val="000000"/>
          <w:kern w:val="0"/>
          <w:szCs w:val="21"/>
        </w:rPr>
      </w:pPr>
      <w:r w:rsidRPr="00960F3A">
        <w:rPr>
          <w:rFonts w:ascii="宋体" w:hAnsi="宋体" w:cs="宋体" w:hint="eastAsia"/>
          <w:b/>
          <w:color w:val="000000"/>
          <w:kern w:val="0"/>
          <w:szCs w:val="21"/>
        </w:rPr>
        <w:t>风险提示：</w:t>
      </w:r>
      <w:r w:rsidR="00811E4C" w:rsidRPr="00811E4C">
        <w:rPr>
          <w:rFonts w:ascii="宋体" w:hAnsi="宋体" w:cs="宋体" w:hint="eastAsia"/>
          <w:color w:val="000000"/>
          <w:kern w:val="0"/>
          <w:szCs w:val="21"/>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F65856" w:rsidRDefault="00811E4C" w:rsidP="00CB4ACD">
      <w:pPr>
        <w:widowControl/>
        <w:spacing w:line="288" w:lineRule="auto"/>
        <w:ind w:firstLine="420"/>
        <w:jc w:val="left"/>
        <w:rPr>
          <w:rFonts w:ascii="宋体" w:hAnsi="宋体" w:cs="宋体"/>
          <w:color w:val="000000"/>
          <w:kern w:val="0"/>
          <w:szCs w:val="21"/>
        </w:rPr>
      </w:pPr>
      <w:r w:rsidRPr="00811E4C">
        <w:rPr>
          <w:rFonts w:ascii="宋体" w:hAnsi="宋体" w:cs="宋体" w:hint="eastAsia"/>
          <w:color w:val="000000"/>
          <w:kern w:val="0"/>
          <w:szCs w:val="21"/>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F65856" w:rsidRDefault="00F65856" w:rsidP="00CB4ACD">
      <w:pPr>
        <w:widowControl/>
        <w:spacing w:line="288" w:lineRule="auto"/>
        <w:ind w:firstLine="420"/>
        <w:jc w:val="left"/>
        <w:rPr>
          <w:rFonts w:ascii="宋体" w:hAnsi="宋体" w:cs="宋体"/>
          <w:color w:val="000000"/>
          <w:kern w:val="0"/>
          <w:szCs w:val="21"/>
        </w:rPr>
      </w:pPr>
    </w:p>
    <w:p w:rsidR="009F178D" w:rsidRPr="0046050D" w:rsidRDefault="009F178D" w:rsidP="00C5146C">
      <w:pPr>
        <w:spacing w:line="336" w:lineRule="auto"/>
        <w:ind w:firstLineChars="200" w:firstLine="420"/>
        <w:jc w:val="right"/>
        <w:rPr>
          <w:rFonts w:ascii="宋体" w:hAnsi="宋体" w:cs="宋体"/>
          <w:color w:val="000000"/>
          <w:kern w:val="0"/>
          <w:szCs w:val="21"/>
        </w:rPr>
      </w:pPr>
      <w:r w:rsidRPr="0046050D">
        <w:rPr>
          <w:rFonts w:ascii="宋体" w:hAnsi="宋体" w:cs="宋体" w:hint="eastAsia"/>
          <w:color w:val="000000"/>
          <w:kern w:val="0"/>
          <w:szCs w:val="21"/>
        </w:rPr>
        <w:t>银河基金管理有限公司</w:t>
      </w:r>
    </w:p>
    <w:p w:rsidR="002322F7" w:rsidRPr="005735BE" w:rsidRDefault="00775504" w:rsidP="00C5146C">
      <w:pPr>
        <w:spacing w:line="336" w:lineRule="auto"/>
        <w:ind w:firstLineChars="200" w:firstLine="420"/>
        <w:jc w:val="right"/>
        <w:rPr>
          <w:sz w:val="24"/>
          <w:szCs w:val="24"/>
        </w:rPr>
      </w:pPr>
      <w:r w:rsidRPr="00413B7B">
        <w:rPr>
          <w:rFonts w:ascii="宋体" w:hAnsi="宋体" w:cs="宋体" w:hint="eastAsia"/>
          <w:color w:val="000000"/>
          <w:kern w:val="0"/>
          <w:szCs w:val="21"/>
        </w:rPr>
        <w:t>202</w:t>
      </w:r>
      <w:r w:rsidRPr="00413B7B">
        <w:rPr>
          <w:rFonts w:ascii="宋体" w:hAnsi="宋体" w:cs="宋体"/>
          <w:color w:val="000000"/>
          <w:kern w:val="0"/>
          <w:szCs w:val="21"/>
        </w:rPr>
        <w:t>4</w:t>
      </w:r>
      <w:r w:rsidRPr="00413B7B">
        <w:rPr>
          <w:rFonts w:ascii="宋体" w:hAnsi="宋体" w:cs="宋体" w:hint="eastAsia"/>
          <w:color w:val="000000"/>
          <w:kern w:val="0"/>
          <w:szCs w:val="21"/>
        </w:rPr>
        <w:t>年</w:t>
      </w:r>
      <w:r>
        <w:rPr>
          <w:rFonts w:ascii="宋体" w:hAnsi="宋体" w:cs="宋体"/>
          <w:color w:val="000000"/>
          <w:kern w:val="0"/>
          <w:szCs w:val="21"/>
        </w:rPr>
        <w:t>11</w:t>
      </w:r>
      <w:r w:rsidRPr="00413B7B">
        <w:rPr>
          <w:rFonts w:ascii="宋体" w:hAnsi="宋体" w:cs="宋体" w:hint="eastAsia"/>
          <w:color w:val="000000"/>
          <w:kern w:val="0"/>
          <w:szCs w:val="21"/>
        </w:rPr>
        <w:t>月</w:t>
      </w:r>
      <w:r>
        <w:rPr>
          <w:rFonts w:ascii="宋体" w:hAnsi="宋体" w:cs="宋体"/>
          <w:color w:val="000000"/>
          <w:kern w:val="0"/>
          <w:szCs w:val="21"/>
        </w:rPr>
        <w:t>20</w:t>
      </w:r>
      <w:r w:rsidR="009F178D" w:rsidRPr="00413B7B">
        <w:rPr>
          <w:rFonts w:ascii="宋体" w:hAnsi="宋体" w:cs="宋体" w:hint="eastAsia"/>
          <w:color w:val="000000"/>
          <w:kern w:val="0"/>
          <w:szCs w:val="21"/>
        </w:rPr>
        <w:t>日</w:t>
      </w:r>
    </w:p>
    <w:sectPr w:rsidR="002322F7" w:rsidRPr="005735BE" w:rsidSect="009C4E36">
      <w:pgSz w:w="11906" w:h="16838"/>
      <w:pgMar w:top="1418"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7C0" w:rsidRDefault="00EF57C0" w:rsidP="00D262DE">
      <w:r>
        <w:separator/>
      </w:r>
    </w:p>
  </w:endnote>
  <w:endnote w:type="continuationSeparator" w:id="0">
    <w:p w:rsidR="00EF57C0" w:rsidRDefault="00EF57C0" w:rsidP="00D26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7C0" w:rsidRDefault="00EF57C0" w:rsidP="00D262DE">
      <w:r>
        <w:separator/>
      </w:r>
    </w:p>
  </w:footnote>
  <w:footnote w:type="continuationSeparator" w:id="0">
    <w:p w:rsidR="00EF57C0" w:rsidRDefault="00EF57C0" w:rsidP="00D26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171B8"/>
    <w:multiLevelType w:val="hybridMultilevel"/>
    <w:tmpl w:val="71E03474"/>
    <w:lvl w:ilvl="0" w:tplc="5A0CEB4C">
      <w:start w:val="1"/>
      <w:numFmt w:val="japaneseCounting"/>
      <w:lvlText w:val="%1、"/>
      <w:lvlJc w:val="left"/>
      <w:pPr>
        <w:ind w:left="824" w:hanging="450"/>
      </w:pPr>
      <w:rPr>
        <w:rFonts w:hint="default"/>
      </w:rPr>
    </w:lvl>
    <w:lvl w:ilvl="1" w:tplc="04090019" w:tentative="1">
      <w:start w:val="1"/>
      <w:numFmt w:val="lowerLetter"/>
      <w:lvlText w:val="%2)"/>
      <w:lvlJc w:val="left"/>
      <w:pPr>
        <w:ind w:left="1214" w:hanging="420"/>
      </w:pPr>
    </w:lvl>
    <w:lvl w:ilvl="2" w:tplc="0409001B" w:tentative="1">
      <w:start w:val="1"/>
      <w:numFmt w:val="lowerRoman"/>
      <w:lvlText w:val="%3."/>
      <w:lvlJc w:val="right"/>
      <w:pPr>
        <w:ind w:left="1634" w:hanging="420"/>
      </w:pPr>
    </w:lvl>
    <w:lvl w:ilvl="3" w:tplc="0409000F" w:tentative="1">
      <w:start w:val="1"/>
      <w:numFmt w:val="decimal"/>
      <w:lvlText w:val="%4."/>
      <w:lvlJc w:val="left"/>
      <w:pPr>
        <w:ind w:left="2054" w:hanging="420"/>
      </w:pPr>
    </w:lvl>
    <w:lvl w:ilvl="4" w:tplc="04090019" w:tentative="1">
      <w:start w:val="1"/>
      <w:numFmt w:val="lowerLetter"/>
      <w:lvlText w:val="%5)"/>
      <w:lvlJc w:val="left"/>
      <w:pPr>
        <w:ind w:left="2474" w:hanging="420"/>
      </w:pPr>
    </w:lvl>
    <w:lvl w:ilvl="5" w:tplc="0409001B" w:tentative="1">
      <w:start w:val="1"/>
      <w:numFmt w:val="lowerRoman"/>
      <w:lvlText w:val="%6."/>
      <w:lvlJc w:val="right"/>
      <w:pPr>
        <w:ind w:left="2894" w:hanging="420"/>
      </w:pPr>
    </w:lvl>
    <w:lvl w:ilvl="6" w:tplc="0409000F" w:tentative="1">
      <w:start w:val="1"/>
      <w:numFmt w:val="decimal"/>
      <w:lvlText w:val="%7."/>
      <w:lvlJc w:val="left"/>
      <w:pPr>
        <w:ind w:left="3314" w:hanging="420"/>
      </w:pPr>
    </w:lvl>
    <w:lvl w:ilvl="7" w:tplc="04090019" w:tentative="1">
      <w:start w:val="1"/>
      <w:numFmt w:val="lowerLetter"/>
      <w:lvlText w:val="%8)"/>
      <w:lvlJc w:val="left"/>
      <w:pPr>
        <w:ind w:left="3734" w:hanging="420"/>
      </w:pPr>
    </w:lvl>
    <w:lvl w:ilvl="8" w:tplc="0409001B" w:tentative="1">
      <w:start w:val="1"/>
      <w:numFmt w:val="lowerRoman"/>
      <w:lvlText w:val="%9."/>
      <w:lvlJc w:val="right"/>
      <w:pPr>
        <w:ind w:left="415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BE8"/>
    <w:rsid w:val="00002961"/>
    <w:rsid w:val="00027E15"/>
    <w:rsid w:val="000553A1"/>
    <w:rsid w:val="0007554C"/>
    <w:rsid w:val="00077FFC"/>
    <w:rsid w:val="00081C8E"/>
    <w:rsid w:val="0008279C"/>
    <w:rsid w:val="00085C9F"/>
    <w:rsid w:val="000C2405"/>
    <w:rsid w:val="000C5669"/>
    <w:rsid w:val="000D5CF9"/>
    <w:rsid w:val="000F16E6"/>
    <w:rsid w:val="000F1CD2"/>
    <w:rsid w:val="000F5AD6"/>
    <w:rsid w:val="00101812"/>
    <w:rsid w:val="0010360A"/>
    <w:rsid w:val="00130C83"/>
    <w:rsid w:val="00135BE8"/>
    <w:rsid w:val="0015254D"/>
    <w:rsid w:val="0016380C"/>
    <w:rsid w:val="001B37B1"/>
    <w:rsid w:val="001B5C3F"/>
    <w:rsid w:val="001C0E78"/>
    <w:rsid w:val="001D428B"/>
    <w:rsid w:val="001D7F5B"/>
    <w:rsid w:val="001E264A"/>
    <w:rsid w:val="001F6817"/>
    <w:rsid w:val="00205CD5"/>
    <w:rsid w:val="002139A8"/>
    <w:rsid w:val="0021406F"/>
    <w:rsid w:val="00230295"/>
    <w:rsid w:val="002322F7"/>
    <w:rsid w:val="002465B7"/>
    <w:rsid w:val="00257BAE"/>
    <w:rsid w:val="00263AF2"/>
    <w:rsid w:val="00284B60"/>
    <w:rsid w:val="002A0CD4"/>
    <w:rsid w:val="002C2994"/>
    <w:rsid w:val="002D273D"/>
    <w:rsid w:val="002D57DE"/>
    <w:rsid w:val="00336CBC"/>
    <w:rsid w:val="0036071D"/>
    <w:rsid w:val="00360932"/>
    <w:rsid w:val="00363B6B"/>
    <w:rsid w:val="003834D2"/>
    <w:rsid w:val="003943C4"/>
    <w:rsid w:val="003A3613"/>
    <w:rsid w:val="003B2685"/>
    <w:rsid w:val="003E2F7A"/>
    <w:rsid w:val="003E3076"/>
    <w:rsid w:val="003E34CA"/>
    <w:rsid w:val="003E606C"/>
    <w:rsid w:val="0040116D"/>
    <w:rsid w:val="00413B7B"/>
    <w:rsid w:val="00422ACC"/>
    <w:rsid w:val="00424A90"/>
    <w:rsid w:val="00446AE6"/>
    <w:rsid w:val="004509A2"/>
    <w:rsid w:val="0046050D"/>
    <w:rsid w:val="00471590"/>
    <w:rsid w:val="00474216"/>
    <w:rsid w:val="00482FDF"/>
    <w:rsid w:val="004838B6"/>
    <w:rsid w:val="0048668B"/>
    <w:rsid w:val="00491C3A"/>
    <w:rsid w:val="004B77F3"/>
    <w:rsid w:val="004C28F4"/>
    <w:rsid w:val="004D45CD"/>
    <w:rsid w:val="004F1B70"/>
    <w:rsid w:val="00513AC2"/>
    <w:rsid w:val="005405FE"/>
    <w:rsid w:val="005407EE"/>
    <w:rsid w:val="0054680D"/>
    <w:rsid w:val="00550C52"/>
    <w:rsid w:val="00552401"/>
    <w:rsid w:val="0056039E"/>
    <w:rsid w:val="0056065A"/>
    <w:rsid w:val="00560914"/>
    <w:rsid w:val="00564BB1"/>
    <w:rsid w:val="005735BE"/>
    <w:rsid w:val="0057361B"/>
    <w:rsid w:val="005A493A"/>
    <w:rsid w:val="005C7AE1"/>
    <w:rsid w:val="005E1C03"/>
    <w:rsid w:val="00613267"/>
    <w:rsid w:val="0062094D"/>
    <w:rsid w:val="0066343E"/>
    <w:rsid w:val="006652F7"/>
    <w:rsid w:val="006654A7"/>
    <w:rsid w:val="00667162"/>
    <w:rsid w:val="006B0A9E"/>
    <w:rsid w:val="006B4D61"/>
    <w:rsid w:val="006C50C3"/>
    <w:rsid w:val="006D57D8"/>
    <w:rsid w:val="006E3944"/>
    <w:rsid w:val="006E7FF5"/>
    <w:rsid w:val="006F4F05"/>
    <w:rsid w:val="00731D81"/>
    <w:rsid w:val="00761759"/>
    <w:rsid w:val="0076556C"/>
    <w:rsid w:val="00775504"/>
    <w:rsid w:val="00780396"/>
    <w:rsid w:val="0078094D"/>
    <w:rsid w:val="00792172"/>
    <w:rsid w:val="00792279"/>
    <w:rsid w:val="007A1D3B"/>
    <w:rsid w:val="007A4039"/>
    <w:rsid w:val="007D07CC"/>
    <w:rsid w:val="007D2CDE"/>
    <w:rsid w:val="007D6912"/>
    <w:rsid w:val="007E50C1"/>
    <w:rsid w:val="00801CE8"/>
    <w:rsid w:val="0080311C"/>
    <w:rsid w:val="00810C4F"/>
    <w:rsid w:val="0081157A"/>
    <w:rsid w:val="00811E4C"/>
    <w:rsid w:val="00816E19"/>
    <w:rsid w:val="0081715A"/>
    <w:rsid w:val="00820B05"/>
    <w:rsid w:val="00825828"/>
    <w:rsid w:val="00877C51"/>
    <w:rsid w:val="00885674"/>
    <w:rsid w:val="008870C8"/>
    <w:rsid w:val="008A6E9C"/>
    <w:rsid w:val="008B3C5E"/>
    <w:rsid w:val="008D5A73"/>
    <w:rsid w:val="008E0E02"/>
    <w:rsid w:val="008F4697"/>
    <w:rsid w:val="008F78CA"/>
    <w:rsid w:val="00902C0E"/>
    <w:rsid w:val="00904D41"/>
    <w:rsid w:val="009056B1"/>
    <w:rsid w:val="00931429"/>
    <w:rsid w:val="00944FD0"/>
    <w:rsid w:val="0095549E"/>
    <w:rsid w:val="00960F3A"/>
    <w:rsid w:val="009704C5"/>
    <w:rsid w:val="009809B3"/>
    <w:rsid w:val="00981073"/>
    <w:rsid w:val="00993379"/>
    <w:rsid w:val="00993ED9"/>
    <w:rsid w:val="009B5E1D"/>
    <w:rsid w:val="009C1573"/>
    <w:rsid w:val="009C4E36"/>
    <w:rsid w:val="009E31B6"/>
    <w:rsid w:val="009F178D"/>
    <w:rsid w:val="009F6AD3"/>
    <w:rsid w:val="00A0453E"/>
    <w:rsid w:val="00A22A8A"/>
    <w:rsid w:val="00A37596"/>
    <w:rsid w:val="00A5619C"/>
    <w:rsid w:val="00A65E95"/>
    <w:rsid w:val="00A76CB1"/>
    <w:rsid w:val="00AA6A20"/>
    <w:rsid w:val="00AB7480"/>
    <w:rsid w:val="00AC09DA"/>
    <w:rsid w:val="00AC5773"/>
    <w:rsid w:val="00AC5952"/>
    <w:rsid w:val="00AF4C65"/>
    <w:rsid w:val="00AF517C"/>
    <w:rsid w:val="00AF5519"/>
    <w:rsid w:val="00B141B5"/>
    <w:rsid w:val="00B14EDE"/>
    <w:rsid w:val="00B215DC"/>
    <w:rsid w:val="00B2297B"/>
    <w:rsid w:val="00B2542E"/>
    <w:rsid w:val="00B64561"/>
    <w:rsid w:val="00B72398"/>
    <w:rsid w:val="00B94E8F"/>
    <w:rsid w:val="00BA0AAE"/>
    <w:rsid w:val="00BA4C3E"/>
    <w:rsid w:val="00BC0FA8"/>
    <w:rsid w:val="00BC1988"/>
    <w:rsid w:val="00BD2123"/>
    <w:rsid w:val="00BD5CFB"/>
    <w:rsid w:val="00BE7A4F"/>
    <w:rsid w:val="00C1033D"/>
    <w:rsid w:val="00C30181"/>
    <w:rsid w:val="00C45C9F"/>
    <w:rsid w:val="00C5146C"/>
    <w:rsid w:val="00C566EC"/>
    <w:rsid w:val="00C93073"/>
    <w:rsid w:val="00C97682"/>
    <w:rsid w:val="00C979E2"/>
    <w:rsid w:val="00CB4ACD"/>
    <w:rsid w:val="00CD6E8C"/>
    <w:rsid w:val="00D262DE"/>
    <w:rsid w:val="00D57EC4"/>
    <w:rsid w:val="00D6317E"/>
    <w:rsid w:val="00D738DC"/>
    <w:rsid w:val="00DA22A7"/>
    <w:rsid w:val="00DA61F9"/>
    <w:rsid w:val="00DC25A1"/>
    <w:rsid w:val="00DC7E86"/>
    <w:rsid w:val="00DD0BC9"/>
    <w:rsid w:val="00DD326C"/>
    <w:rsid w:val="00DE4333"/>
    <w:rsid w:val="00DE6CF9"/>
    <w:rsid w:val="00DE6EDC"/>
    <w:rsid w:val="00E17144"/>
    <w:rsid w:val="00E21FAB"/>
    <w:rsid w:val="00E2240C"/>
    <w:rsid w:val="00E660B5"/>
    <w:rsid w:val="00E73123"/>
    <w:rsid w:val="00E81F65"/>
    <w:rsid w:val="00EB2D53"/>
    <w:rsid w:val="00EB7DEF"/>
    <w:rsid w:val="00EF57C0"/>
    <w:rsid w:val="00F01F34"/>
    <w:rsid w:val="00F07E50"/>
    <w:rsid w:val="00F14F12"/>
    <w:rsid w:val="00F339B8"/>
    <w:rsid w:val="00F52A67"/>
    <w:rsid w:val="00F607EF"/>
    <w:rsid w:val="00F65856"/>
    <w:rsid w:val="00F82A54"/>
    <w:rsid w:val="00F86B74"/>
    <w:rsid w:val="00FA57C6"/>
    <w:rsid w:val="00FE7239"/>
    <w:rsid w:val="00FF1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1D"/>
    <w:pPr>
      <w:widowControl w:val="0"/>
      <w:jc w:val="both"/>
    </w:pPr>
  </w:style>
  <w:style w:type="paragraph" w:styleId="2">
    <w:name w:val="heading 2"/>
    <w:basedOn w:val="a"/>
    <w:link w:val="2Char"/>
    <w:uiPriority w:val="9"/>
    <w:qFormat/>
    <w:rsid w:val="00135BE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35BE8"/>
    <w:rPr>
      <w:rFonts w:ascii="宋体" w:eastAsia="宋体" w:hAnsi="宋体" w:cs="宋体"/>
      <w:b/>
      <w:bCs/>
      <w:kern w:val="0"/>
      <w:sz w:val="36"/>
      <w:szCs w:val="36"/>
    </w:rPr>
  </w:style>
  <w:style w:type="character" w:styleId="a3">
    <w:name w:val="Hyperlink"/>
    <w:basedOn w:val="a0"/>
    <w:uiPriority w:val="99"/>
    <w:unhideWhenUsed/>
    <w:rsid w:val="00135BE8"/>
    <w:rPr>
      <w:color w:val="0000FF"/>
      <w:u w:val="single"/>
    </w:rPr>
  </w:style>
  <w:style w:type="paragraph" w:styleId="a4">
    <w:name w:val="Normal (Web)"/>
    <w:basedOn w:val="a"/>
    <w:uiPriority w:val="99"/>
    <w:semiHidden/>
    <w:unhideWhenUsed/>
    <w:rsid w:val="00135BE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35BE8"/>
  </w:style>
  <w:style w:type="paragraph" w:styleId="a5">
    <w:name w:val="header"/>
    <w:basedOn w:val="a"/>
    <w:link w:val="Char"/>
    <w:uiPriority w:val="99"/>
    <w:unhideWhenUsed/>
    <w:rsid w:val="00D2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62DE"/>
    <w:rPr>
      <w:sz w:val="18"/>
      <w:szCs w:val="18"/>
    </w:rPr>
  </w:style>
  <w:style w:type="paragraph" w:styleId="a6">
    <w:name w:val="footer"/>
    <w:basedOn w:val="a"/>
    <w:link w:val="Char0"/>
    <w:uiPriority w:val="99"/>
    <w:unhideWhenUsed/>
    <w:rsid w:val="00D262DE"/>
    <w:pPr>
      <w:tabs>
        <w:tab w:val="center" w:pos="4153"/>
        <w:tab w:val="right" w:pos="8306"/>
      </w:tabs>
      <w:snapToGrid w:val="0"/>
      <w:jc w:val="left"/>
    </w:pPr>
    <w:rPr>
      <w:sz w:val="18"/>
      <w:szCs w:val="18"/>
    </w:rPr>
  </w:style>
  <w:style w:type="character" w:customStyle="1" w:styleId="Char0">
    <w:name w:val="页脚 Char"/>
    <w:basedOn w:val="a0"/>
    <w:link w:val="a6"/>
    <w:uiPriority w:val="99"/>
    <w:rsid w:val="00D262DE"/>
    <w:rPr>
      <w:sz w:val="18"/>
      <w:szCs w:val="18"/>
    </w:rPr>
  </w:style>
  <w:style w:type="paragraph" w:styleId="a7">
    <w:name w:val="Balloon Text"/>
    <w:basedOn w:val="a"/>
    <w:link w:val="Char1"/>
    <w:uiPriority w:val="99"/>
    <w:semiHidden/>
    <w:unhideWhenUsed/>
    <w:rsid w:val="00D262DE"/>
    <w:rPr>
      <w:sz w:val="18"/>
      <w:szCs w:val="18"/>
    </w:rPr>
  </w:style>
  <w:style w:type="character" w:customStyle="1" w:styleId="Char1">
    <w:name w:val="批注框文本 Char"/>
    <w:basedOn w:val="a0"/>
    <w:link w:val="a7"/>
    <w:uiPriority w:val="99"/>
    <w:semiHidden/>
    <w:rsid w:val="00D262DE"/>
    <w:rPr>
      <w:sz w:val="18"/>
      <w:szCs w:val="18"/>
    </w:rPr>
  </w:style>
  <w:style w:type="character" w:customStyle="1" w:styleId="1">
    <w:name w:val="未处理的提及1"/>
    <w:basedOn w:val="a0"/>
    <w:uiPriority w:val="99"/>
    <w:semiHidden/>
    <w:unhideWhenUsed/>
    <w:rsid w:val="00491C3A"/>
    <w:rPr>
      <w:color w:val="605E5C"/>
      <w:shd w:val="clear" w:color="auto" w:fill="E1DFDD"/>
    </w:rPr>
  </w:style>
  <w:style w:type="character" w:styleId="a8">
    <w:name w:val="annotation reference"/>
    <w:basedOn w:val="a0"/>
    <w:uiPriority w:val="99"/>
    <w:semiHidden/>
    <w:unhideWhenUsed/>
    <w:rsid w:val="00A76CB1"/>
    <w:rPr>
      <w:sz w:val="21"/>
      <w:szCs w:val="21"/>
    </w:rPr>
  </w:style>
  <w:style w:type="paragraph" w:styleId="a9">
    <w:name w:val="annotation text"/>
    <w:basedOn w:val="a"/>
    <w:link w:val="Char2"/>
    <w:uiPriority w:val="99"/>
    <w:semiHidden/>
    <w:unhideWhenUsed/>
    <w:rsid w:val="00A76CB1"/>
    <w:pPr>
      <w:jc w:val="left"/>
    </w:pPr>
  </w:style>
  <w:style w:type="character" w:customStyle="1" w:styleId="Char2">
    <w:name w:val="批注文字 Char"/>
    <w:basedOn w:val="a0"/>
    <w:link w:val="a9"/>
    <w:uiPriority w:val="99"/>
    <w:semiHidden/>
    <w:rsid w:val="00A76CB1"/>
  </w:style>
  <w:style w:type="paragraph" w:styleId="aa">
    <w:name w:val="annotation subject"/>
    <w:basedOn w:val="a9"/>
    <w:next w:val="a9"/>
    <w:link w:val="Char3"/>
    <w:uiPriority w:val="99"/>
    <w:semiHidden/>
    <w:unhideWhenUsed/>
    <w:rsid w:val="00A76CB1"/>
    <w:rPr>
      <w:b/>
      <w:bCs/>
    </w:rPr>
  </w:style>
  <w:style w:type="character" w:customStyle="1" w:styleId="Char3">
    <w:name w:val="批注主题 Char"/>
    <w:basedOn w:val="Char2"/>
    <w:link w:val="aa"/>
    <w:uiPriority w:val="99"/>
    <w:semiHidden/>
    <w:rsid w:val="00A76CB1"/>
    <w:rPr>
      <w:b/>
      <w:bCs/>
    </w:rPr>
  </w:style>
  <w:style w:type="character" w:customStyle="1" w:styleId="val9">
    <w:name w:val="val9"/>
    <w:basedOn w:val="a0"/>
    <w:rsid w:val="005A493A"/>
  </w:style>
  <w:style w:type="character" w:customStyle="1" w:styleId="UnresolvedMention">
    <w:name w:val="Unresolved Mention"/>
    <w:basedOn w:val="a0"/>
    <w:uiPriority w:val="99"/>
    <w:semiHidden/>
    <w:unhideWhenUsed/>
    <w:rsid w:val="00413B7B"/>
    <w:rPr>
      <w:color w:val="605E5C"/>
      <w:shd w:val="clear" w:color="auto" w:fill="E1DFDD"/>
    </w:rPr>
  </w:style>
  <w:style w:type="paragraph" w:styleId="ab">
    <w:name w:val="List Paragraph"/>
    <w:basedOn w:val="a"/>
    <w:uiPriority w:val="34"/>
    <w:qFormat/>
    <w:rsid w:val="00B215DC"/>
    <w:pPr>
      <w:ind w:firstLineChars="200" w:firstLine="420"/>
    </w:pPr>
  </w:style>
</w:styles>
</file>

<file path=word/webSettings.xml><?xml version="1.0" encoding="utf-8"?>
<w:webSettings xmlns:r="http://schemas.openxmlformats.org/officeDocument/2006/relationships" xmlns:w="http://schemas.openxmlformats.org/wordprocessingml/2006/main">
  <w:divs>
    <w:div w:id="186648643">
      <w:bodyDiv w:val="1"/>
      <w:marLeft w:val="0"/>
      <w:marRight w:val="0"/>
      <w:marTop w:val="0"/>
      <w:marBottom w:val="0"/>
      <w:divBdr>
        <w:top w:val="none" w:sz="0" w:space="0" w:color="auto"/>
        <w:left w:val="none" w:sz="0" w:space="0" w:color="auto"/>
        <w:bottom w:val="none" w:sz="0" w:space="0" w:color="auto"/>
        <w:right w:val="none" w:sz="0" w:space="0" w:color="auto"/>
      </w:divBdr>
    </w:div>
    <w:div w:id="366027118">
      <w:bodyDiv w:val="1"/>
      <w:marLeft w:val="0"/>
      <w:marRight w:val="0"/>
      <w:marTop w:val="0"/>
      <w:marBottom w:val="0"/>
      <w:divBdr>
        <w:top w:val="none" w:sz="0" w:space="0" w:color="auto"/>
        <w:left w:val="none" w:sz="0" w:space="0" w:color="auto"/>
        <w:bottom w:val="none" w:sz="0" w:space="0" w:color="auto"/>
        <w:right w:val="none" w:sz="0" w:space="0" w:color="auto"/>
      </w:divBdr>
    </w:div>
    <w:div w:id="376785875">
      <w:bodyDiv w:val="1"/>
      <w:marLeft w:val="0"/>
      <w:marRight w:val="0"/>
      <w:marTop w:val="0"/>
      <w:marBottom w:val="0"/>
      <w:divBdr>
        <w:top w:val="none" w:sz="0" w:space="0" w:color="auto"/>
        <w:left w:val="none" w:sz="0" w:space="0" w:color="auto"/>
        <w:bottom w:val="none" w:sz="0" w:space="0" w:color="auto"/>
        <w:right w:val="none" w:sz="0" w:space="0" w:color="auto"/>
      </w:divBdr>
    </w:div>
    <w:div w:id="898713188">
      <w:bodyDiv w:val="1"/>
      <w:marLeft w:val="0"/>
      <w:marRight w:val="0"/>
      <w:marTop w:val="0"/>
      <w:marBottom w:val="0"/>
      <w:divBdr>
        <w:top w:val="none" w:sz="0" w:space="0" w:color="auto"/>
        <w:left w:val="none" w:sz="0" w:space="0" w:color="auto"/>
        <w:bottom w:val="none" w:sz="0" w:space="0" w:color="auto"/>
        <w:right w:val="none" w:sz="0" w:space="0" w:color="auto"/>
      </w:divBdr>
    </w:div>
    <w:div w:id="919556385">
      <w:bodyDiv w:val="1"/>
      <w:marLeft w:val="0"/>
      <w:marRight w:val="0"/>
      <w:marTop w:val="0"/>
      <w:marBottom w:val="0"/>
      <w:divBdr>
        <w:top w:val="none" w:sz="0" w:space="0" w:color="auto"/>
        <w:left w:val="none" w:sz="0" w:space="0" w:color="auto"/>
        <w:bottom w:val="none" w:sz="0" w:space="0" w:color="auto"/>
        <w:right w:val="none" w:sz="0" w:space="0" w:color="auto"/>
      </w:divBdr>
    </w:div>
    <w:div w:id="1090925977">
      <w:bodyDiv w:val="1"/>
      <w:marLeft w:val="0"/>
      <w:marRight w:val="0"/>
      <w:marTop w:val="0"/>
      <w:marBottom w:val="0"/>
      <w:divBdr>
        <w:top w:val="none" w:sz="0" w:space="0" w:color="auto"/>
        <w:left w:val="none" w:sz="0" w:space="0" w:color="auto"/>
        <w:bottom w:val="none" w:sz="0" w:space="0" w:color="auto"/>
        <w:right w:val="none" w:sz="0" w:space="0" w:color="auto"/>
      </w:divBdr>
    </w:div>
    <w:div w:id="1216160628">
      <w:bodyDiv w:val="1"/>
      <w:marLeft w:val="0"/>
      <w:marRight w:val="0"/>
      <w:marTop w:val="0"/>
      <w:marBottom w:val="0"/>
      <w:divBdr>
        <w:top w:val="none" w:sz="0" w:space="0" w:color="auto"/>
        <w:left w:val="none" w:sz="0" w:space="0" w:color="auto"/>
        <w:bottom w:val="none" w:sz="0" w:space="0" w:color="auto"/>
        <w:right w:val="none" w:sz="0" w:space="0" w:color="auto"/>
      </w:divBdr>
    </w:div>
    <w:div w:id="1454445326">
      <w:bodyDiv w:val="1"/>
      <w:marLeft w:val="0"/>
      <w:marRight w:val="0"/>
      <w:marTop w:val="0"/>
      <w:marBottom w:val="0"/>
      <w:divBdr>
        <w:top w:val="none" w:sz="0" w:space="0" w:color="auto"/>
        <w:left w:val="none" w:sz="0" w:space="0" w:color="auto"/>
        <w:bottom w:val="none" w:sz="0" w:space="0" w:color="auto"/>
        <w:right w:val="none" w:sz="0" w:space="0" w:color="auto"/>
      </w:divBdr>
      <w:divsChild>
        <w:div w:id="966275670">
          <w:marLeft w:val="0"/>
          <w:marRight w:val="0"/>
          <w:marTop w:val="0"/>
          <w:marBottom w:val="0"/>
          <w:divBdr>
            <w:top w:val="none" w:sz="0" w:space="0" w:color="auto"/>
            <w:left w:val="none" w:sz="0" w:space="0" w:color="auto"/>
            <w:bottom w:val="none" w:sz="0" w:space="0" w:color="auto"/>
            <w:right w:val="none" w:sz="0" w:space="0" w:color="auto"/>
          </w:divBdr>
        </w:div>
        <w:div w:id="302006191">
          <w:marLeft w:val="0"/>
          <w:marRight w:val="0"/>
          <w:marTop w:val="0"/>
          <w:marBottom w:val="0"/>
          <w:divBdr>
            <w:top w:val="none" w:sz="0" w:space="0" w:color="auto"/>
            <w:left w:val="none" w:sz="0" w:space="0" w:color="auto"/>
            <w:bottom w:val="none" w:sz="0" w:space="0" w:color="auto"/>
            <w:right w:val="none" w:sz="0" w:space="0" w:color="auto"/>
          </w:divBdr>
        </w:div>
        <w:div w:id="801263394">
          <w:marLeft w:val="0"/>
          <w:marRight w:val="0"/>
          <w:marTop w:val="0"/>
          <w:marBottom w:val="0"/>
          <w:divBdr>
            <w:top w:val="none" w:sz="0" w:space="0" w:color="auto"/>
            <w:left w:val="none" w:sz="0" w:space="0" w:color="auto"/>
            <w:bottom w:val="none" w:sz="0" w:space="0" w:color="auto"/>
            <w:right w:val="none" w:sz="0" w:space="0" w:color="auto"/>
          </w:divBdr>
        </w:div>
        <w:div w:id="1708525976">
          <w:marLeft w:val="0"/>
          <w:marRight w:val="0"/>
          <w:marTop w:val="0"/>
          <w:marBottom w:val="0"/>
          <w:divBdr>
            <w:top w:val="none" w:sz="0" w:space="0" w:color="auto"/>
            <w:left w:val="none" w:sz="0" w:space="0" w:color="auto"/>
            <w:bottom w:val="none" w:sz="0" w:space="0" w:color="auto"/>
            <w:right w:val="none" w:sz="0" w:space="0" w:color="auto"/>
          </w:divBdr>
        </w:div>
        <w:div w:id="360592375">
          <w:marLeft w:val="0"/>
          <w:marRight w:val="0"/>
          <w:marTop w:val="0"/>
          <w:marBottom w:val="0"/>
          <w:divBdr>
            <w:top w:val="none" w:sz="0" w:space="0" w:color="auto"/>
            <w:left w:val="none" w:sz="0" w:space="0" w:color="auto"/>
            <w:bottom w:val="none" w:sz="0" w:space="0" w:color="auto"/>
            <w:right w:val="none" w:sz="0" w:space="0" w:color="auto"/>
          </w:divBdr>
        </w:div>
        <w:div w:id="631524558">
          <w:marLeft w:val="720"/>
          <w:marRight w:val="0"/>
          <w:marTop w:val="0"/>
          <w:marBottom w:val="0"/>
          <w:divBdr>
            <w:top w:val="none" w:sz="0" w:space="0" w:color="auto"/>
            <w:left w:val="none" w:sz="0" w:space="0" w:color="auto"/>
            <w:bottom w:val="none" w:sz="0" w:space="0" w:color="auto"/>
            <w:right w:val="none" w:sz="0" w:space="0" w:color="auto"/>
          </w:divBdr>
        </w:div>
        <w:div w:id="264970292">
          <w:marLeft w:val="0"/>
          <w:marRight w:val="0"/>
          <w:marTop w:val="0"/>
          <w:marBottom w:val="0"/>
          <w:divBdr>
            <w:top w:val="none" w:sz="0" w:space="0" w:color="auto"/>
            <w:left w:val="none" w:sz="0" w:space="0" w:color="auto"/>
            <w:bottom w:val="none" w:sz="0" w:space="0" w:color="auto"/>
            <w:right w:val="none" w:sz="0" w:space="0" w:color="auto"/>
          </w:divBdr>
        </w:div>
        <w:div w:id="1804738726">
          <w:marLeft w:val="0"/>
          <w:marRight w:val="0"/>
          <w:marTop w:val="0"/>
          <w:marBottom w:val="0"/>
          <w:divBdr>
            <w:top w:val="none" w:sz="0" w:space="0" w:color="auto"/>
            <w:left w:val="none" w:sz="0" w:space="0" w:color="auto"/>
            <w:bottom w:val="none" w:sz="0" w:space="0" w:color="auto"/>
            <w:right w:val="none" w:sz="0" w:space="0" w:color="auto"/>
          </w:divBdr>
        </w:div>
        <w:div w:id="10230062">
          <w:marLeft w:val="0"/>
          <w:marRight w:val="0"/>
          <w:marTop w:val="0"/>
          <w:marBottom w:val="0"/>
          <w:divBdr>
            <w:top w:val="none" w:sz="0" w:space="0" w:color="auto"/>
            <w:left w:val="none" w:sz="0" w:space="0" w:color="auto"/>
            <w:bottom w:val="none" w:sz="0" w:space="0" w:color="auto"/>
            <w:right w:val="none" w:sz="0" w:space="0" w:color="auto"/>
          </w:divBdr>
        </w:div>
        <w:div w:id="2127312412">
          <w:marLeft w:val="0"/>
          <w:marRight w:val="0"/>
          <w:marTop w:val="0"/>
          <w:marBottom w:val="0"/>
          <w:divBdr>
            <w:top w:val="none" w:sz="0" w:space="0" w:color="auto"/>
            <w:left w:val="none" w:sz="0" w:space="0" w:color="auto"/>
            <w:bottom w:val="none" w:sz="0" w:space="0" w:color="auto"/>
            <w:right w:val="none" w:sz="0" w:space="0" w:color="auto"/>
          </w:divBdr>
        </w:div>
        <w:div w:id="1745712829">
          <w:marLeft w:val="0"/>
          <w:marRight w:val="0"/>
          <w:marTop w:val="0"/>
          <w:marBottom w:val="0"/>
          <w:divBdr>
            <w:top w:val="none" w:sz="0" w:space="0" w:color="auto"/>
            <w:left w:val="none" w:sz="0" w:space="0" w:color="auto"/>
            <w:bottom w:val="none" w:sz="0" w:space="0" w:color="auto"/>
            <w:right w:val="none" w:sz="0" w:space="0" w:color="auto"/>
          </w:divBdr>
        </w:div>
        <w:div w:id="1841579110">
          <w:marLeft w:val="0"/>
          <w:marRight w:val="0"/>
          <w:marTop w:val="0"/>
          <w:marBottom w:val="0"/>
          <w:divBdr>
            <w:top w:val="none" w:sz="0" w:space="0" w:color="auto"/>
            <w:left w:val="none" w:sz="0" w:space="0" w:color="auto"/>
            <w:bottom w:val="none" w:sz="0" w:space="0" w:color="auto"/>
            <w:right w:val="none" w:sz="0" w:space="0" w:color="auto"/>
          </w:divBdr>
        </w:div>
        <w:div w:id="516969840">
          <w:marLeft w:val="0"/>
          <w:marRight w:val="0"/>
          <w:marTop w:val="0"/>
          <w:marBottom w:val="0"/>
          <w:divBdr>
            <w:top w:val="none" w:sz="0" w:space="0" w:color="auto"/>
            <w:left w:val="none" w:sz="0" w:space="0" w:color="auto"/>
            <w:bottom w:val="none" w:sz="0" w:space="0" w:color="auto"/>
            <w:right w:val="none" w:sz="0" w:space="0" w:color="auto"/>
          </w:divBdr>
        </w:div>
        <w:div w:id="1309019798">
          <w:marLeft w:val="0"/>
          <w:marRight w:val="0"/>
          <w:marTop w:val="0"/>
          <w:marBottom w:val="0"/>
          <w:divBdr>
            <w:top w:val="none" w:sz="0" w:space="0" w:color="auto"/>
            <w:left w:val="none" w:sz="0" w:space="0" w:color="auto"/>
            <w:bottom w:val="none" w:sz="0" w:space="0" w:color="auto"/>
            <w:right w:val="none" w:sz="0" w:space="0" w:color="auto"/>
          </w:divBdr>
        </w:div>
        <w:div w:id="203830568">
          <w:marLeft w:val="0"/>
          <w:marRight w:val="0"/>
          <w:marTop w:val="0"/>
          <w:marBottom w:val="0"/>
          <w:divBdr>
            <w:top w:val="none" w:sz="0" w:space="0" w:color="auto"/>
            <w:left w:val="none" w:sz="0" w:space="0" w:color="auto"/>
            <w:bottom w:val="none" w:sz="0" w:space="0" w:color="auto"/>
            <w:right w:val="none" w:sz="0" w:space="0" w:color="auto"/>
          </w:divBdr>
        </w:div>
        <w:div w:id="1766681900">
          <w:marLeft w:val="0"/>
          <w:marRight w:val="0"/>
          <w:marTop w:val="0"/>
          <w:marBottom w:val="0"/>
          <w:divBdr>
            <w:top w:val="none" w:sz="0" w:space="0" w:color="auto"/>
            <w:left w:val="none" w:sz="0" w:space="0" w:color="auto"/>
            <w:bottom w:val="none" w:sz="0" w:space="0" w:color="auto"/>
            <w:right w:val="none" w:sz="0" w:space="0" w:color="auto"/>
          </w:divBdr>
        </w:div>
        <w:div w:id="1746107890">
          <w:marLeft w:val="0"/>
          <w:marRight w:val="0"/>
          <w:marTop w:val="0"/>
          <w:marBottom w:val="0"/>
          <w:divBdr>
            <w:top w:val="none" w:sz="0" w:space="0" w:color="auto"/>
            <w:left w:val="none" w:sz="0" w:space="0" w:color="auto"/>
            <w:bottom w:val="none" w:sz="0" w:space="0" w:color="auto"/>
            <w:right w:val="none" w:sz="0" w:space="0" w:color="auto"/>
          </w:divBdr>
        </w:div>
        <w:div w:id="1496726604">
          <w:marLeft w:val="0"/>
          <w:marRight w:val="0"/>
          <w:marTop w:val="0"/>
          <w:marBottom w:val="0"/>
          <w:divBdr>
            <w:top w:val="none" w:sz="0" w:space="0" w:color="auto"/>
            <w:left w:val="none" w:sz="0" w:space="0" w:color="auto"/>
            <w:bottom w:val="none" w:sz="0" w:space="0" w:color="auto"/>
            <w:right w:val="none" w:sz="0" w:space="0" w:color="auto"/>
          </w:divBdr>
        </w:div>
        <w:div w:id="1317760989">
          <w:marLeft w:val="0"/>
          <w:marRight w:val="0"/>
          <w:marTop w:val="0"/>
          <w:marBottom w:val="0"/>
          <w:divBdr>
            <w:top w:val="none" w:sz="0" w:space="0" w:color="auto"/>
            <w:left w:val="none" w:sz="0" w:space="0" w:color="auto"/>
            <w:bottom w:val="none" w:sz="0" w:space="0" w:color="auto"/>
            <w:right w:val="none" w:sz="0" w:space="0" w:color="auto"/>
          </w:divBdr>
        </w:div>
        <w:div w:id="653989826">
          <w:marLeft w:val="0"/>
          <w:marRight w:val="0"/>
          <w:marTop w:val="0"/>
          <w:marBottom w:val="0"/>
          <w:divBdr>
            <w:top w:val="none" w:sz="0" w:space="0" w:color="auto"/>
            <w:left w:val="none" w:sz="0" w:space="0" w:color="auto"/>
            <w:bottom w:val="none" w:sz="0" w:space="0" w:color="auto"/>
            <w:right w:val="none" w:sz="0" w:space="0" w:color="auto"/>
          </w:divBdr>
        </w:div>
        <w:div w:id="262349000">
          <w:marLeft w:val="0"/>
          <w:marRight w:val="0"/>
          <w:marTop w:val="0"/>
          <w:marBottom w:val="0"/>
          <w:divBdr>
            <w:top w:val="none" w:sz="0" w:space="0" w:color="auto"/>
            <w:left w:val="none" w:sz="0" w:space="0" w:color="auto"/>
            <w:bottom w:val="none" w:sz="0" w:space="0" w:color="auto"/>
            <w:right w:val="none" w:sz="0" w:space="0" w:color="auto"/>
          </w:divBdr>
        </w:div>
        <w:div w:id="699207092">
          <w:marLeft w:val="0"/>
          <w:marRight w:val="0"/>
          <w:marTop w:val="0"/>
          <w:marBottom w:val="0"/>
          <w:divBdr>
            <w:top w:val="none" w:sz="0" w:space="0" w:color="auto"/>
            <w:left w:val="none" w:sz="0" w:space="0" w:color="auto"/>
            <w:bottom w:val="none" w:sz="0" w:space="0" w:color="auto"/>
            <w:right w:val="none" w:sz="0" w:space="0" w:color="auto"/>
          </w:divBdr>
        </w:div>
        <w:div w:id="993603493">
          <w:marLeft w:val="720"/>
          <w:marRight w:val="0"/>
          <w:marTop w:val="0"/>
          <w:marBottom w:val="0"/>
          <w:divBdr>
            <w:top w:val="none" w:sz="0" w:space="0" w:color="auto"/>
            <w:left w:val="none" w:sz="0" w:space="0" w:color="auto"/>
            <w:bottom w:val="none" w:sz="0" w:space="0" w:color="auto"/>
            <w:right w:val="none" w:sz="0" w:space="0" w:color="auto"/>
          </w:divBdr>
        </w:div>
        <w:div w:id="1826503932">
          <w:marLeft w:val="0"/>
          <w:marRight w:val="0"/>
          <w:marTop w:val="0"/>
          <w:marBottom w:val="0"/>
          <w:divBdr>
            <w:top w:val="none" w:sz="0" w:space="0" w:color="auto"/>
            <w:left w:val="none" w:sz="0" w:space="0" w:color="auto"/>
            <w:bottom w:val="none" w:sz="0" w:space="0" w:color="auto"/>
            <w:right w:val="none" w:sz="0" w:space="0" w:color="auto"/>
          </w:divBdr>
        </w:div>
        <w:div w:id="842167722">
          <w:marLeft w:val="0"/>
          <w:marRight w:val="0"/>
          <w:marTop w:val="0"/>
          <w:marBottom w:val="0"/>
          <w:divBdr>
            <w:top w:val="none" w:sz="0" w:space="0" w:color="auto"/>
            <w:left w:val="none" w:sz="0" w:space="0" w:color="auto"/>
            <w:bottom w:val="none" w:sz="0" w:space="0" w:color="auto"/>
            <w:right w:val="none" w:sz="0" w:space="0" w:color="auto"/>
          </w:divBdr>
        </w:div>
        <w:div w:id="386610946">
          <w:marLeft w:val="0"/>
          <w:marRight w:val="0"/>
          <w:marTop w:val="0"/>
          <w:marBottom w:val="0"/>
          <w:divBdr>
            <w:top w:val="none" w:sz="0" w:space="0" w:color="auto"/>
            <w:left w:val="none" w:sz="0" w:space="0" w:color="auto"/>
            <w:bottom w:val="none" w:sz="0" w:space="0" w:color="auto"/>
            <w:right w:val="none" w:sz="0" w:space="0" w:color="auto"/>
          </w:divBdr>
        </w:div>
        <w:div w:id="1326199943">
          <w:marLeft w:val="0"/>
          <w:marRight w:val="0"/>
          <w:marTop w:val="0"/>
          <w:marBottom w:val="0"/>
          <w:divBdr>
            <w:top w:val="none" w:sz="0" w:space="0" w:color="auto"/>
            <w:left w:val="none" w:sz="0" w:space="0" w:color="auto"/>
            <w:bottom w:val="none" w:sz="0" w:space="0" w:color="auto"/>
            <w:right w:val="none" w:sz="0" w:space="0" w:color="auto"/>
          </w:divBdr>
        </w:div>
        <w:div w:id="1016543154">
          <w:marLeft w:val="0"/>
          <w:marRight w:val="0"/>
          <w:marTop w:val="0"/>
          <w:marBottom w:val="0"/>
          <w:divBdr>
            <w:top w:val="none" w:sz="0" w:space="0" w:color="auto"/>
            <w:left w:val="none" w:sz="0" w:space="0" w:color="auto"/>
            <w:bottom w:val="none" w:sz="0" w:space="0" w:color="auto"/>
            <w:right w:val="none" w:sz="0" w:space="0" w:color="auto"/>
          </w:divBdr>
        </w:div>
        <w:div w:id="1072124456">
          <w:marLeft w:val="0"/>
          <w:marRight w:val="0"/>
          <w:marTop w:val="0"/>
          <w:marBottom w:val="0"/>
          <w:divBdr>
            <w:top w:val="none" w:sz="0" w:space="0" w:color="auto"/>
            <w:left w:val="none" w:sz="0" w:space="0" w:color="auto"/>
            <w:bottom w:val="none" w:sz="0" w:space="0" w:color="auto"/>
            <w:right w:val="none" w:sz="0" w:space="0" w:color="auto"/>
          </w:divBdr>
        </w:div>
        <w:div w:id="1681345732">
          <w:marLeft w:val="0"/>
          <w:marRight w:val="0"/>
          <w:marTop w:val="0"/>
          <w:marBottom w:val="0"/>
          <w:divBdr>
            <w:top w:val="none" w:sz="0" w:space="0" w:color="auto"/>
            <w:left w:val="none" w:sz="0" w:space="0" w:color="auto"/>
            <w:bottom w:val="none" w:sz="0" w:space="0" w:color="auto"/>
            <w:right w:val="none" w:sz="0" w:space="0" w:color="auto"/>
          </w:divBdr>
        </w:div>
        <w:div w:id="662200919">
          <w:marLeft w:val="0"/>
          <w:marRight w:val="0"/>
          <w:marTop w:val="0"/>
          <w:marBottom w:val="0"/>
          <w:divBdr>
            <w:top w:val="none" w:sz="0" w:space="0" w:color="auto"/>
            <w:left w:val="none" w:sz="0" w:space="0" w:color="auto"/>
            <w:bottom w:val="none" w:sz="0" w:space="0" w:color="auto"/>
            <w:right w:val="none" w:sz="0" w:space="0" w:color="auto"/>
          </w:divBdr>
        </w:div>
        <w:div w:id="1247766963">
          <w:marLeft w:val="0"/>
          <w:marRight w:val="0"/>
          <w:marTop w:val="0"/>
          <w:marBottom w:val="0"/>
          <w:divBdr>
            <w:top w:val="none" w:sz="0" w:space="0" w:color="auto"/>
            <w:left w:val="none" w:sz="0" w:space="0" w:color="auto"/>
            <w:bottom w:val="none" w:sz="0" w:space="0" w:color="auto"/>
            <w:right w:val="none" w:sz="0" w:space="0" w:color="auto"/>
          </w:divBdr>
        </w:div>
        <w:div w:id="681857427">
          <w:marLeft w:val="0"/>
          <w:marRight w:val="0"/>
          <w:marTop w:val="0"/>
          <w:marBottom w:val="0"/>
          <w:divBdr>
            <w:top w:val="none" w:sz="0" w:space="0" w:color="auto"/>
            <w:left w:val="none" w:sz="0" w:space="0" w:color="auto"/>
            <w:bottom w:val="none" w:sz="0" w:space="0" w:color="auto"/>
            <w:right w:val="none" w:sz="0" w:space="0" w:color="auto"/>
          </w:divBdr>
        </w:div>
        <w:div w:id="279460438">
          <w:marLeft w:val="0"/>
          <w:marRight w:val="0"/>
          <w:marTop w:val="0"/>
          <w:marBottom w:val="0"/>
          <w:divBdr>
            <w:top w:val="none" w:sz="0" w:space="0" w:color="auto"/>
            <w:left w:val="none" w:sz="0" w:space="0" w:color="auto"/>
            <w:bottom w:val="none" w:sz="0" w:space="0" w:color="auto"/>
            <w:right w:val="none" w:sz="0" w:space="0" w:color="auto"/>
          </w:divBdr>
        </w:div>
        <w:div w:id="492260174">
          <w:marLeft w:val="0"/>
          <w:marRight w:val="0"/>
          <w:marTop w:val="0"/>
          <w:marBottom w:val="0"/>
          <w:divBdr>
            <w:top w:val="none" w:sz="0" w:space="0" w:color="auto"/>
            <w:left w:val="none" w:sz="0" w:space="0" w:color="auto"/>
            <w:bottom w:val="none" w:sz="0" w:space="0" w:color="auto"/>
            <w:right w:val="none" w:sz="0" w:space="0" w:color="auto"/>
          </w:divBdr>
        </w:div>
        <w:div w:id="225460242">
          <w:marLeft w:val="0"/>
          <w:marRight w:val="0"/>
          <w:marTop w:val="0"/>
          <w:marBottom w:val="0"/>
          <w:divBdr>
            <w:top w:val="none" w:sz="0" w:space="0" w:color="auto"/>
            <w:left w:val="none" w:sz="0" w:space="0" w:color="auto"/>
            <w:bottom w:val="none" w:sz="0" w:space="0" w:color="auto"/>
            <w:right w:val="none" w:sz="0" w:space="0" w:color="auto"/>
          </w:divBdr>
        </w:div>
        <w:div w:id="482742720">
          <w:marLeft w:val="0"/>
          <w:marRight w:val="0"/>
          <w:marTop w:val="0"/>
          <w:marBottom w:val="0"/>
          <w:divBdr>
            <w:top w:val="none" w:sz="0" w:space="0" w:color="auto"/>
            <w:left w:val="none" w:sz="0" w:space="0" w:color="auto"/>
            <w:bottom w:val="none" w:sz="0" w:space="0" w:color="auto"/>
            <w:right w:val="none" w:sz="0" w:space="0" w:color="auto"/>
          </w:divBdr>
        </w:div>
        <w:div w:id="1999110975">
          <w:marLeft w:val="0"/>
          <w:marRight w:val="0"/>
          <w:marTop w:val="0"/>
          <w:marBottom w:val="0"/>
          <w:divBdr>
            <w:top w:val="none" w:sz="0" w:space="0" w:color="auto"/>
            <w:left w:val="none" w:sz="0" w:space="0" w:color="auto"/>
            <w:bottom w:val="none" w:sz="0" w:space="0" w:color="auto"/>
            <w:right w:val="none" w:sz="0" w:space="0" w:color="auto"/>
          </w:divBdr>
        </w:div>
        <w:div w:id="575362278">
          <w:marLeft w:val="0"/>
          <w:marRight w:val="0"/>
          <w:marTop w:val="0"/>
          <w:marBottom w:val="0"/>
          <w:divBdr>
            <w:top w:val="none" w:sz="0" w:space="0" w:color="auto"/>
            <w:left w:val="none" w:sz="0" w:space="0" w:color="auto"/>
            <w:bottom w:val="none" w:sz="0" w:space="0" w:color="auto"/>
            <w:right w:val="none" w:sz="0" w:space="0" w:color="auto"/>
          </w:divBdr>
        </w:div>
        <w:div w:id="1700542143">
          <w:marLeft w:val="720"/>
          <w:marRight w:val="0"/>
          <w:marTop w:val="0"/>
          <w:marBottom w:val="0"/>
          <w:divBdr>
            <w:top w:val="none" w:sz="0" w:space="0" w:color="auto"/>
            <w:left w:val="none" w:sz="0" w:space="0" w:color="auto"/>
            <w:bottom w:val="none" w:sz="0" w:space="0" w:color="auto"/>
            <w:right w:val="none" w:sz="0" w:space="0" w:color="auto"/>
          </w:divBdr>
        </w:div>
        <w:div w:id="1322999804">
          <w:marLeft w:val="0"/>
          <w:marRight w:val="0"/>
          <w:marTop w:val="0"/>
          <w:marBottom w:val="0"/>
          <w:divBdr>
            <w:top w:val="none" w:sz="0" w:space="0" w:color="auto"/>
            <w:left w:val="none" w:sz="0" w:space="0" w:color="auto"/>
            <w:bottom w:val="none" w:sz="0" w:space="0" w:color="auto"/>
            <w:right w:val="none" w:sz="0" w:space="0" w:color="auto"/>
          </w:divBdr>
        </w:div>
        <w:div w:id="1980188453">
          <w:marLeft w:val="0"/>
          <w:marRight w:val="0"/>
          <w:marTop w:val="0"/>
          <w:marBottom w:val="0"/>
          <w:divBdr>
            <w:top w:val="none" w:sz="0" w:space="0" w:color="auto"/>
            <w:left w:val="none" w:sz="0" w:space="0" w:color="auto"/>
            <w:bottom w:val="none" w:sz="0" w:space="0" w:color="auto"/>
            <w:right w:val="none" w:sz="0" w:space="0" w:color="auto"/>
          </w:divBdr>
        </w:div>
        <w:div w:id="1796676441">
          <w:marLeft w:val="0"/>
          <w:marRight w:val="0"/>
          <w:marTop w:val="0"/>
          <w:marBottom w:val="0"/>
          <w:divBdr>
            <w:top w:val="none" w:sz="0" w:space="0" w:color="auto"/>
            <w:left w:val="none" w:sz="0" w:space="0" w:color="auto"/>
            <w:bottom w:val="none" w:sz="0" w:space="0" w:color="auto"/>
            <w:right w:val="none" w:sz="0" w:space="0" w:color="auto"/>
          </w:divBdr>
        </w:div>
        <w:div w:id="1181318165">
          <w:marLeft w:val="0"/>
          <w:marRight w:val="0"/>
          <w:marTop w:val="0"/>
          <w:marBottom w:val="0"/>
          <w:divBdr>
            <w:top w:val="none" w:sz="0" w:space="0" w:color="auto"/>
            <w:left w:val="none" w:sz="0" w:space="0" w:color="auto"/>
            <w:bottom w:val="none" w:sz="0" w:space="0" w:color="auto"/>
            <w:right w:val="none" w:sz="0" w:space="0" w:color="auto"/>
          </w:divBdr>
        </w:div>
        <w:div w:id="1564870920">
          <w:marLeft w:val="0"/>
          <w:marRight w:val="0"/>
          <w:marTop w:val="0"/>
          <w:marBottom w:val="0"/>
          <w:divBdr>
            <w:top w:val="none" w:sz="0" w:space="0" w:color="auto"/>
            <w:left w:val="none" w:sz="0" w:space="0" w:color="auto"/>
            <w:bottom w:val="none" w:sz="0" w:space="0" w:color="auto"/>
            <w:right w:val="none" w:sz="0" w:space="0" w:color="auto"/>
          </w:divBdr>
        </w:div>
        <w:div w:id="353846286">
          <w:marLeft w:val="0"/>
          <w:marRight w:val="0"/>
          <w:marTop w:val="0"/>
          <w:marBottom w:val="0"/>
          <w:divBdr>
            <w:top w:val="none" w:sz="0" w:space="0" w:color="auto"/>
            <w:left w:val="none" w:sz="0" w:space="0" w:color="auto"/>
            <w:bottom w:val="none" w:sz="0" w:space="0" w:color="auto"/>
            <w:right w:val="none" w:sz="0" w:space="0" w:color="auto"/>
          </w:divBdr>
        </w:div>
        <w:div w:id="1502816613">
          <w:marLeft w:val="0"/>
          <w:marRight w:val="0"/>
          <w:marTop w:val="0"/>
          <w:marBottom w:val="0"/>
          <w:divBdr>
            <w:top w:val="none" w:sz="0" w:space="0" w:color="auto"/>
            <w:left w:val="none" w:sz="0" w:space="0" w:color="auto"/>
            <w:bottom w:val="none" w:sz="0" w:space="0" w:color="auto"/>
            <w:right w:val="none" w:sz="0" w:space="0" w:color="auto"/>
          </w:divBdr>
        </w:div>
        <w:div w:id="583806442">
          <w:marLeft w:val="0"/>
          <w:marRight w:val="0"/>
          <w:marTop w:val="0"/>
          <w:marBottom w:val="0"/>
          <w:divBdr>
            <w:top w:val="none" w:sz="0" w:space="0" w:color="auto"/>
            <w:left w:val="none" w:sz="0" w:space="0" w:color="auto"/>
            <w:bottom w:val="none" w:sz="0" w:space="0" w:color="auto"/>
            <w:right w:val="none" w:sz="0" w:space="0" w:color="auto"/>
          </w:divBdr>
        </w:div>
        <w:div w:id="1962227894">
          <w:marLeft w:val="0"/>
          <w:marRight w:val="0"/>
          <w:marTop w:val="0"/>
          <w:marBottom w:val="0"/>
          <w:divBdr>
            <w:top w:val="none" w:sz="0" w:space="0" w:color="auto"/>
            <w:left w:val="none" w:sz="0" w:space="0" w:color="auto"/>
            <w:bottom w:val="none" w:sz="0" w:space="0" w:color="auto"/>
            <w:right w:val="none" w:sz="0" w:space="0" w:color="auto"/>
          </w:divBdr>
        </w:div>
        <w:div w:id="824980324">
          <w:marLeft w:val="0"/>
          <w:marRight w:val="0"/>
          <w:marTop w:val="0"/>
          <w:marBottom w:val="0"/>
          <w:divBdr>
            <w:top w:val="none" w:sz="0" w:space="0" w:color="auto"/>
            <w:left w:val="none" w:sz="0" w:space="0" w:color="auto"/>
            <w:bottom w:val="none" w:sz="0" w:space="0" w:color="auto"/>
            <w:right w:val="none" w:sz="0" w:space="0" w:color="auto"/>
          </w:divBdr>
        </w:div>
        <w:div w:id="293946865">
          <w:marLeft w:val="0"/>
          <w:marRight w:val="0"/>
          <w:marTop w:val="0"/>
          <w:marBottom w:val="0"/>
          <w:divBdr>
            <w:top w:val="none" w:sz="0" w:space="0" w:color="auto"/>
            <w:left w:val="none" w:sz="0" w:space="0" w:color="auto"/>
            <w:bottom w:val="none" w:sz="0" w:space="0" w:color="auto"/>
            <w:right w:val="none" w:sz="0" w:space="0" w:color="auto"/>
          </w:divBdr>
        </w:div>
        <w:div w:id="1163201265">
          <w:marLeft w:val="0"/>
          <w:marRight w:val="0"/>
          <w:marTop w:val="0"/>
          <w:marBottom w:val="0"/>
          <w:divBdr>
            <w:top w:val="none" w:sz="0" w:space="0" w:color="auto"/>
            <w:left w:val="none" w:sz="0" w:space="0" w:color="auto"/>
            <w:bottom w:val="none" w:sz="0" w:space="0" w:color="auto"/>
            <w:right w:val="none" w:sz="0" w:space="0" w:color="auto"/>
          </w:divBdr>
        </w:div>
        <w:div w:id="1098867147">
          <w:marLeft w:val="0"/>
          <w:marRight w:val="0"/>
          <w:marTop w:val="0"/>
          <w:marBottom w:val="0"/>
          <w:divBdr>
            <w:top w:val="none" w:sz="0" w:space="0" w:color="auto"/>
            <w:left w:val="none" w:sz="0" w:space="0" w:color="auto"/>
            <w:bottom w:val="none" w:sz="0" w:space="0" w:color="auto"/>
            <w:right w:val="none" w:sz="0" w:space="0" w:color="auto"/>
          </w:divBdr>
        </w:div>
        <w:div w:id="1506047504">
          <w:marLeft w:val="0"/>
          <w:marRight w:val="0"/>
          <w:marTop w:val="0"/>
          <w:marBottom w:val="0"/>
          <w:divBdr>
            <w:top w:val="none" w:sz="0" w:space="0" w:color="auto"/>
            <w:left w:val="none" w:sz="0" w:space="0" w:color="auto"/>
            <w:bottom w:val="none" w:sz="0" w:space="0" w:color="auto"/>
            <w:right w:val="none" w:sz="0" w:space="0" w:color="auto"/>
          </w:divBdr>
        </w:div>
        <w:div w:id="1626693035">
          <w:marLeft w:val="720"/>
          <w:marRight w:val="0"/>
          <w:marTop w:val="0"/>
          <w:marBottom w:val="0"/>
          <w:divBdr>
            <w:top w:val="none" w:sz="0" w:space="0" w:color="auto"/>
            <w:left w:val="none" w:sz="0" w:space="0" w:color="auto"/>
            <w:bottom w:val="none" w:sz="0" w:space="0" w:color="auto"/>
            <w:right w:val="none" w:sz="0" w:space="0" w:color="auto"/>
          </w:divBdr>
        </w:div>
        <w:div w:id="371153121">
          <w:marLeft w:val="0"/>
          <w:marRight w:val="0"/>
          <w:marTop w:val="0"/>
          <w:marBottom w:val="0"/>
          <w:divBdr>
            <w:top w:val="none" w:sz="0" w:space="0" w:color="auto"/>
            <w:left w:val="none" w:sz="0" w:space="0" w:color="auto"/>
            <w:bottom w:val="none" w:sz="0" w:space="0" w:color="auto"/>
            <w:right w:val="none" w:sz="0" w:space="0" w:color="auto"/>
          </w:divBdr>
        </w:div>
        <w:div w:id="1395737766">
          <w:marLeft w:val="0"/>
          <w:marRight w:val="0"/>
          <w:marTop w:val="0"/>
          <w:marBottom w:val="0"/>
          <w:divBdr>
            <w:top w:val="none" w:sz="0" w:space="0" w:color="auto"/>
            <w:left w:val="none" w:sz="0" w:space="0" w:color="auto"/>
            <w:bottom w:val="none" w:sz="0" w:space="0" w:color="auto"/>
            <w:right w:val="none" w:sz="0" w:space="0" w:color="auto"/>
          </w:divBdr>
        </w:div>
        <w:div w:id="518736526">
          <w:marLeft w:val="0"/>
          <w:marRight w:val="0"/>
          <w:marTop w:val="0"/>
          <w:marBottom w:val="0"/>
          <w:divBdr>
            <w:top w:val="none" w:sz="0" w:space="0" w:color="auto"/>
            <w:left w:val="none" w:sz="0" w:space="0" w:color="auto"/>
            <w:bottom w:val="none" w:sz="0" w:space="0" w:color="auto"/>
            <w:right w:val="none" w:sz="0" w:space="0" w:color="auto"/>
          </w:divBdr>
        </w:div>
        <w:div w:id="1174227457">
          <w:marLeft w:val="0"/>
          <w:marRight w:val="0"/>
          <w:marTop w:val="0"/>
          <w:marBottom w:val="0"/>
          <w:divBdr>
            <w:top w:val="none" w:sz="0" w:space="0" w:color="auto"/>
            <w:left w:val="none" w:sz="0" w:space="0" w:color="auto"/>
            <w:bottom w:val="none" w:sz="0" w:space="0" w:color="auto"/>
            <w:right w:val="none" w:sz="0" w:space="0" w:color="auto"/>
          </w:divBdr>
        </w:div>
        <w:div w:id="643700961">
          <w:marLeft w:val="0"/>
          <w:marRight w:val="0"/>
          <w:marTop w:val="0"/>
          <w:marBottom w:val="0"/>
          <w:divBdr>
            <w:top w:val="none" w:sz="0" w:space="0" w:color="auto"/>
            <w:left w:val="none" w:sz="0" w:space="0" w:color="auto"/>
            <w:bottom w:val="none" w:sz="0" w:space="0" w:color="auto"/>
            <w:right w:val="none" w:sz="0" w:space="0" w:color="auto"/>
          </w:divBdr>
        </w:div>
        <w:div w:id="1913390954">
          <w:marLeft w:val="0"/>
          <w:marRight w:val="0"/>
          <w:marTop w:val="0"/>
          <w:marBottom w:val="0"/>
          <w:divBdr>
            <w:top w:val="none" w:sz="0" w:space="0" w:color="auto"/>
            <w:left w:val="none" w:sz="0" w:space="0" w:color="auto"/>
            <w:bottom w:val="none" w:sz="0" w:space="0" w:color="auto"/>
            <w:right w:val="none" w:sz="0" w:space="0" w:color="auto"/>
          </w:divBdr>
        </w:div>
        <w:div w:id="1736006521">
          <w:marLeft w:val="0"/>
          <w:marRight w:val="0"/>
          <w:marTop w:val="0"/>
          <w:marBottom w:val="0"/>
          <w:divBdr>
            <w:top w:val="none" w:sz="0" w:space="0" w:color="auto"/>
            <w:left w:val="none" w:sz="0" w:space="0" w:color="auto"/>
            <w:bottom w:val="none" w:sz="0" w:space="0" w:color="auto"/>
            <w:right w:val="none" w:sz="0" w:space="0" w:color="auto"/>
          </w:divBdr>
        </w:div>
        <w:div w:id="1582566973">
          <w:marLeft w:val="0"/>
          <w:marRight w:val="0"/>
          <w:marTop w:val="0"/>
          <w:marBottom w:val="0"/>
          <w:divBdr>
            <w:top w:val="none" w:sz="0" w:space="0" w:color="auto"/>
            <w:left w:val="none" w:sz="0" w:space="0" w:color="auto"/>
            <w:bottom w:val="none" w:sz="0" w:space="0" w:color="auto"/>
            <w:right w:val="none" w:sz="0" w:space="0" w:color="auto"/>
          </w:divBdr>
        </w:div>
        <w:div w:id="1419981307">
          <w:marLeft w:val="0"/>
          <w:marRight w:val="0"/>
          <w:marTop w:val="0"/>
          <w:marBottom w:val="0"/>
          <w:divBdr>
            <w:top w:val="none" w:sz="0" w:space="0" w:color="auto"/>
            <w:left w:val="none" w:sz="0" w:space="0" w:color="auto"/>
            <w:bottom w:val="none" w:sz="0" w:space="0" w:color="auto"/>
            <w:right w:val="none" w:sz="0" w:space="0" w:color="auto"/>
          </w:divBdr>
        </w:div>
        <w:div w:id="176165512">
          <w:marLeft w:val="0"/>
          <w:marRight w:val="0"/>
          <w:marTop w:val="0"/>
          <w:marBottom w:val="0"/>
          <w:divBdr>
            <w:top w:val="none" w:sz="0" w:space="0" w:color="auto"/>
            <w:left w:val="none" w:sz="0" w:space="0" w:color="auto"/>
            <w:bottom w:val="none" w:sz="0" w:space="0" w:color="auto"/>
            <w:right w:val="none" w:sz="0" w:space="0" w:color="auto"/>
          </w:divBdr>
        </w:div>
        <w:div w:id="1913007216">
          <w:marLeft w:val="0"/>
          <w:marRight w:val="0"/>
          <w:marTop w:val="0"/>
          <w:marBottom w:val="0"/>
          <w:divBdr>
            <w:top w:val="none" w:sz="0" w:space="0" w:color="auto"/>
            <w:left w:val="none" w:sz="0" w:space="0" w:color="auto"/>
            <w:bottom w:val="none" w:sz="0" w:space="0" w:color="auto"/>
            <w:right w:val="none" w:sz="0" w:space="0" w:color="auto"/>
          </w:divBdr>
        </w:div>
        <w:div w:id="1194733470">
          <w:marLeft w:val="0"/>
          <w:marRight w:val="0"/>
          <w:marTop w:val="0"/>
          <w:marBottom w:val="0"/>
          <w:divBdr>
            <w:top w:val="none" w:sz="0" w:space="0" w:color="auto"/>
            <w:left w:val="none" w:sz="0" w:space="0" w:color="auto"/>
            <w:bottom w:val="none" w:sz="0" w:space="0" w:color="auto"/>
            <w:right w:val="none" w:sz="0" w:space="0" w:color="auto"/>
          </w:divBdr>
        </w:div>
        <w:div w:id="1141776698">
          <w:marLeft w:val="0"/>
          <w:marRight w:val="0"/>
          <w:marTop w:val="0"/>
          <w:marBottom w:val="0"/>
          <w:divBdr>
            <w:top w:val="none" w:sz="0" w:space="0" w:color="auto"/>
            <w:left w:val="none" w:sz="0" w:space="0" w:color="auto"/>
            <w:bottom w:val="none" w:sz="0" w:space="0" w:color="auto"/>
            <w:right w:val="none" w:sz="0" w:space="0" w:color="auto"/>
          </w:divBdr>
        </w:div>
        <w:div w:id="763578325">
          <w:marLeft w:val="0"/>
          <w:marRight w:val="0"/>
          <w:marTop w:val="0"/>
          <w:marBottom w:val="0"/>
          <w:divBdr>
            <w:top w:val="none" w:sz="0" w:space="0" w:color="auto"/>
            <w:left w:val="none" w:sz="0" w:space="0" w:color="auto"/>
            <w:bottom w:val="none" w:sz="0" w:space="0" w:color="auto"/>
            <w:right w:val="none" w:sz="0" w:space="0" w:color="auto"/>
          </w:divBdr>
        </w:div>
        <w:div w:id="450172969">
          <w:marLeft w:val="720"/>
          <w:marRight w:val="0"/>
          <w:marTop w:val="0"/>
          <w:marBottom w:val="0"/>
          <w:divBdr>
            <w:top w:val="none" w:sz="0" w:space="0" w:color="auto"/>
            <w:left w:val="none" w:sz="0" w:space="0" w:color="auto"/>
            <w:bottom w:val="none" w:sz="0" w:space="0" w:color="auto"/>
            <w:right w:val="none" w:sz="0" w:space="0" w:color="auto"/>
          </w:divBdr>
        </w:div>
        <w:div w:id="1757240702">
          <w:marLeft w:val="0"/>
          <w:marRight w:val="0"/>
          <w:marTop w:val="0"/>
          <w:marBottom w:val="0"/>
          <w:divBdr>
            <w:top w:val="none" w:sz="0" w:space="0" w:color="auto"/>
            <w:left w:val="none" w:sz="0" w:space="0" w:color="auto"/>
            <w:bottom w:val="none" w:sz="0" w:space="0" w:color="auto"/>
            <w:right w:val="none" w:sz="0" w:space="0" w:color="auto"/>
          </w:divBdr>
        </w:div>
        <w:div w:id="1009142082">
          <w:marLeft w:val="0"/>
          <w:marRight w:val="0"/>
          <w:marTop w:val="0"/>
          <w:marBottom w:val="0"/>
          <w:divBdr>
            <w:top w:val="none" w:sz="0" w:space="0" w:color="auto"/>
            <w:left w:val="none" w:sz="0" w:space="0" w:color="auto"/>
            <w:bottom w:val="none" w:sz="0" w:space="0" w:color="auto"/>
            <w:right w:val="none" w:sz="0" w:space="0" w:color="auto"/>
          </w:divBdr>
        </w:div>
        <w:div w:id="132329357">
          <w:marLeft w:val="0"/>
          <w:marRight w:val="0"/>
          <w:marTop w:val="0"/>
          <w:marBottom w:val="0"/>
          <w:divBdr>
            <w:top w:val="none" w:sz="0" w:space="0" w:color="auto"/>
            <w:left w:val="none" w:sz="0" w:space="0" w:color="auto"/>
            <w:bottom w:val="none" w:sz="0" w:space="0" w:color="auto"/>
            <w:right w:val="none" w:sz="0" w:space="0" w:color="auto"/>
          </w:divBdr>
        </w:div>
        <w:div w:id="1476609506">
          <w:marLeft w:val="0"/>
          <w:marRight w:val="0"/>
          <w:marTop w:val="0"/>
          <w:marBottom w:val="0"/>
          <w:divBdr>
            <w:top w:val="none" w:sz="0" w:space="0" w:color="auto"/>
            <w:left w:val="none" w:sz="0" w:space="0" w:color="auto"/>
            <w:bottom w:val="none" w:sz="0" w:space="0" w:color="auto"/>
            <w:right w:val="none" w:sz="0" w:space="0" w:color="auto"/>
          </w:divBdr>
        </w:div>
        <w:div w:id="2040084916">
          <w:marLeft w:val="0"/>
          <w:marRight w:val="0"/>
          <w:marTop w:val="0"/>
          <w:marBottom w:val="0"/>
          <w:divBdr>
            <w:top w:val="none" w:sz="0" w:space="0" w:color="auto"/>
            <w:left w:val="none" w:sz="0" w:space="0" w:color="auto"/>
            <w:bottom w:val="none" w:sz="0" w:space="0" w:color="auto"/>
            <w:right w:val="none" w:sz="0" w:space="0" w:color="auto"/>
          </w:divBdr>
        </w:div>
        <w:div w:id="1427312095">
          <w:marLeft w:val="0"/>
          <w:marRight w:val="0"/>
          <w:marTop w:val="0"/>
          <w:marBottom w:val="0"/>
          <w:divBdr>
            <w:top w:val="none" w:sz="0" w:space="0" w:color="auto"/>
            <w:left w:val="none" w:sz="0" w:space="0" w:color="auto"/>
            <w:bottom w:val="none" w:sz="0" w:space="0" w:color="auto"/>
            <w:right w:val="none" w:sz="0" w:space="0" w:color="auto"/>
          </w:divBdr>
        </w:div>
        <w:div w:id="599803731">
          <w:marLeft w:val="0"/>
          <w:marRight w:val="0"/>
          <w:marTop w:val="0"/>
          <w:marBottom w:val="0"/>
          <w:divBdr>
            <w:top w:val="none" w:sz="0" w:space="0" w:color="auto"/>
            <w:left w:val="none" w:sz="0" w:space="0" w:color="auto"/>
            <w:bottom w:val="none" w:sz="0" w:space="0" w:color="auto"/>
            <w:right w:val="none" w:sz="0" w:space="0" w:color="auto"/>
          </w:divBdr>
        </w:div>
        <w:div w:id="1210654222">
          <w:marLeft w:val="0"/>
          <w:marRight w:val="0"/>
          <w:marTop w:val="0"/>
          <w:marBottom w:val="0"/>
          <w:divBdr>
            <w:top w:val="none" w:sz="0" w:space="0" w:color="auto"/>
            <w:left w:val="none" w:sz="0" w:space="0" w:color="auto"/>
            <w:bottom w:val="none" w:sz="0" w:space="0" w:color="auto"/>
            <w:right w:val="none" w:sz="0" w:space="0" w:color="auto"/>
          </w:divBdr>
        </w:div>
        <w:div w:id="362290769">
          <w:marLeft w:val="0"/>
          <w:marRight w:val="0"/>
          <w:marTop w:val="0"/>
          <w:marBottom w:val="0"/>
          <w:divBdr>
            <w:top w:val="none" w:sz="0" w:space="0" w:color="auto"/>
            <w:left w:val="none" w:sz="0" w:space="0" w:color="auto"/>
            <w:bottom w:val="none" w:sz="0" w:space="0" w:color="auto"/>
            <w:right w:val="none" w:sz="0" w:space="0" w:color="auto"/>
          </w:divBdr>
        </w:div>
        <w:div w:id="759059391">
          <w:marLeft w:val="0"/>
          <w:marRight w:val="0"/>
          <w:marTop w:val="0"/>
          <w:marBottom w:val="0"/>
          <w:divBdr>
            <w:top w:val="none" w:sz="0" w:space="0" w:color="auto"/>
            <w:left w:val="none" w:sz="0" w:space="0" w:color="auto"/>
            <w:bottom w:val="none" w:sz="0" w:space="0" w:color="auto"/>
            <w:right w:val="none" w:sz="0" w:space="0" w:color="auto"/>
          </w:divBdr>
        </w:div>
        <w:div w:id="1491094005">
          <w:marLeft w:val="0"/>
          <w:marRight w:val="0"/>
          <w:marTop w:val="0"/>
          <w:marBottom w:val="0"/>
          <w:divBdr>
            <w:top w:val="none" w:sz="0" w:space="0" w:color="auto"/>
            <w:left w:val="none" w:sz="0" w:space="0" w:color="auto"/>
            <w:bottom w:val="none" w:sz="0" w:space="0" w:color="auto"/>
            <w:right w:val="none" w:sz="0" w:space="0" w:color="auto"/>
          </w:divBdr>
        </w:div>
        <w:div w:id="1657417241">
          <w:marLeft w:val="0"/>
          <w:marRight w:val="0"/>
          <w:marTop w:val="0"/>
          <w:marBottom w:val="0"/>
          <w:divBdr>
            <w:top w:val="none" w:sz="0" w:space="0" w:color="auto"/>
            <w:left w:val="none" w:sz="0" w:space="0" w:color="auto"/>
            <w:bottom w:val="none" w:sz="0" w:space="0" w:color="auto"/>
            <w:right w:val="none" w:sz="0" w:space="0" w:color="auto"/>
          </w:divBdr>
        </w:div>
        <w:div w:id="366222488">
          <w:marLeft w:val="0"/>
          <w:marRight w:val="0"/>
          <w:marTop w:val="0"/>
          <w:marBottom w:val="0"/>
          <w:divBdr>
            <w:top w:val="none" w:sz="0" w:space="0" w:color="auto"/>
            <w:left w:val="none" w:sz="0" w:space="0" w:color="auto"/>
            <w:bottom w:val="none" w:sz="0" w:space="0" w:color="auto"/>
            <w:right w:val="none" w:sz="0" w:space="0" w:color="auto"/>
          </w:divBdr>
        </w:div>
        <w:div w:id="1983464997">
          <w:marLeft w:val="0"/>
          <w:marRight w:val="0"/>
          <w:marTop w:val="0"/>
          <w:marBottom w:val="0"/>
          <w:divBdr>
            <w:top w:val="none" w:sz="0" w:space="0" w:color="auto"/>
            <w:left w:val="none" w:sz="0" w:space="0" w:color="auto"/>
            <w:bottom w:val="none" w:sz="0" w:space="0" w:color="auto"/>
            <w:right w:val="none" w:sz="0" w:space="0" w:color="auto"/>
          </w:divBdr>
        </w:div>
        <w:div w:id="663821598">
          <w:marLeft w:val="720"/>
          <w:marRight w:val="0"/>
          <w:marTop w:val="0"/>
          <w:marBottom w:val="0"/>
          <w:divBdr>
            <w:top w:val="none" w:sz="0" w:space="0" w:color="auto"/>
            <w:left w:val="none" w:sz="0" w:space="0" w:color="auto"/>
            <w:bottom w:val="none" w:sz="0" w:space="0" w:color="auto"/>
            <w:right w:val="none" w:sz="0" w:space="0" w:color="auto"/>
          </w:divBdr>
        </w:div>
        <w:div w:id="328102097">
          <w:marLeft w:val="0"/>
          <w:marRight w:val="0"/>
          <w:marTop w:val="0"/>
          <w:marBottom w:val="0"/>
          <w:divBdr>
            <w:top w:val="none" w:sz="0" w:space="0" w:color="auto"/>
            <w:left w:val="none" w:sz="0" w:space="0" w:color="auto"/>
            <w:bottom w:val="none" w:sz="0" w:space="0" w:color="auto"/>
            <w:right w:val="none" w:sz="0" w:space="0" w:color="auto"/>
          </w:divBdr>
        </w:div>
        <w:div w:id="1047685931">
          <w:marLeft w:val="0"/>
          <w:marRight w:val="0"/>
          <w:marTop w:val="0"/>
          <w:marBottom w:val="0"/>
          <w:divBdr>
            <w:top w:val="none" w:sz="0" w:space="0" w:color="auto"/>
            <w:left w:val="none" w:sz="0" w:space="0" w:color="auto"/>
            <w:bottom w:val="none" w:sz="0" w:space="0" w:color="auto"/>
            <w:right w:val="none" w:sz="0" w:space="0" w:color="auto"/>
          </w:divBdr>
        </w:div>
        <w:div w:id="6098144">
          <w:marLeft w:val="0"/>
          <w:marRight w:val="0"/>
          <w:marTop w:val="0"/>
          <w:marBottom w:val="0"/>
          <w:divBdr>
            <w:top w:val="none" w:sz="0" w:space="0" w:color="auto"/>
            <w:left w:val="none" w:sz="0" w:space="0" w:color="auto"/>
            <w:bottom w:val="none" w:sz="0" w:space="0" w:color="auto"/>
            <w:right w:val="none" w:sz="0" w:space="0" w:color="auto"/>
          </w:divBdr>
        </w:div>
        <w:div w:id="173228698">
          <w:marLeft w:val="0"/>
          <w:marRight w:val="0"/>
          <w:marTop w:val="0"/>
          <w:marBottom w:val="0"/>
          <w:divBdr>
            <w:top w:val="none" w:sz="0" w:space="0" w:color="auto"/>
            <w:left w:val="none" w:sz="0" w:space="0" w:color="auto"/>
            <w:bottom w:val="none" w:sz="0" w:space="0" w:color="auto"/>
            <w:right w:val="none" w:sz="0" w:space="0" w:color="auto"/>
          </w:divBdr>
        </w:div>
        <w:div w:id="1007948325">
          <w:marLeft w:val="0"/>
          <w:marRight w:val="0"/>
          <w:marTop w:val="0"/>
          <w:marBottom w:val="0"/>
          <w:divBdr>
            <w:top w:val="none" w:sz="0" w:space="0" w:color="auto"/>
            <w:left w:val="none" w:sz="0" w:space="0" w:color="auto"/>
            <w:bottom w:val="none" w:sz="0" w:space="0" w:color="auto"/>
            <w:right w:val="none" w:sz="0" w:space="0" w:color="auto"/>
          </w:divBdr>
        </w:div>
        <w:div w:id="882408301">
          <w:marLeft w:val="0"/>
          <w:marRight w:val="0"/>
          <w:marTop w:val="0"/>
          <w:marBottom w:val="0"/>
          <w:divBdr>
            <w:top w:val="none" w:sz="0" w:space="0" w:color="auto"/>
            <w:left w:val="none" w:sz="0" w:space="0" w:color="auto"/>
            <w:bottom w:val="none" w:sz="0" w:space="0" w:color="auto"/>
            <w:right w:val="none" w:sz="0" w:space="0" w:color="auto"/>
          </w:divBdr>
        </w:div>
        <w:div w:id="966155475">
          <w:marLeft w:val="0"/>
          <w:marRight w:val="0"/>
          <w:marTop w:val="0"/>
          <w:marBottom w:val="0"/>
          <w:divBdr>
            <w:top w:val="none" w:sz="0" w:space="0" w:color="auto"/>
            <w:left w:val="none" w:sz="0" w:space="0" w:color="auto"/>
            <w:bottom w:val="none" w:sz="0" w:space="0" w:color="auto"/>
            <w:right w:val="none" w:sz="0" w:space="0" w:color="auto"/>
          </w:divBdr>
        </w:div>
        <w:div w:id="1071269658">
          <w:marLeft w:val="0"/>
          <w:marRight w:val="0"/>
          <w:marTop w:val="0"/>
          <w:marBottom w:val="0"/>
          <w:divBdr>
            <w:top w:val="none" w:sz="0" w:space="0" w:color="auto"/>
            <w:left w:val="none" w:sz="0" w:space="0" w:color="auto"/>
            <w:bottom w:val="none" w:sz="0" w:space="0" w:color="auto"/>
            <w:right w:val="none" w:sz="0" w:space="0" w:color="auto"/>
          </w:divBdr>
        </w:div>
        <w:div w:id="1319310714">
          <w:marLeft w:val="0"/>
          <w:marRight w:val="0"/>
          <w:marTop w:val="0"/>
          <w:marBottom w:val="0"/>
          <w:divBdr>
            <w:top w:val="none" w:sz="0" w:space="0" w:color="auto"/>
            <w:left w:val="none" w:sz="0" w:space="0" w:color="auto"/>
            <w:bottom w:val="none" w:sz="0" w:space="0" w:color="auto"/>
            <w:right w:val="none" w:sz="0" w:space="0" w:color="auto"/>
          </w:divBdr>
        </w:div>
        <w:div w:id="2094426145">
          <w:marLeft w:val="0"/>
          <w:marRight w:val="0"/>
          <w:marTop w:val="0"/>
          <w:marBottom w:val="0"/>
          <w:divBdr>
            <w:top w:val="none" w:sz="0" w:space="0" w:color="auto"/>
            <w:left w:val="none" w:sz="0" w:space="0" w:color="auto"/>
            <w:bottom w:val="none" w:sz="0" w:space="0" w:color="auto"/>
            <w:right w:val="none" w:sz="0" w:space="0" w:color="auto"/>
          </w:divBdr>
        </w:div>
        <w:div w:id="1460878198">
          <w:marLeft w:val="0"/>
          <w:marRight w:val="0"/>
          <w:marTop w:val="0"/>
          <w:marBottom w:val="0"/>
          <w:divBdr>
            <w:top w:val="none" w:sz="0" w:space="0" w:color="auto"/>
            <w:left w:val="none" w:sz="0" w:space="0" w:color="auto"/>
            <w:bottom w:val="none" w:sz="0" w:space="0" w:color="auto"/>
            <w:right w:val="none" w:sz="0" w:space="0" w:color="auto"/>
          </w:divBdr>
        </w:div>
        <w:div w:id="1030106016">
          <w:marLeft w:val="0"/>
          <w:marRight w:val="0"/>
          <w:marTop w:val="0"/>
          <w:marBottom w:val="0"/>
          <w:divBdr>
            <w:top w:val="none" w:sz="0" w:space="0" w:color="auto"/>
            <w:left w:val="none" w:sz="0" w:space="0" w:color="auto"/>
            <w:bottom w:val="none" w:sz="0" w:space="0" w:color="auto"/>
            <w:right w:val="none" w:sz="0" w:space="0" w:color="auto"/>
          </w:divBdr>
        </w:div>
        <w:div w:id="890262761">
          <w:marLeft w:val="0"/>
          <w:marRight w:val="0"/>
          <w:marTop w:val="0"/>
          <w:marBottom w:val="0"/>
          <w:divBdr>
            <w:top w:val="none" w:sz="0" w:space="0" w:color="auto"/>
            <w:left w:val="none" w:sz="0" w:space="0" w:color="auto"/>
            <w:bottom w:val="none" w:sz="0" w:space="0" w:color="auto"/>
            <w:right w:val="none" w:sz="0" w:space="0" w:color="auto"/>
          </w:divBdr>
        </w:div>
        <w:div w:id="294599921">
          <w:marLeft w:val="0"/>
          <w:marRight w:val="0"/>
          <w:marTop w:val="0"/>
          <w:marBottom w:val="0"/>
          <w:divBdr>
            <w:top w:val="none" w:sz="0" w:space="0" w:color="auto"/>
            <w:left w:val="none" w:sz="0" w:space="0" w:color="auto"/>
            <w:bottom w:val="none" w:sz="0" w:space="0" w:color="auto"/>
            <w:right w:val="none" w:sz="0" w:space="0" w:color="auto"/>
          </w:divBdr>
        </w:div>
        <w:div w:id="1004749810">
          <w:marLeft w:val="720"/>
          <w:marRight w:val="0"/>
          <w:marTop w:val="0"/>
          <w:marBottom w:val="0"/>
          <w:divBdr>
            <w:top w:val="none" w:sz="0" w:space="0" w:color="auto"/>
            <w:left w:val="none" w:sz="0" w:space="0" w:color="auto"/>
            <w:bottom w:val="none" w:sz="0" w:space="0" w:color="auto"/>
            <w:right w:val="none" w:sz="0" w:space="0" w:color="auto"/>
          </w:divBdr>
        </w:div>
        <w:div w:id="1146314240">
          <w:marLeft w:val="240"/>
          <w:marRight w:val="0"/>
          <w:marTop w:val="0"/>
          <w:marBottom w:val="0"/>
          <w:divBdr>
            <w:top w:val="none" w:sz="0" w:space="0" w:color="auto"/>
            <w:left w:val="none" w:sz="0" w:space="0" w:color="auto"/>
            <w:bottom w:val="none" w:sz="0" w:space="0" w:color="auto"/>
            <w:right w:val="none" w:sz="0" w:space="0" w:color="auto"/>
          </w:divBdr>
        </w:div>
        <w:div w:id="1151487411">
          <w:marLeft w:val="0"/>
          <w:marRight w:val="0"/>
          <w:marTop w:val="0"/>
          <w:marBottom w:val="0"/>
          <w:divBdr>
            <w:top w:val="none" w:sz="0" w:space="0" w:color="auto"/>
            <w:left w:val="none" w:sz="0" w:space="0" w:color="auto"/>
            <w:bottom w:val="none" w:sz="0" w:space="0" w:color="auto"/>
            <w:right w:val="none" w:sz="0" w:space="0" w:color="auto"/>
          </w:divBdr>
        </w:div>
        <w:div w:id="1561867314">
          <w:marLeft w:val="360"/>
          <w:marRight w:val="0"/>
          <w:marTop w:val="0"/>
          <w:marBottom w:val="0"/>
          <w:divBdr>
            <w:top w:val="none" w:sz="0" w:space="0" w:color="auto"/>
            <w:left w:val="none" w:sz="0" w:space="0" w:color="auto"/>
            <w:bottom w:val="none" w:sz="0" w:space="0" w:color="auto"/>
            <w:right w:val="none" w:sz="0" w:space="0" w:color="auto"/>
          </w:divBdr>
        </w:div>
        <w:div w:id="2028755453">
          <w:marLeft w:val="0"/>
          <w:marRight w:val="-76"/>
          <w:marTop w:val="0"/>
          <w:marBottom w:val="0"/>
          <w:divBdr>
            <w:top w:val="none" w:sz="0" w:space="0" w:color="auto"/>
            <w:left w:val="none" w:sz="0" w:space="0" w:color="auto"/>
            <w:bottom w:val="none" w:sz="0" w:space="0" w:color="auto"/>
            <w:right w:val="none" w:sz="0" w:space="0" w:color="auto"/>
          </w:divBdr>
        </w:div>
        <w:div w:id="1549953666">
          <w:marLeft w:val="0"/>
          <w:marRight w:val="-76"/>
          <w:marTop w:val="0"/>
          <w:marBottom w:val="0"/>
          <w:divBdr>
            <w:top w:val="none" w:sz="0" w:space="0" w:color="auto"/>
            <w:left w:val="none" w:sz="0" w:space="0" w:color="auto"/>
            <w:bottom w:val="none" w:sz="0" w:space="0" w:color="auto"/>
            <w:right w:val="none" w:sz="0" w:space="0" w:color="auto"/>
          </w:divBdr>
        </w:div>
        <w:div w:id="833764178">
          <w:marLeft w:val="0"/>
          <w:marRight w:val="-76"/>
          <w:marTop w:val="0"/>
          <w:marBottom w:val="0"/>
          <w:divBdr>
            <w:top w:val="none" w:sz="0" w:space="0" w:color="auto"/>
            <w:left w:val="none" w:sz="0" w:space="0" w:color="auto"/>
            <w:bottom w:val="none" w:sz="0" w:space="0" w:color="auto"/>
            <w:right w:val="none" w:sz="0" w:space="0" w:color="auto"/>
          </w:divBdr>
        </w:div>
      </w:divsChild>
    </w:div>
    <w:div w:id="1465151240">
      <w:bodyDiv w:val="1"/>
      <w:marLeft w:val="0"/>
      <w:marRight w:val="0"/>
      <w:marTop w:val="0"/>
      <w:marBottom w:val="0"/>
      <w:divBdr>
        <w:top w:val="none" w:sz="0" w:space="0" w:color="auto"/>
        <w:left w:val="none" w:sz="0" w:space="0" w:color="auto"/>
        <w:bottom w:val="none" w:sz="0" w:space="0" w:color="auto"/>
        <w:right w:val="none" w:sz="0" w:space="0" w:color="auto"/>
      </w:divBdr>
    </w:div>
    <w:div w:id="1586575401">
      <w:bodyDiv w:val="1"/>
      <w:marLeft w:val="0"/>
      <w:marRight w:val="0"/>
      <w:marTop w:val="0"/>
      <w:marBottom w:val="0"/>
      <w:divBdr>
        <w:top w:val="none" w:sz="0" w:space="0" w:color="auto"/>
        <w:left w:val="none" w:sz="0" w:space="0" w:color="auto"/>
        <w:bottom w:val="none" w:sz="0" w:space="0" w:color="auto"/>
        <w:right w:val="none" w:sz="0" w:space="0" w:color="auto"/>
      </w:divBdr>
    </w:div>
    <w:div w:id="1962757343">
      <w:bodyDiv w:val="1"/>
      <w:marLeft w:val="0"/>
      <w:marRight w:val="0"/>
      <w:marTop w:val="0"/>
      <w:marBottom w:val="0"/>
      <w:divBdr>
        <w:top w:val="none" w:sz="0" w:space="0" w:color="auto"/>
        <w:left w:val="none" w:sz="0" w:space="0" w:color="auto"/>
        <w:bottom w:val="none" w:sz="0" w:space="0" w:color="auto"/>
        <w:right w:val="none" w:sz="0" w:space="0" w:color="auto"/>
      </w:divBdr>
    </w:div>
    <w:div w:id="2008633250">
      <w:bodyDiv w:val="1"/>
      <w:marLeft w:val="0"/>
      <w:marRight w:val="0"/>
      <w:marTop w:val="0"/>
      <w:marBottom w:val="0"/>
      <w:divBdr>
        <w:top w:val="none" w:sz="0" w:space="0" w:color="auto"/>
        <w:left w:val="none" w:sz="0" w:space="0" w:color="auto"/>
        <w:bottom w:val="none" w:sz="0" w:space="0" w:color="auto"/>
        <w:right w:val="none" w:sz="0" w:space="0" w:color="auto"/>
      </w:divBdr>
    </w:div>
    <w:div w:id="20178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E801-37A2-42DF-A15A-CF20CC86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3210</Characters>
  <Application>Microsoft Office Word</Application>
  <DocSecurity>4</DocSecurity>
  <Lines>26</Lines>
  <Paragraphs>7</Paragraphs>
  <ScaleCrop>false</ScaleCrop>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dc:creator>
  <cp:lastModifiedBy>ZHONGM</cp:lastModifiedBy>
  <cp:revision>2</cp:revision>
  <cp:lastPrinted>2020-07-14T07:10:00Z</cp:lastPrinted>
  <dcterms:created xsi:type="dcterms:W3CDTF">2024-11-19T16:02:00Z</dcterms:created>
  <dcterms:modified xsi:type="dcterms:W3CDTF">2024-11-19T16:02:00Z</dcterms:modified>
</cp:coreProperties>
</file>