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EF" w:rsidRDefault="007475A2">
      <w:pPr>
        <w:widowControl w:val="0"/>
        <w:autoSpaceDE w:val="0"/>
        <w:autoSpaceDN w:val="0"/>
        <w:adjustRightInd w:val="0"/>
        <w:spacing w:before="0" w:after="0" w:line="624" w:lineRule="exact"/>
        <w:jc w:val="center"/>
        <w:rPr>
          <w:rFonts w:ascii="宋体" w:hAnsi="宋体" w:cs="宋体"/>
          <w:b/>
          <w:color w:val="000000"/>
          <w:sz w:val="32"/>
          <w:lang w:eastAsia="zh-CN"/>
        </w:rPr>
      </w:pPr>
      <w:r>
        <w:rPr>
          <w:rFonts w:ascii="宋体" w:hAnsi="宋体" w:cs="宋体" w:hint="eastAsia"/>
          <w:b/>
          <w:color w:val="000000"/>
          <w:sz w:val="32"/>
          <w:lang w:eastAsia="zh-CN"/>
        </w:rPr>
        <w:t>关于</w:t>
      </w:r>
      <w:r w:rsidR="007421A8" w:rsidRPr="007421A8">
        <w:rPr>
          <w:rFonts w:ascii="宋体" w:hAnsi="宋体" w:cs="宋体" w:hint="eastAsia"/>
          <w:b/>
          <w:color w:val="000000"/>
          <w:sz w:val="32"/>
          <w:lang w:eastAsia="zh-CN"/>
        </w:rPr>
        <w:t>银华中证研发创新100交易型开放式指数证券投资基金</w:t>
      </w:r>
      <w:r>
        <w:rPr>
          <w:rFonts w:ascii="宋体" w:hAnsi="宋体" w:cs="宋体" w:hint="eastAsia"/>
          <w:b/>
          <w:color w:val="000000"/>
          <w:sz w:val="32"/>
          <w:lang w:eastAsia="zh-CN"/>
        </w:rPr>
        <w:t>剩余财产</w:t>
      </w:r>
      <w:r>
        <w:rPr>
          <w:rFonts w:ascii="宋体" w:hAnsi="宋体" w:cs="宋体"/>
          <w:b/>
          <w:color w:val="000000"/>
          <w:sz w:val="32"/>
          <w:lang w:eastAsia="zh-CN"/>
        </w:rPr>
        <w:t>分配</w:t>
      </w:r>
      <w:r>
        <w:rPr>
          <w:rFonts w:ascii="宋体" w:hAnsi="宋体" w:cs="宋体" w:hint="eastAsia"/>
          <w:b/>
          <w:color w:val="000000"/>
          <w:sz w:val="32"/>
          <w:lang w:eastAsia="zh-CN"/>
        </w:rPr>
        <w:t>的公告</w:t>
      </w:r>
    </w:p>
    <w:p w:rsidR="00BB29EF" w:rsidRDefault="00BB29EF">
      <w:pPr>
        <w:rPr>
          <w:lang w:eastAsia="zh-CN"/>
        </w:rPr>
      </w:pPr>
    </w:p>
    <w:p w:rsidR="00BB29EF" w:rsidRDefault="007475A2">
      <w:pPr>
        <w:spacing w:before="0" w:after="0" w:line="360" w:lineRule="auto"/>
        <w:ind w:firstLineChars="200" w:firstLine="480"/>
        <w:rPr>
          <w:sz w:val="24"/>
          <w:szCs w:val="24"/>
          <w:lang w:eastAsia="zh-CN"/>
        </w:rPr>
      </w:pPr>
      <w:r>
        <w:rPr>
          <w:rFonts w:hint="eastAsia"/>
          <w:sz w:val="24"/>
          <w:szCs w:val="24"/>
          <w:lang w:eastAsia="zh-CN"/>
        </w:rPr>
        <w:t>根据《中华人民共和国证券投资基金法》、</w:t>
      </w:r>
      <w:r>
        <w:rPr>
          <w:rFonts w:ascii="Times New Roman" w:hAnsi="Times New Roman"/>
          <w:sz w:val="24"/>
          <w:szCs w:val="24"/>
          <w:lang w:eastAsia="zh-CN"/>
        </w:rPr>
        <w:t>《公开募集证券投资基金运作管理办法》、</w:t>
      </w:r>
      <w:r>
        <w:rPr>
          <w:rFonts w:hint="eastAsia"/>
          <w:sz w:val="24"/>
          <w:szCs w:val="24"/>
          <w:lang w:eastAsia="zh-CN"/>
        </w:rPr>
        <w:t>《公开募集证券投资基金信息披露管理办法》、《</w:t>
      </w:r>
      <w:r w:rsidR="007B6086" w:rsidRPr="007B6086">
        <w:rPr>
          <w:rFonts w:hint="eastAsia"/>
          <w:sz w:val="24"/>
          <w:szCs w:val="24"/>
          <w:lang w:eastAsia="zh-CN"/>
        </w:rPr>
        <w:t>银华中证研发创新</w:t>
      </w:r>
      <w:r w:rsidR="007B6086" w:rsidRPr="007B6086">
        <w:rPr>
          <w:rFonts w:hint="eastAsia"/>
          <w:sz w:val="24"/>
          <w:szCs w:val="24"/>
          <w:lang w:eastAsia="zh-CN"/>
        </w:rPr>
        <w:t>100</w:t>
      </w:r>
      <w:r w:rsidR="007B6086" w:rsidRPr="007B6086">
        <w:rPr>
          <w:rFonts w:hint="eastAsia"/>
          <w:sz w:val="24"/>
          <w:szCs w:val="24"/>
          <w:lang w:eastAsia="zh-CN"/>
        </w:rPr>
        <w:t>交易型开放式指数证券投资基金</w:t>
      </w:r>
      <w:r>
        <w:rPr>
          <w:rFonts w:hint="eastAsia"/>
          <w:sz w:val="24"/>
          <w:szCs w:val="24"/>
          <w:lang w:eastAsia="zh-CN"/>
        </w:rPr>
        <w:t>基金合同》等有关规定，银华基金管理股份有限公司于</w:t>
      </w:r>
      <w:r>
        <w:rPr>
          <w:sz w:val="24"/>
          <w:szCs w:val="24"/>
          <w:lang w:eastAsia="zh-CN"/>
        </w:rPr>
        <w:t>2024</w:t>
      </w:r>
      <w:r>
        <w:rPr>
          <w:sz w:val="24"/>
          <w:szCs w:val="24"/>
          <w:lang w:eastAsia="zh-CN"/>
        </w:rPr>
        <w:t>年</w:t>
      </w:r>
      <w:r w:rsidR="007421A8">
        <w:rPr>
          <w:sz w:val="24"/>
          <w:szCs w:val="24"/>
          <w:lang w:eastAsia="zh-CN"/>
        </w:rPr>
        <w:t>8</w:t>
      </w:r>
      <w:r>
        <w:rPr>
          <w:sz w:val="24"/>
          <w:szCs w:val="24"/>
          <w:lang w:eastAsia="zh-CN"/>
        </w:rPr>
        <w:t>月</w:t>
      </w:r>
      <w:r w:rsidR="007421A8">
        <w:rPr>
          <w:sz w:val="24"/>
          <w:szCs w:val="24"/>
          <w:lang w:eastAsia="zh-CN"/>
        </w:rPr>
        <w:t>27</w:t>
      </w:r>
      <w:r>
        <w:rPr>
          <w:sz w:val="24"/>
          <w:szCs w:val="24"/>
          <w:lang w:eastAsia="zh-CN"/>
        </w:rPr>
        <w:t>日</w:t>
      </w:r>
      <w:r>
        <w:rPr>
          <w:rFonts w:hint="eastAsia"/>
          <w:sz w:val="24"/>
          <w:szCs w:val="24"/>
          <w:lang w:eastAsia="zh-CN"/>
        </w:rPr>
        <w:t>发布了《</w:t>
      </w:r>
      <w:r w:rsidR="007421A8" w:rsidRPr="007421A8">
        <w:rPr>
          <w:rFonts w:cs="宋体" w:hint="eastAsia"/>
          <w:color w:val="000000"/>
          <w:sz w:val="24"/>
          <w:szCs w:val="24"/>
          <w:lang w:eastAsia="zh-CN"/>
        </w:rPr>
        <w:t>关于银华中证研发创新</w:t>
      </w:r>
      <w:r w:rsidR="007421A8" w:rsidRPr="007421A8">
        <w:rPr>
          <w:rFonts w:cs="宋体" w:hint="eastAsia"/>
          <w:color w:val="000000"/>
          <w:sz w:val="24"/>
          <w:szCs w:val="24"/>
          <w:lang w:eastAsia="zh-CN"/>
        </w:rPr>
        <w:t>100</w:t>
      </w:r>
      <w:r w:rsidR="007421A8" w:rsidRPr="007421A8">
        <w:rPr>
          <w:rFonts w:cs="宋体" w:hint="eastAsia"/>
          <w:color w:val="000000"/>
          <w:sz w:val="24"/>
          <w:szCs w:val="24"/>
          <w:lang w:eastAsia="zh-CN"/>
        </w:rPr>
        <w:t>交易型开放式指数证券投资基金基金合同终止及基金财产清算的公告</w:t>
      </w:r>
      <w:r>
        <w:rPr>
          <w:rFonts w:hint="eastAsia"/>
          <w:sz w:val="24"/>
          <w:szCs w:val="24"/>
          <w:lang w:eastAsia="zh-CN"/>
        </w:rPr>
        <w:t>》，</w:t>
      </w:r>
      <w:r w:rsidR="007421A8" w:rsidRPr="007421A8">
        <w:rPr>
          <w:rFonts w:hint="eastAsia"/>
          <w:sz w:val="24"/>
          <w:szCs w:val="24"/>
          <w:lang w:eastAsia="zh-CN"/>
        </w:rPr>
        <w:t>银华中证研发创新</w:t>
      </w:r>
      <w:r w:rsidR="007421A8" w:rsidRPr="007421A8">
        <w:rPr>
          <w:rFonts w:hint="eastAsia"/>
          <w:sz w:val="24"/>
          <w:szCs w:val="24"/>
          <w:lang w:eastAsia="zh-CN"/>
        </w:rPr>
        <w:t>100</w:t>
      </w:r>
      <w:r w:rsidR="007421A8" w:rsidRPr="007421A8">
        <w:rPr>
          <w:rFonts w:hint="eastAsia"/>
          <w:sz w:val="24"/>
          <w:szCs w:val="24"/>
          <w:lang w:eastAsia="zh-CN"/>
        </w:rPr>
        <w:t>交易型开放式指数证券投资基金</w:t>
      </w:r>
      <w:r>
        <w:rPr>
          <w:rFonts w:hint="eastAsia"/>
          <w:sz w:val="24"/>
          <w:szCs w:val="24"/>
          <w:lang w:eastAsia="zh-CN"/>
        </w:rPr>
        <w:t>（以下简称“本基金”，基金代码：</w:t>
      </w:r>
      <w:r w:rsidR="007421A8" w:rsidRPr="007421A8">
        <w:rPr>
          <w:sz w:val="24"/>
          <w:lang w:eastAsia="zh-CN"/>
        </w:rPr>
        <w:t>159987</w:t>
      </w:r>
      <w:r>
        <w:rPr>
          <w:rFonts w:hint="eastAsia"/>
          <w:sz w:val="24"/>
          <w:szCs w:val="24"/>
          <w:lang w:eastAsia="zh-CN"/>
        </w:rPr>
        <w:t>，</w:t>
      </w:r>
      <w:r>
        <w:rPr>
          <w:sz w:val="24"/>
          <w:szCs w:val="24"/>
          <w:lang w:eastAsia="zh-CN"/>
        </w:rPr>
        <w:t>场内简称</w:t>
      </w:r>
      <w:r>
        <w:rPr>
          <w:rFonts w:hint="eastAsia"/>
          <w:sz w:val="24"/>
          <w:szCs w:val="24"/>
          <w:lang w:eastAsia="zh-CN"/>
        </w:rPr>
        <w:t>：</w:t>
      </w:r>
      <w:r w:rsidR="007421A8" w:rsidRPr="007421A8">
        <w:rPr>
          <w:rFonts w:hint="eastAsia"/>
          <w:sz w:val="24"/>
          <w:lang w:eastAsia="zh-CN"/>
        </w:rPr>
        <w:t>科技创新</w:t>
      </w:r>
      <w:r w:rsidR="007421A8" w:rsidRPr="007421A8">
        <w:rPr>
          <w:rFonts w:hint="eastAsia"/>
          <w:sz w:val="24"/>
          <w:lang w:eastAsia="zh-CN"/>
        </w:rPr>
        <w:t>ETF</w:t>
      </w:r>
      <w:r>
        <w:rPr>
          <w:rFonts w:hint="eastAsia"/>
          <w:sz w:val="24"/>
          <w:szCs w:val="24"/>
          <w:lang w:eastAsia="zh-CN"/>
        </w:rPr>
        <w:t>）</w:t>
      </w:r>
      <w:r>
        <w:rPr>
          <w:sz w:val="24"/>
          <w:szCs w:val="24"/>
          <w:lang w:eastAsia="zh-CN"/>
        </w:rPr>
        <w:t>的最后运作日为</w:t>
      </w:r>
      <w:r>
        <w:rPr>
          <w:sz w:val="24"/>
          <w:szCs w:val="24"/>
          <w:lang w:eastAsia="zh-CN"/>
        </w:rPr>
        <w:t>2024</w:t>
      </w:r>
      <w:r>
        <w:rPr>
          <w:rFonts w:hint="eastAsia"/>
          <w:sz w:val="24"/>
          <w:szCs w:val="24"/>
          <w:lang w:eastAsia="zh-CN"/>
        </w:rPr>
        <w:t>年</w:t>
      </w:r>
      <w:r w:rsidR="007421A8">
        <w:rPr>
          <w:rFonts w:hint="eastAsia"/>
          <w:sz w:val="24"/>
          <w:szCs w:val="24"/>
          <w:lang w:eastAsia="zh-CN"/>
        </w:rPr>
        <w:t>9</w:t>
      </w:r>
      <w:r>
        <w:rPr>
          <w:rFonts w:hint="eastAsia"/>
          <w:sz w:val="24"/>
          <w:szCs w:val="24"/>
          <w:lang w:eastAsia="zh-CN"/>
        </w:rPr>
        <w:t>月</w:t>
      </w:r>
      <w:r w:rsidR="007421A8">
        <w:rPr>
          <w:rFonts w:hint="eastAsia"/>
          <w:sz w:val="24"/>
          <w:szCs w:val="24"/>
          <w:lang w:eastAsia="zh-CN"/>
        </w:rPr>
        <w:t>2</w:t>
      </w:r>
      <w:r>
        <w:rPr>
          <w:rFonts w:hint="eastAsia"/>
          <w:sz w:val="24"/>
          <w:szCs w:val="24"/>
          <w:lang w:eastAsia="zh-CN"/>
        </w:rPr>
        <w:t>日</w:t>
      </w:r>
      <w:r>
        <w:rPr>
          <w:sz w:val="24"/>
          <w:szCs w:val="24"/>
          <w:lang w:eastAsia="zh-CN"/>
        </w:rPr>
        <w:t>，</w:t>
      </w:r>
      <w:r>
        <w:rPr>
          <w:rFonts w:hint="eastAsia"/>
          <w:sz w:val="24"/>
          <w:szCs w:val="24"/>
          <w:lang w:eastAsia="zh-CN"/>
        </w:rPr>
        <w:t>并</w:t>
      </w:r>
      <w:r>
        <w:rPr>
          <w:sz w:val="24"/>
          <w:szCs w:val="24"/>
          <w:lang w:eastAsia="zh-CN"/>
        </w:rPr>
        <w:t>于</w:t>
      </w:r>
      <w:r>
        <w:rPr>
          <w:sz w:val="24"/>
          <w:szCs w:val="24"/>
          <w:lang w:eastAsia="zh-CN"/>
        </w:rPr>
        <w:t>2024</w:t>
      </w:r>
      <w:r>
        <w:rPr>
          <w:rFonts w:hint="eastAsia"/>
          <w:sz w:val="24"/>
          <w:szCs w:val="24"/>
          <w:lang w:eastAsia="zh-CN"/>
        </w:rPr>
        <w:t>年</w:t>
      </w:r>
      <w:r w:rsidR="007421A8">
        <w:rPr>
          <w:rFonts w:hint="eastAsia"/>
          <w:sz w:val="24"/>
          <w:szCs w:val="24"/>
          <w:lang w:eastAsia="zh-CN"/>
        </w:rPr>
        <w:t>9</w:t>
      </w:r>
      <w:r>
        <w:rPr>
          <w:rFonts w:hint="eastAsia"/>
          <w:sz w:val="24"/>
          <w:szCs w:val="24"/>
          <w:lang w:eastAsia="zh-CN"/>
        </w:rPr>
        <w:t>月</w:t>
      </w:r>
      <w:r w:rsidR="007421A8">
        <w:rPr>
          <w:sz w:val="24"/>
          <w:szCs w:val="24"/>
          <w:lang w:eastAsia="zh-CN"/>
        </w:rPr>
        <w:t>3</w:t>
      </w:r>
      <w:r>
        <w:rPr>
          <w:rFonts w:hint="eastAsia"/>
          <w:sz w:val="24"/>
          <w:szCs w:val="24"/>
          <w:lang w:eastAsia="zh-CN"/>
        </w:rPr>
        <w:t>日</w:t>
      </w:r>
      <w:r>
        <w:rPr>
          <w:sz w:val="24"/>
          <w:szCs w:val="24"/>
          <w:lang w:eastAsia="zh-CN"/>
        </w:rPr>
        <w:t>起进入清算程序。</w:t>
      </w:r>
    </w:p>
    <w:p w:rsidR="00BB29EF" w:rsidRDefault="007475A2">
      <w:pPr>
        <w:spacing w:before="0" w:after="0" w:line="360" w:lineRule="auto"/>
        <w:ind w:firstLineChars="200" w:firstLine="480"/>
        <w:rPr>
          <w:sz w:val="24"/>
          <w:szCs w:val="24"/>
          <w:lang w:eastAsia="zh-CN"/>
        </w:rPr>
      </w:pPr>
      <w:r>
        <w:rPr>
          <w:sz w:val="24"/>
          <w:szCs w:val="24"/>
          <w:lang w:eastAsia="zh-CN"/>
        </w:rPr>
        <w:t>本基金基金管理人银华基金管理股份</w:t>
      </w:r>
      <w:r>
        <w:rPr>
          <w:rFonts w:hint="eastAsia"/>
          <w:sz w:val="24"/>
          <w:szCs w:val="24"/>
          <w:lang w:eastAsia="zh-CN"/>
        </w:rPr>
        <w:t>有限公司、基金托管人</w:t>
      </w:r>
      <w:r w:rsidR="008C0FC4" w:rsidRPr="008C0FC4">
        <w:rPr>
          <w:rFonts w:ascii="宋体" w:hAnsi="宋体" w:hint="eastAsia"/>
          <w:sz w:val="24"/>
          <w:szCs w:val="24"/>
          <w:lang w:eastAsia="zh-CN"/>
        </w:rPr>
        <w:t>招商证券股份有限公司</w:t>
      </w:r>
      <w:r>
        <w:rPr>
          <w:rFonts w:hint="eastAsia"/>
          <w:sz w:val="24"/>
          <w:szCs w:val="24"/>
          <w:lang w:eastAsia="zh-CN"/>
        </w:rPr>
        <w:t>、</w:t>
      </w:r>
      <w:r w:rsidR="00BF7CC2" w:rsidRPr="00BF7CC2">
        <w:rPr>
          <w:rFonts w:ascii="宋体" w:hAnsi="宋体" w:cs="宋体" w:hint="eastAsia"/>
          <w:color w:val="000000"/>
          <w:sz w:val="24"/>
          <w:lang w:eastAsia="zh-CN"/>
        </w:rPr>
        <w:t>安永华明会计师事务所（特殊普通合伙）</w:t>
      </w:r>
      <w:r>
        <w:rPr>
          <w:rFonts w:ascii="宋体" w:hAnsi="宋体" w:cs="宋体" w:hint="eastAsia"/>
          <w:color w:val="000000"/>
          <w:sz w:val="24"/>
          <w:lang w:eastAsia="zh-CN"/>
        </w:rPr>
        <w:t>和</w:t>
      </w:r>
      <w:r>
        <w:rPr>
          <w:rFonts w:ascii="宋体" w:hAnsi="宋体" w:cs="宋体" w:hint="eastAsia"/>
          <w:color w:val="000000"/>
          <w:sz w:val="24"/>
          <w:szCs w:val="24"/>
          <w:lang w:eastAsia="zh-CN"/>
        </w:rPr>
        <w:t>上海市通力律师事务所于</w:t>
      </w:r>
      <w:r>
        <w:rPr>
          <w:rFonts w:asciiTheme="minorHAnsi" w:hAnsiTheme="minorHAnsi" w:cs="宋体"/>
          <w:color w:val="000000"/>
          <w:sz w:val="24"/>
          <w:szCs w:val="24"/>
          <w:lang w:eastAsia="zh-CN"/>
        </w:rPr>
        <w:t>2024</w:t>
      </w:r>
      <w:r>
        <w:rPr>
          <w:rFonts w:asciiTheme="minorHAnsi" w:hAnsiTheme="minorHAnsi" w:cs="宋体"/>
          <w:color w:val="000000"/>
          <w:sz w:val="24"/>
          <w:szCs w:val="24"/>
          <w:lang w:eastAsia="zh-CN"/>
        </w:rPr>
        <w:t>年</w:t>
      </w:r>
      <w:r w:rsidR="007421A8">
        <w:rPr>
          <w:rFonts w:asciiTheme="minorHAnsi" w:hAnsiTheme="minorHAnsi" w:cs="宋体" w:hint="eastAsia"/>
          <w:color w:val="000000"/>
          <w:sz w:val="24"/>
          <w:szCs w:val="24"/>
          <w:lang w:eastAsia="zh-CN"/>
        </w:rPr>
        <w:t>9</w:t>
      </w:r>
      <w:r>
        <w:rPr>
          <w:rFonts w:asciiTheme="minorHAnsi" w:hAnsiTheme="minorHAnsi" w:cs="宋体"/>
          <w:color w:val="000000"/>
          <w:sz w:val="24"/>
          <w:szCs w:val="24"/>
          <w:lang w:eastAsia="zh-CN"/>
        </w:rPr>
        <w:t>月</w:t>
      </w:r>
      <w:r w:rsidR="007421A8">
        <w:rPr>
          <w:rFonts w:asciiTheme="minorHAnsi" w:hAnsiTheme="minorHAnsi" w:cs="宋体"/>
          <w:color w:val="000000"/>
          <w:sz w:val="24"/>
          <w:szCs w:val="24"/>
          <w:lang w:eastAsia="zh-CN"/>
        </w:rPr>
        <w:t>3</w:t>
      </w:r>
      <w:r>
        <w:rPr>
          <w:rFonts w:asciiTheme="minorHAnsi" w:hAnsiTheme="minorHAnsi" w:cs="宋体"/>
          <w:color w:val="000000"/>
          <w:sz w:val="24"/>
          <w:szCs w:val="24"/>
          <w:lang w:eastAsia="zh-CN"/>
        </w:rPr>
        <w:t>日</w:t>
      </w:r>
      <w:r>
        <w:rPr>
          <w:rFonts w:asciiTheme="minorHAnsi" w:hAnsiTheme="minorHAnsi" w:cs="宋体" w:hint="eastAsia"/>
          <w:color w:val="000000"/>
          <w:sz w:val="24"/>
          <w:szCs w:val="24"/>
          <w:lang w:eastAsia="zh-CN"/>
        </w:rPr>
        <w:t>组成基金财产清算小组，</w:t>
      </w:r>
      <w:r>
        <w:rPr>
          <w:sz w:val="24"/>
          <w:szCs w:val="24"/>
          <w:lang w:eastAsia="zh-CN"/>
        </w:rPr>
        <w:t>自</w:t>
      </w:r>
      <w:r>
        <w:rPr>
          <w:sz w:val="24"/>
          <w:szCs w:val="24"/>
          <w:lang w:eastAsia="zh-CN"/>
        </w:rPr>
        <w:t>2024</w:t>
      </w:r>
      <w:r>
        <w:rPr>
          <w:sz w:val="24"/>
          <w:szCs w:val="24"/>
          <w:lang w:eastAsia="zh-CN"/>
        </w:rPr>
        <w:t>年</w:t>
      </w:r>
      <w:r w:rsidR="007421A8">
        <w:rPr>
          <w:sz w:val="24"/>
          <w:szCs w:val="24"/>
          <w:lang w:eastAsia="zh-CN"/>
        </w:rPr>
        <w:t>9</w:t>
      </w:r>
      <w:r>
        <w:rPr>
          <w:sz w:val="24"/>
          <w:szCs w:val="24"/>
          <w:lang w:eastAsia="zh-CN"/>
        </w:rPr>
        <w:t>月</w:t>
      </w:r>
      <w:r w:rsidR="007421A8">
        <w:rPr>
          <w:rFonts w:hint="eastAsia"/>
          <w:sz w:val="24"/>
          <w:szCs w:val="24"/>
          <w:lang w:eastAsia="zh-CN"/>
        </w:rPr>
        <w:t>3</w:t>
      </w:r>
      <w:r>
        <w:rPr>
          <w:sz w:val="24"/>
          <w:szCs w:val="24"/>
          <w:lang w:eastAsia="zh-CN"/>
        </w:rPr>
        <w:t>日起至</w:t>
      </w:r>
      <w:r>
        <w:rPr>
          <w:sz w:val="24"/>
          <w:szCs w:val="24"/>
          <w:lang w:eastAsia="zh-CN"/>
        </w:rPr>
        <w:t>2024</w:t>
      </w:r>
      <w:r>
        <w:rPr>
          <w:sz w:val="24"/>
          <w:szCs w:val="24"/>
          <w:lang w:eastAsia="zh-CN"/>
        </w:rPr>
        <w:t>年</w:t>
      </w:r>
      <w:r w:rsidR="007421A8">
        <w:rPr>
          <w:rFonts w:hint="eastAsia"/>
          <w:sz w:val="24"/>
          <w:szCs w:val="24"/>
          <w:lang w:val="en-US" w:eastAsia="zh-CN"/>
        </w:rPr>
        <w:t>9</w:t>
      </w:r>
      <w:r>
        <w:rPr>
          <w:sz w:val="24"/>
          <w:szCs w:val="24"/>
          <w:lang w:eastAsia="zh-CN"/>
        </w:rPr>
        <w:t>月</w:t>
      </w:r>
      <w:r w:rsidR="00D21770">
        <w:rPr>
          <w:sz w:val="24"/>
          <w:szCs w:val="24"/>
          <w:lang w:val="en-US" w:eastAsia="zh-CN"/>
        </w:rPr>
        <w:t>19</w:t>
      </w:r>
      <w:r>
        <w:rPr>
          <w:sz w:val="24"/>
          <w:szCs w:val="24"/>
          <w:lang w:eastAsia="zh-CN"/>
        </w:rPr>
        <w:t>日止对本基金的资产、负债进行</w:t>
      </w:r>
      <w:r>
        <w:rPr>
          <w:rFonts w:hint="eastAsia"/>
          <w:sz w:val="24"/>
          <w:szCs w:val="24"/>
          <w:lang w:eastAsia="zh-CN"/>
        </w:rPr>
        <w:t>了</w:t>
      </w:r>
      <w:r>
        <w:rPr>
          <w:sz w:val="24"/>
          <w:szCs w:val="24"/>
          <w:lang w:eastAsia="zh-CN"/>
        </w:rPr>
        <w:t>清算</w:t>
      </w:r>
      <w:r>
        <w:rPr>
          <w:rFonts w:hint="eastAsia"/>
          <w:sz w:val="24"/>
          <w:szCs w:val="24"/>
          <w:lang w:eastAsia="zh-CN"/>
        </w:rPr>
        <w:t>。本基金基金管理人已于</w:t>
      </w:r>
      <w:r>
        <w:rPr>
          <w:sz w:val="24"/>
          <w:szCs w:val="24"/>
          <w:lang w:eastAsia="zh-CN"/>
        </w:rPr>
        <w:t>2024</w:t>
      </w:r>
      <w:r>
        <w:rPr>
          <w:rFonts w:hint="eastAsia"/>
          <w:sz w:val="24"/>
          <w:szCs w:val="24"/>
          <w:lang w:eastAsia="zh-CN"/>
        </w:rPr>
        <w:t>年</w:t>
      </w:r>
      <w:r w:rsidR="00D21770">
        <w:rPr>
          <w:rFonts w:hint="eastAsia"/>
          <w:sz w:val="24"/>
          <w:szCs w:val="24"/>
          <w:lang w:eastAsia="zh-CN"/>
        </w:rPr>
        <w:t>10</w:t>
      </w:r>
      <w:r>
        <w:rPr>
          <w:rFonts w:hint="eastAsia"/>
          <w:sz w:val="24"/>
          <w:szCs w:val="24"/>
          <w:lang w:eastAsia="zh-CN"/>
        </w:rPr>
        <w:t>月</w:t>
      </w:r>
      <w:r w:rsidR="00D21770">
        <w:rPr>
          <w:sz w:val="24"/>
          <w:szCs w:val="24"/>
          <w:lang w:eastAsia="zh-CN"/>
        </w:rPr>
        <w:t>31</w:t>
      </w:r>
      <w:r>
        <w:rPr>
          <w:rFonts w:hint="eastAsia"/>
          <w:sz w:val="24"/>
          <w:szCs w:val="24"/>
          <w:lang w:eastAsia="zh-CN"/>
        </w:rPr>
        <w:t>日</w:t>
      </w:r>
      <w:hyperlink w:history="1"/>
      <w:r>
        <w:rPr>
          <w:rFonts w:hint="eastAsia"/>
          <w:sz w:val="24"/>
          <w:szCs w:val="24"/>
          <w:lang w:eastAsia="zh-CN"/>
        </w:rPr>
        <w:t>发布了《</w:t>
      </w:r>
      <w:r w:rsidR="008C0FC4" w:rsidRPr="008C0FC4">
        <w:rPr>
          <w:rFonts w:hint="eastAsia"/>
          <w:sz w:val="24"/>
          <w:szCs w:val="24"/>
          <w:lang w:eastAsia="zh-CN"/>
        </w:rPr>
        <w:t>银华中证研发创新</w:t>
      </w:r>
      <w:r w:rsidR="008C0FC4" w:rsidRPr="008C0FC4">
        <w:rPr>
          <w:rFonts w:hint="eastAsia"/>
          <w:sz w:val="24"/>
          <w:szCs w:val="24"/>
          <w:lang w:eastAsia="zh-CN"/>
        </w:rPr>
        <w:t>100</w:t>
      </w:r>
      <w:r w:rsidR="008C0FC4" w:rsidRPr="008C0FC4">
        <w:rPr>
          <w:rFonts w:hint="eastAsia"/>
          <w:sz w:val="24"/>
          <w:szCs w:val="24"/>
          <w:lang w:eastAsia="zh-CN"/>
        </w:rPr>
        <w:t>交易型开放式指数证券投资基金</w:t>
      </w:r>
      <w:r>
        <w:rPr>
          <w:rFonts w:hint="eastAsia"/>
          <w:sz w:val="24"/>
          <w:szCs w:val="24"/>
          <w:lang w:eastAsia="zh-CN"/>
        </w:rPr>
        <w:t>清算报告》，关于本基金清算的详细情况请参见该日发布的清算报告。</w:t>
      </w:r>
    </w:p>
    <w:p w:rsidR="00BB29EF" w:rsidRDefault="00A60292" w:rsidP="00212D4B">
      <w:pPr>
        <w:spacing w:before="0" w:after="0" w:line="360" w:lineRule="auto"/>
        <w:ind w:firstLineChars="200" w:firstLine="480"/>
        <w:rPr>
          <w:sz w:val="24"/>
          <w:szCs w:val="24"/>
          <w:lang w:eastAsia="zh-CN"/>
        </w:rPr>
      </w:pPr>
      <w:r w:rsidRPr="00A60292">
        <w:rPr>
          <w:rFonts w:hint="eastAsia"/>
          <w:sz w:val="24"/>
          <w:szCs w:val="24"/>
          <w:lang w:eastAsia="zh-CN"/>
        </w:rPr>
        <w:t>根据法律法规、本基金基金合同及清算报告的相关规定</w:t>
      </w:r>
      <w:r>
        <w:rPr>
          <w:rFonts w:hint="eastAsia"/>
          <w:sz w:val="24"/>
          <w:szCs w:val="24"/>
          <w:lang w:eastAsia="zh-CN"/>
        </w:rPr>
        <w:t>，</w:t>
      </w:r>
      <w:r w:rsidRPr="00A60292">
        <w:rPr>
          <w:rFonts w:hint="eastAsia"/>
          <w:sz w:val="24"/>
          <w:szCs w:val="24"/>
          <w:lang w:eastAsia="zh-CN"/>
        </w:rPr>
        <w:t>本基金应分配剩余财产共计人民币</w:t>
      </w:r>
      <w:r w:rsidR="005C394D" w:rsidRPr="005C394D">
        <w:rPr>
          <w:sz w:val="24"/>
          <w:szCs w:val="24"/>
          <w:lang w:eastAsia="zh-CN"/>
        </w:rPr>
        <w:t>31,145,922.74</w:t>
      </w:r>
      <w:bookmarkStart w:id="0" w:name="_GoBack"/>
      <w:bookmarkEnd w:id="0"/>
      <w:r w:rsidRPr="00A60292">
        <w:rPr>
          <w:rFonts w:hint="eastAsia"/>
          <w:sz w:val="24"/>
          <w:szCs w:val="24"/>
          <w:lang w:eastAsia="zh-CN"/>
        </w:rPr>
        <w:t>元</w:t>
      </w:r>
      <w:r>
        <w:rPr>
          <w:rFonts w:hint="eastAsia"/>
          <w:sz w:val="24"/>
          <w:szCs w:val="24"/>
          <w:lang w:eastAsia="zh-CN"/>
        </w:rPr>
        <w:t>，需</w:t>
      </w:r>
      <w:r w:rsidR="007475A2">
        <w:rPr>
          <w:rFonts w:hint="eastAsia"/>
          <w:sz w:val="24"/>
          <w:szCs w:val="24"/>
          <w:lang w:eastAsia="zh-CN"/>
        </w:rPr>
        <w:t>通过</w:t>
      </w:r>
      <w:r w:rsidRPr="00A60292">
        <w:rPr>
          <w:rFonts w:hint="eastAsia"/>
          <w:sz w:val="24"/>
          <w:szCs w:val="24"/>
          <w:lang w:eastAsia="zh-CN"/>
        </w:rPr>
        <w:t>按其现金清盘方式向基金份额持有人发放本次清算资金</w:t>
      </w:r>
      <w:r w:rsidR="007475A2">
        <w:rPr>
          <w:rFonts w:hint="eastAsia"/>
          <w:sz w:val="24"/>
          <w:szCs w:val="24"/>
          <w:lang w:eastAsia="zh-CN"/>
        </w:rPr>
        <w:t>，本次剩余财产分配权益登记日为</w:t>
      </w:r>
      <w:r w:rsidR="007475A2">
        <w:rPr>
          <w:sz w:val="24"/>
          <w:szCs w:val="24"/>
          <w:lang w:eastAsia="zh-CN"/>
        </w:rPr>
        <w:t>2024</w:t>
      </w:r>
      <w:r w:rsidR="007475A2">
        <w:rPr>
          <w:sz w:val="24"/>
          <w:szCs w:val="24"/>
          <w:lang w:eastAsia="zh-CN"/>
        </w:rPr>
        <w:t>年</w:t>
      </w:r>
      <w:r w:rsidR="00D21770">
        <w:rPr>
          <w:rFonts w:hint="eastAsia"/>
          <w:sz w:val="24"/>
          <w:szCs w:val="24"/>
          <w:lang w:eastAsia="zh-CN"/>
        </w:rPr>
        <w:t>1</w:t>
      </w:r>
      <w:r w:rsidR="00D21770">
        <w:rPr>
          <w:sz w:val="24"/>
          <w:szCs w:val="24"/>
          <w:lang w:eastAsia="zh-CN"/>
        </w:rPr>
        <w:t>1</w:t>
      </w:r>
      <w:r w:rsidR="007475A2">
        <w:rPr>
          <w:sz w:val="24"/>
          <w:szCs w:val="24"/>
          <w:lang w:eastAsia="zh-CN"/>
        </w:rPr>
        <w:t>月</w:t>
      </w:r>
      <w:r w:rsidR="00D21770">
        <w:rPr>
          <w:rFonts w:hint="eastAsia"/>
          <w:sz w:val="24"/>
          <w:szCs w:val="24"/>
          <w:lang w:eastAsia="zh-CN"/>
        </w:rPr>
        <w:t>1</w:t>
      </w:r>
      <w:r w:rsidR="00D21770">
        <w:rPr>
          <w:sz w:val="24"/>
          <w:szCs w:val="24"/>
          <w:lang w:eastAsia="zh-CN"/>
        </w:rPr>
        <w:t>8</w:t>
      </w:r>
      <w:r w:rsidR="007475A2">
        <w:rPr>
          <w:sz w:val="24"/>
          <w:szCs w:val="24"/>
          <w:lang w:eastAsia="zh-CN"/>
        </w:rPr>
        <w:t>日</w:t>
      </w:r>
      <w:r>
        <w:rPr>
          <w:rFonts w:hint="eastAsia"/>
          <w:sz w:val="24"/>
          <w:szCs w:val="24"/>
          <w:lang w:eastAsia="zh-CN"/>
        </w:rPr>
        <w:t>，</w:t>
      </w:r>
      <w:r w:rsidR="007475A2">
        <w:rPr>
          <w:rFonts w:hint="eastAsia"/>
          <w:sz w:val="24"/>
          <w:szCs w:val="24"/>
          <w:lang w:eastAsia="zh-CN"/>
        </w:rPr>
        <w:t>资金</w:t>
      </w:r>
      <w:r>
        <w:rPr>
          <w:rFonts w:hint="eastAsia"/>
          <w:sz w:val="24"/>
          <w:szCs w:val="24"/>
          <w:lang w:eastAsia="zh-CN"/>
        </w:rPr>
        <w:t>发放</w:t>
      </w:r>
      <w:r w:rsidR="007475A2">
        <w:rPr>
          <w:rFonts w:hint="eastAsia"/>
          <w:sz w:val="24"/>
          <w:szCs w:val="24"/>
          <w:lang w:eastAsia="zh-CN"/>
        </w:rPr>
        <w:t>日为</w:t>
      </w:r>
      <w:r w:rsidR="007475A2">
        <w:rPr>
          <w:sz w:val="24"/>
          <w:szCs w:val="24"/>
          <w:lang w:eastAsia="zh-CN"/>
        </w:rPr>
        <w:t>2024</w:t>
      </w:r>
      <w:r w:rsidR="007475A2">
        <w:rPr>
          <w:rFonts w:hint="eastAsia"/>
          <w:sz w:val="24"/>
          <w:szCs w:val="24"/>
          <w:lang w:eastAsia="zh-CN"/>
        </w:rPr>
        <w:t>年</w:t>
      </w:r>
      <w:r w:rsidR="00D21770">
        <w:rPr>
          <w:sz w:val="24"/>
          <w:szCs w:val="24"/>
          <w:lang w:eastAsia="zh-CN"/>
        </w:rPr>
        <w:t>11</w:t>
      </w:r>
      <w:r w:rsidR="007475A2">
        <w:rPr>
          <w:rFonts w:hint="eastAsia"/>
          <w:sz w:val="24"/>
          <w:szCs w:val="24"/>
          <w:lang w:eastAsia="zh-CN"/>
        </w:rPr>
        <w:t>月</w:t>
      </w:r>
      <w:r w:rsidR="00D21770">
        <w:rPr>
          <w:sz w:val="24"/>
          <w:szCs w:val="24"/>
          <w:lang w:eastAsia="zh-CN"/>
        </w:rPr>
        <w:t>19</w:t>
      </w:r>
      <w:r w:rsidR="007475A2">
        <w:rPr>
          <w:rFonts w:hint="eastAsia"/>
          <w:sz w:val="24"/>
          <w:szCs w:val="24"/>
          <w:lang w:eastAsia="zh-CN"/>
        </w:rPr>
        <w:t>日。</w:t>
      </w:r>
      <w:r w:rsidR="00212D4B" w:rsidRPr="00212D4B">
        <w:rPr>
          <w:rFonts w:hint="eastAsia"/>
          <w:sz w:val="24"/>
          <w:szCs w:val="24"/>
          <w:lang w:eastAsia="zh-CN"/>
        </w:rPr>
        <w:t>基金份额持有人实际收到清算资金的时间、流程、规则等应遵循法律法规、中国证券登记结算有限责任公司深圳分公司及销售机构的相关规定。</w:t>
      </w:r>
    </w:p>
    <w:p w:rsidR="00BB29EF" w:rsidRDefault="007475A2">
      <w:pPr>
        <w:spacing w:before="0" w:after="0" w:line="360" w:lineRule="auto"/>
        <w:ind w:firstLineChars="200" w:firstLine="480"/>
        <w:rPr>
          <w:sz w:val="24"/>
          <w:szCs w:val="24"/>
          <w:lang w:eastAsia="zh-CN"/>
        </w:rPr>
      </w:pPr>
      <w:r>
        <w:rPr>
          <w:rFonts w:hint="eastAsia"/>
          <w:sz w:val="24"/>
          <w:szCs w:val="24"/>
          <w:lang w:eastAsia="zh-CN"/>
        </w:rPr>
        <w:t>本基金剩余财产全部分配完毕</w:t>
      </w:r>
      <w:r>
        <w:rPr>
          <w:sz w:val="24"/>
          <w:szCs w:val="24"/>
          <w:lang w:eastAsia="zh-CN"/>
        </w:rPr>
        <w:t>后</w:t>
      </w:r>
      <w:r>
        <w:rPr>
          <w:rFonts w:hint="eastAsia"/>
          <w:sz w:val="24"/>
          <w:szCs w:val="24"/>
          <w:lang w:eastAsia="zh-CN"/>
        </w:rPr>
        <w:t>，基金管理人将根据深圳证券交易所、中国证券登记结算有限责任公司深圳分公司的规定办理本基金的退出登记等业务。</w:t>
      </w:r>
    </w:p>
    <w:p w:rsidR="00BB29EF" w:rsidRDefault="00BB29EF">
      <w:pPr>
        <w:spacing w:before="0" w:after="0" w:line="360" w:lineRule="auto"/>
        <w:ind w:firstLineChars="200" w:firstLine="480"/>
        <w:rPr>
          <w:sz w:val="24"/>
          <w:szCs w:val="24"/>
          <w:lang w:eastAsia="zh-CN"/>
        </w:rPr>
      </w:pPr>
    </w:p>
    <w:p w:rsidR="00BB29EF" w:rsidRDefault="007475A2">
      <w:pPr>
        <w:spacing w:before="0" w:after="0" w:line="360" w:lineRule="auto"/>
        <w:ind w:firstLineChars="200" w:firstLine="480"/>
        <w:rPr>
          <w:sz w:val="24"/>
          <w:szCs w:val="24"/>
          <w:lang w:eastAsia="zh-CN"/>
        </w:rPr>
      </w:pPr>
      <w:r>
        <w:rPr>
          <w:rFonts w:hint="eastAsia"/>
          <w:sz w:val="24"/>
          <w:szCs w:val="24"/>
          <w:lang w:eastAsia="zh-CN"/>
        </w:rPr>
        <w:t>投资者可以通过以下途径咨询有关详情：</w:t>
      </w:r>
    </w:p>
    <w:p w:rsidR="00BB29EF" w:rsidRDefault="00BB29EF">
      <w:pPr>
        <w:spacing w:before="0" w:after="0" w:line="360" w:lineRule="auto"/>
        <w:ind w:firstLineChars="200" w:firstLine="480"/>
        <w:rPr>
          <w:sz w:val="24"/>
          <w:szCs w:val="24"/>
          <w:lang w:eastAsia="zh-CN"/>
        </w:rPr>
      </w:pPr>
    </w:p>
    <w:p w:rsidR="00BB29EF" w:rsidRDefault="007475A2">
      <w:pPr>
        <w:spacing w:before="0" w:after="0" w:line="360" w:lineRule="auto"/>
        <w:ind w:firstLineChars="200" w:firstLine="480"/>
        <w:rPr>
          <w:sz w:val="24"/>
          <w:szCs w:val="24"/>
          <w:lang w:eastAsia="zh-CN"/>
        </w:rPr>
      </w:pPr>
      <w:r>
        <w:rPr>
          <w:rFonts w:hint="eastAsia"/>
          <w:sz w:val="24"/>
          <w:szCs w:val="24"/>
          <w:lang w:eastAsia="zh-CN"/>
        </w:rPr>
        <w:t>银华基金管理股份有限公司客户服务电话：</w:t>
      </w:r>
      <w:r>
        <w:rPr>
          <w:rFonts w:hint="eastAsia"/>
          <w:sz w:val="24"/>
          <w:szCs w:val="24"/>
          <w:lang w:eastAsia="zh-CN"/>
        </w:rPr>
        <w:t>400-678-3333</w:t>
      </w:r>
      <w:r>
        <w:rPr>
          <w:rFonts w:hint="eastAsia"/>
          <w:sz w:val="24"/>
          <w:szCs w:val="24"/>
          <w:lang w:eastAsia="zh-CN"/>
        </w:rPr>
        <w:t>、</w:t>
      </w:r>
      <w:r>
        <w:rPr>
          <w:rFonts w:hint="eastAsia"/>
          <w:sz w:val="24"/>
          <w:szCs w:val="24"/>
          <w:lang w:eastAsia="zh-CN"/>
        </w:rPr>
        <w:t>010-85186558</w:t>
      </w:r>
    </w:p>
    <w:p w:rsidR="00BB29EF" w:rsidRDefault="007475A2">
      <w:pPr>
        <w:spacing w:before="0" w:after="0" w:line="360" w:lineRule="auto"/>
        <w:ind w:firstLineChars="200" w:firstLine="480"/>
        <w:rPr>
          <w:sz w:val="24"/>
          <w:szCs w:val="24"/>
          <w:lang w:eastAsia="zh-CN"/>
        </w:rPr>
      </w:pPr>
      <w:r>
        <w:rPr>
          <w:rFonts w:hint="eastAsia"/>
          <w:sz w:val="24"/>
          <w:szCs w:val="24"/>
          <w:lang w:eastAsia="zh-CN"/>
        </w:rPr>
        <w:t>银华基金管理股份有限公司网址：</w:t>
      </w:r>
      <w:r>
        <w:rPr>
          <w:rFonts w:hint="eastAsia"/>
          <w:sz w:val="24"/>
          <w:szCs w:val="24"/>
          <w:lang w:eastAsia="zh-CN"/>
        </w:rPr>
        <w:t>www.yhfund.com.cn</w:t>
      </w:r>
      <w:r>
        <w:rPr>
          <w:rFonts w:hint="eastAsia"/>
          <w:sz w:val="24"/>
          <w:szCs w:val="24"/>
          <w:lang w:eastAsia="zh-CN"/>
        </w:rPr>
        <w:tab/>
      </w:r>
    </w:p>
    <w:p w:rsidR="00BB29EF" w:rsidRDefault="007475A2">
      <w:pPr>
        <w:spacing w:before="0" w:after="0" w:line="360" w:lineRule="auto"/>
        <w:ind w:firstLineChars="200" w:firstLine="480"/>
        <w:rPr>
          <w:sz w:val="24"/>
          <w:szCs w:val="24"/>
          <w:lang w:eastAsia="zh-CN"/>
        </w:rPr>
      </w:pPr>
      <w:r>
        <w:rPr>
          <w:rFonts w:hint="eastAsia"/>
          <w:sz w:val="24"/>
          <w:szCs w:val="24"/>
          <w:lang w:eastAsia="zh-CN"/>
        </w:rPr>
        <w:t>风险提示：本公司承诺以诚实信用、勤勉尽责的原则管理和运用基金资产，但不保证基金一定盈利，也不保证最低收益。敬请投资者留意投资风险。</w:t>
      </w:r>
    </w:p>
    <w:p w:rsidR="00BB29EF" w:rsidRDefault="00BB29EF">
      <w:pPr>
        <w:spacing w:before="0" w:after="0" w:line="360" w:lineRule="auto"/>
        <w:ind w:firstLineChars="200" w:firstLine="480"/>
        <w:rPr>
          <w:sz w:val="24"/>
          <w:szCs w:val="24"/>
          <w:lang w:eastAsia="zh-CN"/>
        </w:rPr>
      </w:pPr>
    </w:p>
    <w:p w:rsidR="00BB29EF" w:rsidRDefault="007475A2">
      <w:pPr>
        <w:spacing w:before="0" w:after="0" w:line="360" w:lineRule="auto"/>
        <w:ind w:firstLineChars="200" w:firstLine="480"/>
        <w:rPr>
          <w:sz w:val="24"/>
          <w:szCs w:val="24"/>
          <w:lang w:eastAsia="zh-CN"/>
        </w:rPr>
      </w:pPr>
      <w:r>
        <w:rPr>
          <w:rFonts w:hint="eastAsia"/>
          <w:sz w:val="24"/>
          <w:szCs w:val="24"/>
          <w:lang w:eastAsia="zh-CN"/>
        </w:rPr>
        <w:t>特此公告。</w:t>
      </w:r>
    </w:p>
    <w:p w:rsidR="00BB29EF" w:rsidRDefault="00BB29EF">
      <w:pPr>
        <w:shd w:val="clear" w:color="auto" w:fill="FFFFFF"/>
        <w:spacing w:line="360" w:lineRule="atLeast"/>
        <w:ind w:firstLine="480"/>
        <w:rPr>
          <w:sz w:val="24"/>
          <w:szCs w:val="24"/>
          <w:lang w:eastAsia="zh-CN"/>
        </w:rPr>
      </w:pPr>
    </w:p>
    <w:p w:rsidR="00BB29EF" w:rsidRDefault="007475A2">
      <w:pPr>
        <w:shd w:val="clear" w:color="auto" w:fill="FFFFFF"/>
        <w:spacing w:line="360" w:lineRule="atLeast"/>
        <w:ind w:firstLine="480"/>
        <w:jc w:val="right"/>
        <w:rPr>
          <w:sz w:val="24"/>
          <w:szCs w:val="24"/>
          <w:lang w:eastAsia="zh-CN"/>
        </w:rPr>
      </w:pPr>
      <w:r>
        <w:rPr>
          <w:rFonts w:hint="eastAsia"/>
          <w:sz w:val="24"/>
          <w:szCs w:val="24"/>
          <w:lang w:eastAsia="zh-CN"/>
        </w:rPr>
        <w:t>银华基金管理股份有限公司</w:t>
      </w:r>
      <w:r>
        <w:rPr>
          <w:rFonts w:hint="eastAsia"/>
          <w:sz w:val="24"/>
          <w:szCs w:val="24"/>
          <w:lang w:eastAsia="zh-CN"/>
        </w:rPr>
        <w:br/>
      </w:r>
      <w:r>
        <w:rPr>
          <w:sz w:val="24"/>
          <w:szCs w:val="24"/>
          <w:lang w:eastAsia="zh-CN"/>
        </w:rPr>
        <w:t>2024</w:t>
      </w:r>
      <w:r>
        <w:rPr>
          <w:rFonts w:hint="eastAsia"/>
          <w:sz w:val="24"/>
          <w:szCs w:val="24"/>
          <w:lang w:eastAsia="zh-CN"/>
        </w:rPr>
        <w:t>年</w:t>
      </w:r>
      <w:r w:rsidR="00D21770">
        <w:rPr>
          <w:sz w:val="24"/>
          <w:szCs w:val="24"/>
          <w:lang w:eastAsia="zh-CN"/>
        </w:rPr>
        <w:t>11</w:t>
      </w:r>
      <w:r>
        <w:rPr>
          <w:rFonts w:hint="eastAsia"/>
          <w:sz w:val="24"/>
          <w:szCs w:val="24"/>
          <w:lang w:eastAsia="zh-CN"/>
        </w:rPr>
        <w:t>月</w:t>
      </w:r>
      <w:r w:rsidR="00D21770">
        <w:rPr>
          <w:sz w:val="24"/>
          <w:szCs w:val="24"/>
          <w:lang w:eastAsia="zh-CN"/>
        </w:rPr>
        <w:t>18</w:t>
      </w:r>
      <w:r>
        <w:rPr>
          <w:rFonts w:hint="eastAsia"/>
          <w:sz w:val="24"/>
          <w:szCs w:val="24"/>
          <w:lang w:eastAsia="zh-CN"/>
        </w:rPr>
        <w:t>日</w:t>
      </w:r>
    </w:p>
    <w:sectPr w:rsidR="00BB29EF" w:rsidSect="005C315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FC6" w:rsidRDefault="00954FC6">
      <w:pPr>
        <w:spacing w:before="0" w:after="0"/>
      </w:pPr>
      <w:r>
        <w:separator/>
      </w:r>
    </w:p>
  </w:endnote>
  <w:endnote w:type="continuationSeparator" w:id="0">
    <w:p w:rsidR="00954FC6" w:rsidRDefault="00954FC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794683"/>
      <w:docPartObj>
        <w:docPartGallery w:val="AutoText"/>
      </w:docPartObj>
    </w:sdtPr>
    <w:sdtContent>
      <w:p w:rsidR="00BB29EF" w:rsidRDefault="005C315F">
        <w:pPr>
          <w:pStyle w:val="a5"/>
          <w:jc w:val="center"/>
        </w:pPr>
        <w:r>
          <w:fldChar w:fldCharType="begin"/>
        </w:r>
        <w:r w:rsidR="007475A2">
          <w:instrText>PAGE   \* MERGEFORMAT</w:instrText>
        </w:r>
        <w:r>
          <w:fldChar w:fldCharType="separate"/>
        </w:r>
        <w:r w:rsidR="00CD522F" w:rsidRPr="00CD522F">
          <w:rPr>
            <w:noProof/>
            <w:lang w:val="zh-CN" w:eastAsia="zh-CN"/>
          </w:rPr>
          <w:t>1</w:t>
        </w:r>
        <w:r>
          <w:fldChar w:fldCharType="end"/>
        </w:r>
      </w:p>
    </w:sdtContent>
  </w:sdt>
  <w:p w:rsidR="00BB29EF" w:rsidRDefault="00BB29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FC6" w:rsidRDefault="00954FC6">
      <w:pPr>
        <w:spacing w:before="0" w:after="0"/>
      </w:pPr>
      <w:r>
        <w:separator/>
      </w:r>
    </w:p>
  </w:footnote>
  <w:footnote w:type="continuationSeparator" w:id="0">
    <w:p w:rsidR="00954FC6" w:rsidRDefault="00954FC6">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mEyYzE4ZmY0MTA0YTRiNWJiMmU1NDE3Y2M1YjExNTYifQ=="/>
  </w:docVars>
  <w:rsids>
    <w:rsidRoot w:val="00FC7D63"/>
    <w:rsid w:val="00024EE7"/>
    <w:rsid w:val="00025F65"/>
    <w:rsid w:val="0003178D"/>
    <w:rsid w:val="000476CE"/>
    <w:rsid w:val="00055325"/>
    <w:rsid w:val="0008643E"/>
    <w:rsid w:val="00086D65"/>
    <w:rsid w:val="000A32F2"/>
    <w:rsid w:val="000A7F9F"/>
    <w:rsid w:val="000D2395"/>
    <w:rsid w:val="000E37E0"/>
    <w:rsid w:val="000F5449"/>
    <w:rsid w:val="001265BC"/>
    <w:rsid w:val="00127B42"/>
    <w:rsid w:val="00156327"/>
    <w:rsid w:val="001644A7"/>
    <w:rsid w:val="00172653"/>
    <w:rsid w:val="00181C6E"/>
    <w:rsid w:val="00191F8D"/>
    <w:rsid w:val="0019710B"/>
    <w:rsid w:val="0019770F"/>
    <w:rsid w:val="001E0008"/>
    <w:rsid w:val="001E61E8"/>
    <w:rsid w:val="00203B11"/>
    <w:rsid w:val="002116AA"/>
    <w:rsid w:val="00212D4B"/>
    <w:rsid w:val="002134D4"/>
    <w:rsid w:val="0022544E"/>
    <w:rsid w:val="00243FE2"/>
    <w:rsid w:val="00250A1A"/>
    <w:rsid w:val="002638C5"/>
    <w:rsid w:val="00266E45"/>
    <w:rsid w:val="00271C87"/>
    <w:rsid w:val="0028460B"/>
    <w:rsid w:val="00287AFA"/>
    <w:rsid w:val="002C6204"/>
    <w:rsid w:val="002D0EAD"/>
    <w:rsid w:val="002D3722"/>
    <w:rsid w:val="002F4AFA"/>
    <w:rsid w:val="003016F1"/>
    <w:rsid w:val="003137B2"/>
    <w:rsid w:val="003209B8"/>
    <w:rsid w:val="00334ACF"/>
    <w:rsid w:val="00347976"/>
    <w:rsid w:val="0036550C"/>
    <w:rsid w:val="00387603"/>
    <w:rsid w:val="003956F5"/>
    <w:rsid w:val="003B28D8"/>
    <w:rsid w:val="003C0AD9"/>
    <w:rsid w:val="003E0EF4"/>
    <w:rsid w:val="003E1CC0"/>
    <w:rsid w:val="003F5989"/>
    <w:rsid w:val="003F683F"/>
    <w:rsid w:val="004019B2"/>
    <w:rsid w:val="00410AA2"/>
    <w:rsid w:val="004239FB"/>
    <w:rsid w:val="004251CD"/>
    <w:rsid w:val="00437410"/>
    <w:rsid w:val="00460B8E"/>
    <w:rsid w:val="00467127"/>
    <w:rsid w:val="00471048"/>
    <w:rsid w:val="004750C7"/>
    <w:rsid w:val="004B2827"/>
    <w:rsid w:val="004C4252"/>
    <w:rsid w:val="004D4300"/>
    <w:rsid w:val="00504740"/>
    <w:rsid w:val="00514408"/>
    <w:rsid w:val="00537AA3"/>
    <w:rsid w:val="00545894"/>
    <w:rsid w:val="00563470"/>
    <w:rsid w:val="00564F76"/>
    <w:rsid w:val="005724C6"/>
    <w:rsid w:val="00572C22"/>
    <w:rsid w:val="005832EB"/>
    <w:rsid w:val="005959A1"/>
    <w:rsid w:val="005A48F2"/>
    <w:rsid w:val="005B7AE9"/>
    <w:rsid w:val="005C315F"/>
    <w:rsid w:val="005C35BB"/>
    <w:rsid w:val="005C394D"/>
    <w:rsid w:val="00611DE7"/>
    <w:rsid w:val="00621A32"/>
    <w:rsid w:val="00633429"/>
    <w:rsid w:val="00636AE8"/>
    <w:rsid w:val="006374EA"/>
    <w:rsid w:val="00644249"/>
    <w:rsid w:val="006719FA"/>
    <w:rsid w:val="00680C01"/>
    <w:rsid w:val="006E7FD1"/>
    <w:rsid w:val="006F4901"/>
    <w:rsid w:val="00707C57"/>
    <w:rsid w:val="00712F07"/>
    <w:rsid w:val="007176C5"/>
    <w:rsid w:val="00727242"/>
    <w:rsid w:val="007342ED"/>
    <w:rsid w:val="007421A8"/>
    <w:rsid w:val="007475A2"/>
    <w:rsid w:val="0075617D"/>
    <w:rsid w:val="00764A1E"/>
    <w:rsid w:val="00764DCC"/>
    <w:rsid w:val="007748C6"/>
    <w:rsid w:val="007B6086"/>
    <w:rsid w:val="007B6359"/>
    <w:rsid w:val="007C7DCF"/>
    <w:rsid w:val="0080305C"/>
    <w:rsid w:val="00834968"/>
    <w:rsid w:val="0084169C"/>
    <w:rsid w:val="00843E01"/>
    <w:rsid w:val="0086103D"/>
    <w:rsid w:val="00870CBF"/>
    <w:rsid w:val="00872342"/>
    <w:rsid w:val="0088705F"/>
    <w:rsid w:val="00891F81"/>
    <w:rsid w:val="00897558"/>
    <w:rsid w:val="008A756F"/>
    <w:rsid w:val="008B5085"/>
    <w:rsid w:val="008C0FC4"/>
    <w:rsid w:val="008D3675"/>
    <w:rsid w:val="008F312E"/>
    <w:rsid w:val="008F3EBF"/>
    <w:rsid w:val="00913B89"/>
    <w:rsid w:val="009539E3"/>
    <w:rsid w:val="00954FC6"/>
    <w:rsid w:val="00955021"/>
    <w:rsid w:val="00973C7B"/>
    <w:rsid w:val="0097421C"/>
    <w:rsid w:val="009759CC"/>
    <w:rsid w:val="00986D0C"/>
    <w:rsid w:val="00990395"/>
    <w:rsid w:val="0099047F"/>
    <w:rsid w:val="009B1305"/>
    <w:rsid w:val="009B5627"/>
    <w:rsid w:val="009C4216"/>
    <w:rsid w:val="009D3DCB"/>
    <w:rsid w:val="009F404A"/>
    <w:rsid w:val="00A14DB9"/>
    <w:rsid w:val="00A2540C"/>
    <w:rsid w:val="00A32C6A"/>
    <w:rsid w:val="00A46FA8"/>
    <w:rsid w:val="00A52422"/>
    <w:rsid w:val="00A60292"/>
    <w:rsid w:val="00A71FB9"/>
    <w:rsid w:val="00A77CFF"/>
    <w:rsid w:val="00AB1C95"/>
    <w:rsid w:val="00AB1D9C"/>
    <w:rsid w:val="00AF3D9D"/>
    <w:rsid w:val="00B01D5D"/>
    <w:rsid w:val="00B06623"/>
    <w:rsid w:val="00B4566A"/>
    <w:rsid w:val="00B515D7"/>
    <w:rsid w:val="00B53007"/>
    <w:rsid w:val="00B61487"/>
    <w:rsid w:val="00B61996"/>
    <w:rsid w:val="00B70EB5"/>
    <w:rsid w:val="00B7439C"/>
    <w:rsid w:val="00B766C0"/>
    <w:rsid w:val="00B87A62"/>
    <w:rsid w:val="00BB29EF"/>
    <w:rsid w:val="00BB4529"/>
    <w:rsid w:val="00BD11FC"/>
    <w:rsid w:val="00BD600F"/>
    <w:rsid w:val="00BE0A74"/>
    <w:rsid w:val="00BF7CC2"/>
    <w:rsid w:val="00C01FDD"/>
    <w:rsid w:val="00C03A5A"/>
    <w:rsid w:val="00C05CBE"/>
    <w:rsid w:val="00C21594"/>
    <w:rsid w:val="00C24019"/>
    <w:rsid w:val="00C3390F"/>
    <w:rsid w:val="00C429BB"/>
    <w:rsid w:val="00C50C3D"/>
    <w:rsid w:val="00C87AF8"/>
    <w:rsid w:val="00CC3395"/>
    <w:rsid w:val="00CC7C55"/>
    <w:rsid w:val="00CD522F"/>
    <w:rsid w:val="00CE02B0"/>
    <w:rsid w:val="00CE72DE"/>
    <w:rsid w:val="00CF4A14"/>
    <w:rsid w:val="00D04434"/>
    <w:rsid w:val="00D12899"/>
    <w:rsid w:val="00D21770"/>
    <w:rsid w:val="00D533F3"/>
    <w:rsid w:val="00D65263"/>
    <w:rsid w:val="00D65CA2"/>
    <w:rsid w:val="00D74D29"/>
    <w:rsid w:val="00D7785E"/>
    <w:rsid w:val="00D8121C"/>
    <w:rsid w:val="00D959A7"/>
    <w:rsid w:val="00DA4854"/>
    <w:rsid w:val="00E1093A"/>
    <w:rsid w:val="00E13CB1"/>
    <w:rsid w:val="00E260D2"/>
    <w:rsid w:val="00E40678"/>
    <w:rsid w:val="00E679D4"/>
    <w:rsid w:val="00E7054C"/>
    <w:rsid w:val="00E8396C"/>
    <w:rsid w:val="00EB69A8"/>
    <w:rsid w:val="00EB7275"/>
    <w:rsid w:val="00ED214D"/>
    <w:rsid w:val="00ED4AB7"/>
    <w:rsid w:val="00F018AB"/>
    <w:rsid w:val="00F01F1A"/>
    <w:rsid w:val="00F043CE"/>
    <w:rsid w:val="00F0458B"/>
    <w:rsid w:val="00F10184"/>
    <w:rsid w:val="00F72159"/>
    <w:rsid w:val="00F87894"/>
    <w:rsid w:val="00F919D7"/>
    <w:rsid w:val="00F971DA"/>
    <w:rsid w:val="00FA4B50"/>
    <w:rsid w:val="00FB7D50"/>
    <w:rsid w:val="00FC07B8"/>
    <w:rsid w:val="00FC391D"/>
    <w:rsid w:val="00FC7D63"/>
    <w:rsid w:val="00FD2E4F"/>
    <w:rsid w:val="00FD4101"/>
    <w:rsid w:val="00FD4C86"/>
    <w:rsid w:val="00FD505C"/>
    <w:rsid w:val="2B6512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15F"/>
    <w:pPr>
      <w:spacing w:before="120" w:after="240"/>
      <w:jc w:val="both"/>
    </w:pPr>
    <w:rPr>
      <w:rFonts w:ascii="Calibri" w:eastAsia="宋体" w:hAnsi="Calibri" w:cs="Times New Roman"/>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5C315F"/>
    <w:pPr>
      <w:jc w:val="left"/>
    </w:pPr>
  </w:style>
  <w:style w:type="paragraph" w:styleId="a4">
    <w:name w:val="Balloon Text"/>
    <w:basedOn w:val="a"/>
    <w:link w:val="Char0"/>
    <w:uiPriority w:val="99"/>
    <w:semiHidden/>
    <w:unhideWhenUsed/>
    <w:rsid w:val="005C315F"/>
    <w:pPr>
      <w:spacing w:before="0" w:after="0"/>
    </w:pPr>
    <w:rPr>
      <w:sz w:val="18"/>
      <w:szCs w:val="18"/>
    </w:rPr>
  </w:style>
  <w:style w:type="paragraph" w:styleId="a5">
    <w:name w:val="footer"/>
    <w:basedOn w:val="a"/>
    <w:link w:val="Char1"/>
    <w:uiPriority w:val="99"/>
    <w:unhideWhenUsed/>
    <w:rsid w:val="005C315F"/>
    <w:pPr>
      <w:tabs>
        <w:tab w:val="center" w:pos="4153"/>
        <w:tab w:val="right" w:pos="8306"/>
      </w:tabs>
      <w:snapToGrid w:val="0"/>
      <w:jc w:val="left"/>
    </w:pPr>
    <w:rPr>
      <w:sz w:val="18"/>
      <w:szCs w:val="18"/>
    </w:rPr>
  </w:style>
  <w:style w:type="paragraph" w:styleId="a6">
    <w:name w:val="header"/>
    <w:basedOn w:val="a"/>
    <w:link w:val="Char2"/>
    <w:uiPriority w:val="99"/>
    <w:unhideWhenUsed/>
    <w:rsid w:val="005C315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5C315F"/>
    <w:rPr>
      <w:b/>
      <w:bCs/>
    </w:rPr>
  </w:style>
  <w:style w:type="character" w:styleId="a8">
    <w:name w:val="Hyperlink"/>
    <w:basedOn w:val="a0"/>
    <w:uiPriority w:val="99"/>
    <w:unhideWhenUsed/>
    <w:rsid w:val="005C315F"/>
    <w:rPr>
      <w:color w:val="0563C1" w:themeColor="hyperlink"/>
      <w:u w:val="single"/>
    </w:rPr>
  </w:style>
  <w:style w:type="character" w:styleId="a9">
    <w:name w:val="annotation reference"/>
    <w:uiPriority w:val="99"/>
    <w:semiHidden/>
    <w:unhideWhenUsed/>
    <w:rsid w:val="005C315F"/>
    <w:rPr>
      <w:sz w:val="21"/>
      <w:szCs w:val="21"/>
    </w:rPr>
  </w:style>
  <w:style w:type="character" w:customStyle="1" w:styleId="Char">
    <w:name w:val="批注文字 Char"/>
    <w:basedOn w:val="a0"/>
    <w:link w:val="a3"/>
    <w:uiPriority w:val="99"/>
    <w:rsid w:val="005C315F"/>
    <w:rPr>
      <w:rFonts w:ascii="Calibri" w:eastAsia="宋体" w:hAnsi="Calibri" w:cs="Times New Roman"/>
      <w:kern w:val="0"/>
      <w:sz w:val="22"/>
      <w:lang w:val="ru-RU" w:eastAsia="en-US"/>
    </w:rPr>
  </w:style>
  <w:style w:type="character" w:customStyle="1" w:styleId="Char0">
    <w:name w:val="批注框文本 Char"/>
    <w:basedOn w:val="a0"/>
    <w:link w:val="a4"/>
    <w:uiPriority w:val="99"/>
    <w:semiHidden/>
    <w:rsid w:val="005C315F"/>
    <w:rPr>
      <w:rFonts w:ascii="Calibri" w:eastAsia="宋体" w:hAnsi="Calibri" w:cs="Times New Roman"/>
      <w:kern w:val="0"/>
      <w:sz w:val="18"/>
      <w:szCs w:val="18"/>
      <w:lang w:val="ru-RU" w:eastAsia="en-US"/>
    </w:rPr>
  </w:style>
  <w:style w:type="character" w:customStyle="1" w:styleId="Char2">
    <w:name w:val="页眉 Char"/>
    <w:basedOn w:val="a0"/>
    <w:link w:val="a6"/>
    <w:uiPriority w:val="99"/>
    <w:rsid w:val="005C315F"/>
    <w:rPr>
      <w:rFonts w:ascii="Calibri" w:eastAsia="宋体" w:hAnsi="Calibri" w:cs="Times New Roman"/>
      <w:kern w:val="0"/>
      <w:sz w:val="18"/>
      <w:szCs w:val="18"/>
      <w:lang w:val="ru-RU" w:eastAsia="en-US"/>
    </w:rPr>
  </w:style>
  <w:style w:type="character" w:customStyle="1" w:styleId="Char1">
    <w:name w:val="页脚 Char"/>
    <w:basedOn w:val="a0"/>
    <w:link w:val="a5"/>
    <w:uiPriority w:val="99"/>
    <w:rsid w:val="005C315F"/>
    <w:rPr>
      <w:rFonts w:ascii="Calibri" w:eastAsia="宋体" w:hAnsi="Calibri" w:cs="Times New Roman"/>
      <w:kern w:val="0"/>
      <w:sz w:val="18"/>
      <w:szCs w:val="18"/>
      <w:lang w:val="ru-RU" w:eastAsia="en-US"/>
    </w:rPr>
  </w:style>
  <w:style w:type="character" w:customStyle="1" w:styleId="Char3">
    <w:name w:val="批注主题 Char"/>
    <w:basedOn w:val="Char"/>
    <w:link w:val="a7"/>
    <w:uiPriority w:val="99"/>
    <w:semiHidden/>
    <w:rsid w:val="005C315F"/>
    <w:rPr>
      <w:rFonts w:ascii="Calibri" w:eastAsia="宋体" w:hAnsi="Calibri" w:cs="Times New Roman"/>
      <w:b/>
      <w:bCs/>
      <w:kern w:val="0"/>
      <w:sz w:val="22"/>
      <w:lang w:val="ru-RU" w:eastAsia="en-US"/>
    </w:rPr>
  </w:style>
  <w:style w:type="paragraph" w:customStyle="1" w:styleId="1">
    <w:name w:val="修订1"/>
    <w:hidden/>
    <w:uiPriority w:val="99"/>
    <w:semiHidden/>
    <w:rsid w:val="005C315F"/>
    <w:rPr>
      <w:rFonts w:ascii="Calibri" w:eastAsia="宋体" w:hAnsi="Calibri" w:cs="Times New Roman"/>
      <w:sz w:val="22"/>
      <w:szCs w:val="22"/>
      <w:lang w:val="ru-RU"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4</DocSecurity>
  <Lines>6</Lines>
  <Paragraphs>1</Paragraphs>
  <ScaleCrop>false</ScaleCrop>
  <Company>china</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李欣轩</dc:creator>
  <cp:lastModifiedBy>ZHONGM</cp:lastModifiedBy>
  <cp:revision>2</cp:revision>
  <cp:lastPrinted>2021-12-22T05:36:00Z</cp:lastPrinted>
  <dcterms:created xsi:type="dcterms:W3CDTF">2024-11-17T16:01:00Z</dcterms:created>
  <dcterms:modified xsi:type="dcterms:W3CDTF">2024-11-17T16:01:00Z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46178619E2434FFD8BF6BB021933076D_12</vt:lpwstr>
  </property>
</Properties>
</file>