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1B3" w:rsidRDefault="00CB6579">
      <w:pPr>
        <w:pStyle w:val="Default"/>
        <w:jc w:val="center"/>
        <w:rPr>
          <w:rFonts w:ascii="宋体" w:hAnsi="宋体" w:cs="宋体"/>
          <w:b/>
          <w:color w:val="auto"/>
          <w:sz w:val="28"/>
          <w:szCs w:val="28"/>
        </w:rPr>
      </w:pPr>
      <w:r>
        <w:rPr>
          <w:rFonts w:ascii="宋体" w:hAnsi="宋体" w:cs="宋体" w:hint="eastAsia"/>
          <w:b/>
          <w:color w:val="auto"/>
          <w:sz w:val="28"/>
          <w:szCs w:val="28"/>
        </w:rPr>
        <w:t>华安基金管理有限公司</w:t>
      </w:r>
    </w:p>
    <w:p w:rsidR="008541B3" w:rsidRDefault="00CB6579">
      <w:pPr>
        <w:pStyle w:val="Default"/>
        <w:jc w:val="center"/>
        <w:rPr>
          <w:rFonts w:ascii="宋体" w:hAnsi="宋体" w:cs="宋体"/>
          <w:b/>
          <w:color w:val="auto"/>
          <w:sz w:val="28"/>
          <w:szCs w:val="28"/>
        </w:rPr>
      </w:pPr>
      <w:r>
        <w:rPr>
          <w:rFonts w:ascii="宋体" w:hAnsi="宋体" w:cs="宋体" w:hint="eastAsia"/>
          <w:b/>
          <w:color w:val="auto"/>
          <w:sz w:val="28"/>
          <w:szCs w:val="28"/>
        </w:rPr>
        <w:t>关于旗下部分基金增设</w:t>
      </w:r>
      <w:r>
        <w:rPr>
          <w:rFonts w:ascii="宋体" w:hAnsi="宋体" w:cs="宋体"/>
          <w:b/>
          <w:color w:val="auto"/>
          <w:sz w:val="28"/>
          <w:szCs w:val="28"/>
        </w:rPr>
        <w:t>I</w:t>
      </w:r>
      <w:r>
        <w:rPr>
          <w:rFonts w:ascii="宋体" w:hAnsi="宋体" w:cs="宋体" w:hint="eastAsia"/>
          <w:b/>
          <w:color w:val="auto"/>
          <w:sz w:val="28"/>
          <w:szCs w:val="28"/>
        </w:rPr>
        <w:t>类基金份额</w:t>
      </w:r>
    </w:p>
    <w:p w:rsidR="008541B3" w:rsidRDefault="00CB6579">
      <w:pPr>
        <w:pStyle w:val="Default"/>
        <w:jc w:val="center"/>
        <w:rPr>
          <w:rFonts w:ascii="宋体" w:hAnsi="宋体" w:cs="宋体"/>
          <w:b/>
          <w:color w:val="auto"/>
          <w:sz w:val="28"/>
          <w:szCs w:val="28"/>
        </w:rPr>
      </w:pPr>
      <w:r>
        <w:rPr>
          <w:rFonts w:ascii="宋体" w:hAnsi="宋体" w:cs="宋体" w:hint="eastAsia"/>
          <w:b/>
          <w:color w:val="auto"/>
          <w:sz w:val="28"/>
          <w:szCs w:val="28"/>
        </w:rPr>
        <w:t>并修改基金合同及托管协议的公告</w:t>
      </w:r>
    </w:p>
    <w:p w:rsidR="008541B3" w:rsidRDefault="008541B3">
      <w:pPr>
        <w:pStyle w:val="Default"/>
        <w:spacing w:line="360" w:lineRule="auto"/>
        <w:rPr>
          <w:rFonts w:ascii="宋体" w:hAnsi="宋体" w:cs="宋体"/>
          <w:color w:val="auto"/>
          <w:sz w:val="23"/>
          <w:szCs w:val="23"/>
        </w:rPr>
      </w:pPr>
    </w:p>
    <w:p w:rsidR="008541B3" w:rsidRDefault="00CB6579">
      <w:pPr>
        <w:pStyle w:val="Default"/>
        <w:spacing w:line="360" w:lineRule="auto"/>
        <w:ind w:firstLineChars="200" w:firstLine="480"/>
        <w:rPr>
          <w:rFonts w:ascii="宋体" w:hAnsi="宋体" w:cs="宋体"/>
          <w:color w:val="auto"/>
        </w:rPr>
      </w:pPr>
      <w:r>
        <w:rPr>
          <w:rFonts w:ascii="宋体" w:hAnsi="宋体" w:cs="宋体" w:hint="eastAsia"/>
          <w:color w:val="auto"/>
        </w:rPr>
        <w:t>为更好地满足投资者的投资需求，提供更灵活的理财服务，经与基金托管人中国建设银行股份有限公司（以下简称“建设银行”）及中国银行股份有限公司（以下简称“中国银行”）协商一致，华安基金管理有限公司（以下简称“本公司”）决定自202</w:t>
      </w:r>
      <w:r>
        <w:rPr>
          <w:rFonts w:ascii="宋体" w:hAnsi="宋体" w:cs="宋体"/>
          <w:color w:val="auto"/>
        </w:rPr>
        <w:t>4</w:t>
      </w:r>
      <w:r>
        <w:rPr>
          <w:rFonts w:ascii="宋体" w:hAnsi="宋体" w:cs="宋体" w:hint="eastAsia"/>
          <w:color w:val="auto"/>
        </w:rPr>
        <w:t>年11月19日起，对旗下部分基金在现有基金份额的基础上增设</w:t>
      </w:r>
      <w:r>
        <w:rPr>
          <w:rFonts w:ascii="宋体" w:hAnsi="宋体" w:cs="宋体"/>
          <w:color w:val="auto"/>
        </w:rPr>
        <w:t>I</w:t>
      </w:r>
      <w:r>
        <w:rPr>
          <w:rFonts w:ascii="宋体" w:hAnsi="宋体" w:cs="宋体" w:hint="eastAsia"/>
          <w:color w:val="auto"/>
        </w:rPr>
        <w:t>类基金份额，</w:t>
      </w:r>
      <w:r>
        <w:rPr>
          <w:rFonts w:ascii="宋体" w:hAnsi="宋体" w:cs="宋体"/>
          <w:color w:val="auto"/>
        </w:rPr>
        <w:t>并</w:t>
      </w:r>
      <w:r>
        <w:rPr>
          <w:rFonts w:ascii="宋体" w:hAnsi="宋体" w:cs="宋体" w:hint="eastAsia"/>
          <w:color w:val="auto"/>
        </w:rPr>
        <w:t>根据基金管理人信息更新、法律法规更新及基金实际运作情况对基金合同、托管协议的相关内容进行修订。本次增设</w:t>
      </w:r>
      <w:r>
        <w:rPr>
          <w:rFonts w:ascii="宋体" w:hAnsi="宋体" w:cs="宋体"/>
          <w:color w:val="auto"/>
        </w:rPr>
        <w:t>I</w:t>
      </w:r>
      <w:r>
        <w:rPr>
          <w:rFonts w:ascii="宋体" w:hAnsi="宋体" w:cs="宋体" w:hint="eastAsia"/>
          <w:color w:val="auto"/>
        </w:rPr>
        <w:t>类基金份额的具体情况如下：</w:t>
      </w:r>
    </w:p>
    <w:p w:rsidR="008541B3" w:rsidRDefault="008541B3">
      <w:pPr>
        <w:pStyle w:val="Default"/>
        <w:spacing w:line="360" w:lineRule="auto"/>
        <w:ind w:firstLineChars="200" w:firstLine="480"/>
        <w:rPr>
          <w:rFonts w:ascii="宋体" w:hAnsi="宋体" w:cs="宋体"/>
          <w:color w:val="auto"/>
        </w:rPr>
      </w:pPr>
    </w:p>
    <w:p w:rsidR="008541B3" w:rsidRDefault="00CB6579">
      <w:pPr>
        <w:spacing w:line="360" w:lineRule="auto"/>
        <w:ind w:firstLineChars="200" w:firstLine="482"/>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一、增设I类基金份额的产品</w:t>
      </w:r>
    </w:p>
    <w:p w:rsidR="008541B3" w:rsidRDefault="00CB657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华安上证180交易型开放式指数证券投资基金联接基金、华安创业板50交易型开放式指数证券投资基金联接基金、华安恒生科技交易型开放式指数证券投资基金发起式联接基金(QDII)、华安易富黄金交易型开放式证券投资基金联接基金。</w:t>
      </w:r>
    </w:p>
    <w:p w:rsidR="008541B3" w:rsidRDefault="008541B3">
      <w:pPr>
        <w:spacing w:line="360" w:lineRule="auto"/>
        <w:ind w:firstLineChars="200" w:firstLine="482"/>
        <w:rPr>
          <w:rFonts w:asciiTheme="minorEastAsia" w:eastAsiaTheme="minorEastAsia" w:hAnsiTheme="minorEastAsia" w:cs="Arial"/>
          <w:b/>
          <w:sz w:val="24"/>
          <w:szCs w:val="24"/>
        </w:rPr>
      </w:pPr>
    </w:p>
    <w:p w:rsidR="008541B3" w:rsidRDefault="00CB6579">
      <w:pPr>
        <w:spacing w:line="360" w:lineRule="auto"/>
        <w:ind w:firstLineChars="200" w:firstLine="482"/>
        <w:rPr>
          <w:rFonts w:asciiTheme="minorEastAsia" w:eastAsiaTheme="minorEastAsia" w:hAnsiTheme="minorEastAsia" w:cs="Arial"/>
          <w:b/>
          <w:sz w:val="24"/>
          <w:szCs w:val="24"/>
        </w:rPr>
      </w:pPr>
      <w:r>
        <w:rPr>
          <w:rFonts w:asciiTheme="minorEastAsia" w:eastAsiaTheme="minorEastAsia" w:hAnsiTheme="minorEastAsia" w:cs="Arial" w:hint="eastAsia"/>
          <w:b/>
          <w:sz w:val="24"/>
          <w:szCs w:val="24"/>
        </w:rPr>
        <w:t>二、增设I类基金份额的情况</w:t>
      </w:r>
    </w:p>
    <w:p w:rsidR="008541B3" w:rsidRDefault="00CB657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根据是否收取申购费和销售服务费，将基金份额分为不同的类别。在投资者申购时收取申购费，但不从本类别基金资产中计提销售服务费的，称为A类基金份额；在投资者申购时不收取申购费，而从本类别基金资产中计提销售服务费的，称为C类基金份额、I类基金份额。</w:t>
      </w:r>
    </w:p>
    <w:p w:rsidR="008541B3" w:rsidRDefault="00CB657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2、各类基金份额分别设置代码。由于基金费用的不同，各类基金份额将分别计算并公告基金份额净值。各基金增设</w:t>
      </w:r>
      <w:r>
        <w:rPr>
          <w:rFonts w:asciiTheme="minorEastAsia" w:eastAsiaTheme="minorEastAsia" w:hAnsiTheme="minorEastAsia" w:cs="Arial"/>
          <w:sz w:val="24"/>
          <w:szCs w:val="24"/>
        </w:rPr>
        <w:t>I</w:t>
      </w:r>
      <w:r>
        <w:rPr>
          <w:rFonts w:asciiTheme="minorEastAsia" w:eastAsiaTheme="minorEastAsia" w:hAnsiTheme="minorEastAsia" w:cs="Arial" w:hint="eastAsia"/>
          <w:sz w:val="24"/>
          <w:szCs w:val="24"/>
        </w:rPr>
        <w:t>类基金份额初始基金份额净值与当日</w:t>
      </w:r>
      <w:r>
        <w:rPr>
          <w:rFonts w:asciiTheme="minorEastAsia" w:eastAsiaTheme="minorEastAsia" w:hAnsiTheme="minorEastAsia" w:cs="Arial"/>
          <w:sz w:val="24"/>
          <w:szCs w:val="24"/>
        </w:rPr>
        <w:t>A</w:t>
      </w:r>
      <w:r>
        <w:rPr>
          <w:rFonts w:asciiTheme="minorEastAsia" w:eastAsiaTheme="minorEastAsia" w:hAnsiTheme="minorEastAsia" w:cs="Arial" w:hint="eastAsia"/>
          <w:sz w:val="24"/>
          <w:szCs w:val="24"/>
        </w:rPr>
        <w:t>类基金份额的基金份额净值一致。</w:t>
      </w:r>
    </w:p>
    <w:tbl>
      <w:tblPr>
        <w:tblStyle w:val="a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478"/>
        <w:gridCol w:w="2023"/>
        <w:gridCol w:w="2021"/>
      </w:tblGrid>
      <w:tr w:rsidR="008541B3">
        <w:trPr>
          <w:trHeight w:val="454"/>
        </w:trPr>
        <w:tc>
          <w:tcPr>
            <w:tcW w:w="262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基金简称</w:t>
            </w:r>
          </w:p>
        </w:tc>
        <w:tc>
          <w:tcPr>
            <w:tcW w:w="118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基金代码</w:t>
            </w:r>
          </w:p>
        </w:tc>
        <w:tc>
          <w:tcPr>
            <w:tcW w:w="1186" w:type="pct"/>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基金托管人</w:t>
            </w:r>
          </w:p>
        </w:tc>
      </w:tr>
      <w:tr w:rsidR="008541B3">
        <w:trPr>
          <w:trHeight w:val="454"/>
        </w:trPr>
        <w:tc>
          <w:tcPr>
            <w:tcW w:w="262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华安上证180ETF联接I</w:t>
            </w:r>
          </w:p>
        </w:tc>
        <w:tc>
          <w:tcPr>
            <w:tcW w:w="118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022646</w:t>
            </w:r>
          </w:p>
        </w:tc>
        <w:tc>
          <w:tcPr>
            <w:tcW w:w="1186" w:type="pct"/>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建设银行</w:t>
            </w:r>
          </w:p>
        </w:tc>
      </w:tr>
      <w:tr w:rsidR="008541B3">
        <w:trPr>
          <w:trHeight w:val="454"/>
        </w:trPr>
        <w:tc>
          <w:tcPr>
            <w:tcW w:w="262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华安创业板50ETF联接</w:t>
            </w:r>
            <w:r>
              <w:rPr>
                <w:rFonts w:asciiTheme="minorEastAsia" w:eastAsiaTheme="minorEastAsia" w:hAnsiTheme="minorEastAsia" w:cs="Arial"/>
                <w:sz w:val="24"/>
                <w:szCs w:val="24"/>
              </w:rPr>
              <w:t>I</w:t>
            </w:r>
          </w:p>
        </w:tc>
        <w:tc>
          <w:tcPr>
            <w:tcW w:w="118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022654</w:t>
            </w:r>
          </w:p>
        </w:tc>
        <w:tc>
          <w:tcPr>
            <w:tcW w:w="1186" w:type="pct"/>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建设银行</w:t>
            </w:r>
          </w:p>
        </w:tc>
      </w:tr>
      <w:tr w:rsidR="008541B3">
        <w:trPr>
          <w:trHeight w:val="454"/>
        </w:trPr>
        <w:tc>
          <w:tcPr>
            <w:tcW w:w="262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华安恒生科技ETF发起式联接（QDII）</w:t>
            </w:r>
            <w:r>
              <w:rPr>
                <w:rFonts w:asciiTheme="minorEastAsia" w:eastAsiaTheme="minorEastAsia" w:hAnsiTheme="minorEastAsia" w:cs="Arial"/>
                <w:sz w:val="24"/>
                <w:szCs w:val="24"/>
              </w:rPr>
              <w:t>I</w:t>
            </w:r>
          </w:p>
        </w:tc>
        <w:tc>
          <w:tcPr>
            <w:tcW w:w="118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022647</w:t>
            </w:r>
          </w:p>
        </w:tc>
        <w:tc>
          <w:tcPr>
            <w:tcW w:w="1186" w:type="pct"/>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中国银行</w:t>
            </w:r>
          </w:p>
        </w:tc>
      </w:tr>
      <w:tr w:rsidR="008541B3">
        <w:trPr>
          <w:trHeight w:val="454"/>
        </w:trPr>
        <w:tc>
          <w:tcPr>
            <w:tcW w:w="262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华安黄金易(ETF联接)</w:t>
            </w:r>
            <w:r>
              <w:rPr>
                <w:rFonts w:asciiTheme="minorEastAsia" w:eastAsiaTheme="minorEastAsia" w:hAnsiTheme="minorEastAsia" w:cs="Arial"/>
                <w:sz w:val="24"/>
                <w:szCs w:val="24"/>
              </w:rPr>
              <w:t xml:space="preserve"> I</w:t>
            </w:r>
          </w:p>
        </w:tc>
        <w:tc>
          <w:tcPr>
            <w:tcW w:w="1187"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022653</w:t>
            </w:r>
          </w:p>
        </w:tc>
        <w:tc>
          <w:tcPr>
            <w:tcW w:w="1186" w:type="pct"/>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建设银行</w:t>
            </w:r>
          </w:p>
        </w:tc>
      </w:tr>
    </w:tbl>
    <w:p w:rsidR="008541B3" w:rsidRDefault="00CB657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3、I类基金份额费率结构</w:t>
      </w:r>
    </w:p>
    <w:p w:rsidR="008541B3" w:rsidRDefault="00CB6579">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（1）I类基金份额不收取申购费用。</w:t>
      </w:r>
    </w:p>
    <w:p w:rsidR="008541B3" w:rsidRDefault="00CB6579">
      <w:pPr>
        <w:spacing w:line="360" w:lineRule="auto"/>
        <w:ind w:firstLineChars="200" w:firstLine="480"/>
        <w:rPr>
          <w:rFonts w:asciiTheme="minorEastAsia" w:eastAsiaTheme="minorEastAsia" w:hAnsiTheme="minorEastAsia" w:cs="Arial"/>
        </w:rPr>
      </w:pPr>
      <w:r>
        <w:rPr>
          <w:rFonts w:asciiTheme="minorEastAsia" w:eastAsiaTheme="minorEastAsia" w:hAnsiTheme="minorEastAsia" w:cs="Arial" w:hint="eastAsia"/>
          <w:sz w:val="24"/>
          <w:szCs w:val="24"/>
        </w:rPr>
        <w:t>（2）I类基金份额适用的赎回费率如下：</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094"/>
        <w:gridCol w:w="2246"/>
        <w:gridCol w:w="1474"/>
        <w:gridCol w:w="2708"/>
      </w:tblGrid>
      <w:tr w:rsidR="008541B3">
        <w:trPr>
          <w:trHeight w:val="545"/>
          <w:jc w:val="center"/>
        </w:trPr>
        <w:tc>
          <w:tcPr>
            <w:tcW w:w="1228"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基金</w:t>
            </w:r>
            <w:r>
              <w:rPr>
                <w:rFonts w:asciiTheme="minorEastAsia" w:eastAsiaTheme="minorEastAsia" w:hAnsiTheme="minorEastAsia" w:cs="Arial"/>
                <w:sz w:val="24"/>
                <w:szCs w:val="24"/>
              </w:rPr>
              <w:t>份额类型</w:t>
            </w:r>
          </w:p>
        </w:tc>
        <w:tc>
          <w:tcPr>
            <w:tcW w:w="1318" w:type="pct"/>
            <w:shd w:val="clear" w:color="auto" w:fill="auto"/>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持有期限（Y）</w:t>
            </w:r>
          </w:p>
        </w:tc>
        <w:tc>
          <w:tcPr>
            <w:tcW w:w="865" w:type="pct"/>
            <w:shd w:val="clear" w:color="auto" w:fill="auto"/>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赎回费率</w:t>
            </w:r>
          </w:p>
        </w:tc>
        <w:tc>
          <w:tcPr>
            <w:tcW w:w="1590"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计入基金财产比例</w:t>
            </w:r>
          </w:p>
        </w:tc>
      </w:tr>
      <w:tr w:rsidR="008541B3">
        <w:trPr>
          <w:trHeight w:val="545"/>
          <w:jc w:val="center"/>
        </w:trPr>
        <w:tc>
          <w:tcPr>
            <w:tcW w:w="1227" w:type="pct"/>
            <w:vMerge w:val="restar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I类</w:t>
            </w:r>
            <w:r>
              <w:rPr>
                <w:rFonts w:asciiTheme="minorEastAsia" w:eastAsiaTheme="minorEastAsia" w:hAnsiTheme="minorEastAsia" w:cs="Arial" w:hint="eastAsia"/>
                <w:sz w:val="24"/>
                <w:szCs w:val="24"/>
              </w:rPr>
              <w:t>基金份额</w:t>
            </w:r>
          </w:p>
        </w:tc>
        <w:tc>
          <w:tcPr>
            <w:tcW w:w="1318" w:type="pct"/>
            <w:shd w:val="clear" w:color="auto" w:fill="auto"/>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Y＜7天</w:t>
            </w:r>
          </w:p>
        </w:tc>
        <w:tc>
          <w:tcPr>
            <w:tcW w:w="865" w:type="pct"/>
            <w:shd w:val="clear" w:color="auto" w:fill="auto"/>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1.5%</w:t>
            </w:r>
          </w:p>
        </w:tc>
        <w:tc>
          <w:tcPr>
            <w:tcW w:w="1590"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100%</w:t>
            </w:r>
          </w:p>
        </w:tc>
      </w:tr>
      <w:tr w:rsidR="008541B3">
        <w:trPr>
          <w:trHeight w:val="360"/>
          <w:jc w:val="center"/>
        </w:trPr>
        <w:tc>
          <w:tcPr>
            <w:tcW w:w="1227" w:type="pct"/>
            <w:vMerge/>
            <w:vAlign w:val="center"/>
          </w:tcPr>
          <w:p w:rsidR="008541B3" w:rsidRDefault="008541B3">
            <w:pPr>
              <w:autoSpaceDE w:val="0"/>
              <w:autoSpaceDN w:val="0"/>
              <w:adjustRightInd w:val="0"/>
              <w:spacing w:line="360" w:lineRule="auto"/>
              <w:jc w:val="center"/>
              <w:rPr>
                <w:rFonts w:asciiTheme="minorEastAsia" w:eastAsiaTheme="minorEastAsia" w:hAnsiTheme="minorEastAsia" w:cs="Arial"/>
                <w:sz w:val="24"/>
                <w:szCs w:val="24"/>
              </w:rPr>
            </w:pPr>
          </w:p>
        </w:tc>
        <w:tc>
          <w:tcPr>
            <w:tcW w:w="1318" w:type="pct"/>
            <w:shd w:val="clear" w:color="auto" w:fill="auto"/>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Y≥</w:t>
            </w:r>
            <w:r>
              <w:rPr>
                <w:rFonts w:asciiTheme="minorEastAsia" w:eastAsiaTheme="minorEastAsia" w:hAnsiTheme="minorEastAsia" w:cs="Arial" w:hint="eastAsia"/>
                <w:sz w:val="24"/>
                <w:szCs w:val="24"/>
              </w:rPr>
              <w:t>7</w:t>
            </w:r>
            <w:r>
              <w:rPr>
                <w:rFonts w:asciiTheme="minorEastAsia" w:eastAsiaTheme="minorEastAsia" w:hAnsiTheme="minorEastAsia" w:cs="Arial"/>
                <w:sz w:val="24"/>
                <w:szCs w:val="24"/>
              </w:rPr>
              <w:t>天</w:t>
            </w:r>
          </w:p>
        </w:tc>
        <w:tc>
          <w:tcPr>
            <w:tcW w:w="865" w:type="pct"/>
            <w:shd w:val="clear" w:color="auto" w:fill="auto"/>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0</w:t>
            </w:r>
          </w:p>
        </w:tc>
        <w:tc>
          <w:tcPr>
            <w:tcW w:w="1590" w:type="pct"/>
            <w:vAlign w:val="center"/>
          </w:tcPr>
          <w:p w:rsidR="008541B3" w:rsidRDefault="00CB6579">
            <w:pPr>
              <w:autoSpaceDE w:val="0"/>
              <w:autoSpaceDN w:val="0"/>
              <w:adjustRightInd w:val="0"/>
              <w:spacing w:line="360" w:lineRule="auto"/>
              <w:jc w:val="center"/>
              <w:rPr>
                <w:rFonts w:asciiTheme="minorEastAsia" w:eastAsiaTheme="minorEastAsia" w:hAnsiTheme="minorEastAsia" w:cs="Arial"/>
                <w:sz w:val="24"/>
                <w:szCs w:val="24"/>
              </w:rPr>
            </w:pPr>
            <w:r>
              <w:rPr>
                <w:rFonts w:asciiTheme="minorEastAsia" w:eastAsiaTheme="minorEastAsia" w:hAnsiTheme="minorEastAsia" w:cs="Arial"/>
                <w:sz w:val="24"/>
                <w:szCs w:val="24"/>
              </w:rPr>
              <w:t>/</w:t>
            </w:r>
          </w:p>
        </w:tc>
      </w:tr>
    </w:tbl>
    <w:p w:rsidR="008541B3" w:rsidRDefault="00CB6579">
      <w:pPr>
        <w:pStyle w:val="Default"/>
        <w:spacing w:line="360" w:lineRule="auto"/>
        <w:ind w:firstLineChars="200" w:firstLine="480"/>
        <w:rPr>
          <w:rFonts w:asciiTheme="minorEastAsia" w:eastAsiaTheme="minorEastAsia" w:hAnsiTheme="minorEastAsia" w:cs="宋体"/>
          <w:color w:val="auto"/>
        </w:rPr>
      </w:pPr>
      <w:r>
        <w:rPr>
          <w:rFonts w:asciiTheme="minorEastAsia" w:eastAsiaTheme="minorEastAsia" w:hAnsiTheme="minorEastAsia" w:cs="宋体" w:hint="eastAsia"/>
          <w:color w:val="auto"/>
        </w:rPr>
        <w:t>（3）I类基金份额的销售服务费</w:t>
      </w:r>
    </w:p>
    <w:p w:rsidR="008541B3" w:rsidRDefault="00CB6579">
      <w:pPr>
        <w:spacing w:line="360" w:lineRule="auto"/>
        <w:ind w:firstLineChars="200" w:firstLine="480"/>
        <w:rPr>
          <w:bCs/>
          <w:sz w:val="24"/>
        </w:rPr>
      </w:pPr>
      <w:r>
        <w:rPr>
          <w:rFonts w:hint="eastAsia"/>
          <w:bCs/>
          <w:sz w:val="24"/>
        </w:rPr>
        <w:t>I</w:t>
      </w:r>
      <w:r>
        <w:rPr>
          <w:rFonts w:hint="eastAsia"/>
          <w:bCs/>
          <w:sz w:val="24"/>
        </w:rPr>
        <w:t>类基金份额的销售服务费年费率为</w:t>
      </w:r>
      <w:r>
        <w:rPr>
          <w:rFonts w:hint="eastAsia"/>
          <w:bCs/>
          <w:sz w:val="24"/>
        </w:rPr>
        <w:t>0.10%</w:t>
      </w:r>
      <w:r>
        <w:rPr>
          <w:rFonts w:hint="eastAsia"/>
          <w:bCs/>
          <w:sz w:val="24"/>
        </w:rPr>
        <w:t>。销售服务费计提的计算公式如下：</w:t>
      </w:r>
    </w:p>
    <w:p w:rsidR="008541B3" w:rsidRDefault="00CB657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0.10%</w:t>
      </w:r>
      <w:r>
        <w:rPr>
          <w:rFonts w:hint="eastAsia"/>
          <w:bCs/>
          <w:sz w:val="24"/>
        </w:rPr>
        <w:t>÷当年天数</w:t>
      </w:r>
    </w:p>
    <w:p w:rsidR="008541B3" w:rsidRDefault="00CB6579">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I</w:t>
      </w:r>
      <w:r>
        <w:rPr>
          <w:rFonts w:hint="eastAsia"/>
          <w:bCs/>
          <w:sz w:val="24"/>
        </w:rPr>
        <w:t>类基金份额每日应计提的销售服务费</w:t>
      </w:r>
    </w:p>
    <w:p w:rsidR="008541B3" w:rsidRDefault="00CB6579">
      <w:pPr>
        <w:pStyle w:val="Default"/>
        <w:spacing w:line="360" w:lineRule="auto"/>
        <w:ind w:firstLineChars="200" w:firstLine="480"/>
        <w:rPr>
          <w:rFonts w:cs="Times New Roman"/>
          <w:bCs/>
          <w:color w:val="auto"/>
          <w:kern w:val="2"/>
          <w:szCs w:val="22"/>
        </w:rPr>
      </w:pPr>
      <w:r>
        <w:rPr>
          <w:rFonts w:hint="eastAsia"/>
          <w:bCs/>
        </w:rPr>
        <w:t>E</w:t>
      </w:r>
      <w:r>
        <w:rPr>
          <w:rFonts w:hint="eastAsia"/>
          <w:bCs/>
        </w:rPr>
        <w:t>为</w:t>
      </w:r>
      <w:r>
        <w:rPr>
          <w:rFonts w:hint="eastAsia"/>
          <w:bCs/>
        </w:rPr>
        <w:t>I</w:t>
      </w:r>
      <w:r>
        <w:rPr>
          <w:rFonts w:hint="eastAsia"/>
          <w:bCs/>
        </w:rPr>
        <w:t>类基金份额前一日的基金资产净值</w:t>
      </w:r>
    </w:p>
    <w:p w:rsidR="008541B3" w:rsidRDefault="00CB6579">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cs="宋体" w:hint="eastAsia"/>
          <w:color w:val="auto"/>
        </w:rPr>
        <w:t>4、</w:t>
      </w:r>
      <w:r>
        <w:rPr>
          <w:rFonts w:asciiTheme="minorEastAsia" w:eastAsiaTheme="minorEastAsia" w:hAnsiTheme="minorEastAsia" w:hint="eastAsia"/>
        </w:rPr>
        <w:t>投资者可自202</w:t>
      </w:r>
      <w:r>
        <w:rPr>
          <w:rFonts w:asciiTheme="minorEastAsia" w:eastAsiaTheme="minorEastAsia" w:hAnsiTheme="minorEastAsia"/>
        </w:rPr>
        <w:t>4</w:t>
      </w:r>
      <w:r>
        <w:rPr>
          <w:rFonts w:asciiTheme="minorEastAsia" w:eastAsiaTheme="minorEastAsia" w:hAnsiTheme="minorEastAsia" w:hint="eastAsia"/>
        </w:rPr>
        <w:t>年11月19日起，办理</w:t>
      </w:r>
      <w:r>
        <w:rPr>
          <w:rFonts w:asciiTheme="minorEastAsia" w:eastAsiaTheme="minorEastAsia" w:hAnsiTheme="minorEastAsia"/>
        </w:rPr>
        <w:t>I</w:t>
      </w:r>
      <w:r>
        <w:rPr>
          <w:rFonts w:asciiTheme="minorEastAsia" w:eastAsiaTheme="minorEastAsia" w:hAnsiTheme="minorEastAsia" w:hint="eastAsia"/>
        </w:rPr>
        <w:t>类基金份额的申购、赎回、转换和定期定额投资业务。其中，华安创业板50ETF联接I</w:t>
      </w:r>
      <w:r>
        <w:rPr>
          <w:rFonts w:asciiTheme="minorEastAsia" w:eastAsiaTheme="minorEastAsia" w:hAnsiTheme="minorEastAsia" w:cs="Arial" w:hint="eastAsia"/>
        </w:rPr>
        <w:t>类基金份额</w:t>
      </w:r>
      <w:r>
        <w:rPr>
          <w:rFonts w:asciiTheme="minorEastAsia" w:eastAsiaTheme="minorEastAsia" w:hAnsiTheme="minorEastAsia" w:hint="eastAsia"/>
        </w:rPr>
        <w:t>、华安恒生科技ETF发起式联接（QDII）I</w:t>
      </w:r>
      <w:r>
        <w:rPr>
          <w:rFonts w:asciiTheme="minorEastAsia" w:eastAsiaTheme="minorEastAsia" w:hAnsiTheme="minorEastAsia" w:cs="Arial" w:hint="eastAsia"/>
        </w:rPr>
        <w:t>类基金份额</w:t>
      </w:r>
      <w:r>
        <w:rPr>
          <w:rFonts w:asciiTheme="minorEastAsia" w:eastAsiaTheme="minorEastAsia" w:hAnsiTheme="minorEastAsia" w:hint="eastAsia"/>
        </w:rPr>
        <w:t>暂不开通转换业务。敬请投资者关注。</w:t>
      </w:r>
      <w:bookmarkStart w:id="0" w:name="_GoBack"/>
      <w:bookmarkEnd w:id="0"/>
    </w:p>
    <w:p w:rsidR="008541B3" w:rsidRDefault="00CB6579">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5、I类基金份额适用的销售机构</w:t>
      </w:r>
    </w:p>
    <w:p w:rsidR="008541B3" w:rsidRDefault="00CB6579">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I类基金份额的销售机构包括本公司电子交易平台。其他销售机构请以本公司网站公示信息为准。</w:t>
      </w:r>
    </w:p>
    <w:p w:rsidR="008541B3" w:rsidRDefault="008541B3">
      <w:pPr>
        <w:pStyle w:val="Default"/>
        <w:spacing w:line="360" w:lineRule="auto"/>
        <w:ind w:firstLineChars="200" w:firstLine="480"/>
        <w:rPr>
          <w:rFonts w:ascii="宋体" w:hAnsi="宋体" w:cs="宋体"/>
          <w:color w:val="auto"/>
        </w:rPr>
      </w:pPr>
    </w:p>
    <w:p w:rsidR="008541B3" w:rsidRDefault="00CB6579">
      <w:pPr>
        <w:pStyle w:val="Default"/>
        <w:spacing w:line="360" w:lineRule="auto"/>
        <w:ind w:firstLineChars="200" w:firstLine="482"/>
        <w:rPr>
          <w:rFonts w:ascii="宋体" w:hAnsi="宋体" w:cs="宋体"/>
          <w:b/>
          <w:color w:val="auto"/>
        </w:rPr>
      </w:pPr>
      <w:r>
        <w:rPr>
          <w:rFonts w:ascii="宋体" w:hAnsi="宋体" w:cs="宋体" w:hint="eastAsia"/>
          <w:b/>
          <w:color w:val="auto"/>
        </w:rPr>
        <w:t>二、基金合同、托管协议的修改内容</w:t>
      </w:r>
    </w:p>
    <w:p w:rsidR="008541B3" w:rsidRDefault="00CB6579">
      <w:pPr>
        <w:pStyle w:val="Default"/>
        <w:spacing w:line="360" w:lineRule="auto"/>
        <w:ind w:firstLineChars="200" w:firstLine="480"/>
        <w:rPr>
          <w:rFonts w:ascii="宋体" w:hAnsi="宋体" w:cs="宋体"/>
          <w:color w:val="auto"/>
        </w:rPr>
      </w:pPr>
      <w:r>
        <w:rPr>
          <w:rFonts w:ascii="宋体" w:hAnsi="宋体" w:cs="宋体" w:hint="eastAsia"/>
          <w:color w:val="auto"/>
        </w:rPr>
        <w:t>经与基金托管人协商一致，本公司决定对基金合同、托管协议中涉及增设I类基金份额、基金管理人信息更新、法律法规更新及基金实际运作情况的内容进行修改。修改后的基金合同、托管协议自2024年</w:t>
      </w:r>
      <w:r>
        <w:rPr>
          <w:rFonts w:ascii="宋体" w:hAnsi="宋体" w:cs="宋体"/>
          <w:color w:val="auto"/>
        </w:rPr>
        <w:t>11</w:t>
      </w:r>
      <w:r>
        <w:rPr>
          <w:rFonts w:ascii="宋体" w:hAnsi="宋体" w:cs="宋体" w:hint="eastAsia"/>
          <w:color w:val="auto"/>
        </w:rPr>
        <w:t>月</w:t>
      </w:r>
      <w:r>
        <w:rPr>
          <w:rFonts w:ascii="宋体" w:hAnsi="宋体" w:cs="宋体"/>
          <w:color w:val="auto"/>
        </w:rPr>
        <w:t>19</w:t>
      </w:r>
      <w:r>
        <w:rPr>
          <w:rFonts w:ascii="宋体" w:hAnsi="宋体" w:cs="宋体" w:hint="eastAsia"/>
          <w:color w:val="auto"/>
        </w:rPr>
        <w:t>日起生效。各基金招募说明书、基金产品资料概要等信息披露文件届时将根据基金合同的内容进行相应更新。</w:t>
      </w:r>
    </w:p>
    <w:p w:rsidR="008541B3" w:rsidRDefault="008541B3">
      <w:pPr>
        <w:pStyle w:val="Default"/>
        <w:spacing w:line="360" w:lineRule="auto"/>
        <w:ind w:firstLineChars="200" w:firstLine="480"/>
        <w:rPr>
          <w:rFonts w:ascii="宋体" w:hAnsi="宋体" w:cs="宋体"/>
          <w:color w:val="auto"/>
        </w:rPr>
      </w:pPr>
    </w:p>
    <w:p w:rsidR="008541B3" w:rsidRDefault="00CB6579">
      <w:pPr>
        <w:pStyle w:val="Default"/>
        <w:spacing w:line="360" w:lineRule="auto"/>
        <w:ind w:firstLineChars="200" w:firstLine="482"/>
        <w:rPr>
          <w:b/>
        </w:rPr>
      </w:pPr>
      <w:r>
        <w:rPr>
          <w:rFonts w:ascii="宋体" w:hAnsi="宋体" w:cs="宋体" w:hint="eastAsia"/>
          <w:b/>
          <w:color w:val="auto"/>
        </w:rPr>
        <w:lastRenderedPageBreak/>
        <w:t>三、</w:t>
      </w:r>
      <w:r>
        <w:rPr>
          <w:b/>
        </w:rPr>
        <w:t>重要提示</w:t>
      </w:r>
    </w:p>
    <w:p w:rsidR="008541B3" w:rsidRDefault="00CB6579">
      <w:pPr>
        <w:pStyle w:val="Default"/>
        <w:spacing w:line="360" w:lineRule="auto"/>
        <w:ind w:firstLineChars="200" w:firstLine="480"/>
        <w:rPr>
          <w:rFonts w:ascii="宋体" w:hAnsi="宋体" w:cs="宋体"/>
        </w:rPr>
      </w:pPr>
      <w:r>
        <w:rPr>
          <w:rFonts w:ascii="宋体" w:hAnsi="宋体" w:cs="宋体"/>
          <w:color w:val="auto"/>
        </w:rPr>
        <w:t>1</w:t>
      </w:r>
      <w:r>
        <w:rPr>
          <w:rFonts w:ascii="宋体" w:hAnsi="宋体" w:cs="宋体" w:hint="eastAsia"/>
          <w:color w:val="auto"/>
        </w:rPr>
        <w:t>、此次增设 I 类基金份额、基金管理人信息更新、法律法规更新及基金实际运作情况修订基金合同及托管协议，符合相关法律法规的规定及基金合同的约定。</w:t>
      </w:r>
    </w:p>
    <w:p w:rsidR="008541B3" w:rsidRDefault="00CB6579">
      <w:pPr>
        <w:pStyle w:val="Default"/>
        <w:spacing w:line="360" w:lineRule="auto"/>
        <w:ind w:firstLineChars="200" w:firstLine="480"/>
        <w:rPr>
          <w:rFonts w:ascii="宋体" w:hAnsi="宋体" w:cs="宋体"/>
        </w:rPr>
      </w:pPr>
      <w:r>
        <w:rPr>
          <w:rFonts w:ascii="宋体" w:hAnsi="宋体" w:cs="宋体"/>
          <w:color w:val="auto"/>
        </w:rPr>
        <w:t>2</w:t>
      </w:r>
      <w:r>
        <w:rPr>
          <w:rFonts w:ascii="宋体" w:hAnsi="宋体" w:cs="宋体" w:hint="eastAsia"/>
          <w:color w:val="auto"/>
        </w:rPr>
        <w:t>、投资者可以登录本公司网站（</w:t>
      </w:r>
      <w:r>
        <w:rPr>
          <w:rFonts w:ascii="宋体" w:hAnsi="宋体" w:cs="宋体"/>
          <w:color w:val="auto"/>
        </w:rPr>
        <w:t>www.huaan.com.cn</w:t>
      </w:r>
      <w:r>
        <w:rPr>
          <w:rFonts w:ascii="宋体" w:hAnsi="宋体" w:cs="宋体" w:hint="eastAsia"/>
          <w:color w:val="auto"/>
        </w:rPr>
        <w:t>）或拨打客户服务电话（</w:t>
      </w:r>
      <w:r>
        <w:rPr>
          <w:rFonts w:ascii="宋体" w:hAnsi="宋体" w:cs="宋体"/>
          <w:color w:val="auto"/>
        </w:rPr>
        <w:t>40088-50099</w:t>
      </w:r>
      <w:r>
        <w:rPr>
          <w:rFonts w:ascii="宋体" w:hAnsi="宋体" w:cs="宋体" w:hint="eastAsia"/>
          <w:color w:val="auto"/>
        </w:rPr>
        <w:t>）咨询相关信息。</w:t>
      </w:r>
    </w:p>
    <w:p w:rsidR="008541B3" w:rsidRDefault="00CB6579">
      <w:pPr>
        <w:pStyle w:val="Default"/>
        <w:spacing w:line="360" w:lineRule="auto"/>
        <w:ind w:firstLineChars="200" w:firstLine="480"/>
        <w:rPr>
          <w:rFonts w:ascii="宋体" w:hAnsi="宋体" w:cs="宋体"/>
          <w:color w:val="auto"/>
        </w:rPr>
      </w:pPr>
      <w:r>
        <w:rPr>
          <w:rFonts w:hint="eastAsia"/>
        </w:rPr>
        <w:t>风险提示：基金管理人承诺以诚实信用、勤勉尽责的原则管理和运用基金资产，但不保证基金一定盈利，也不保证最低收益。投资者投资于时应认真阅读基金的基金合同、招募说明书等资料。敬请投资者留意投资风险。</w:t>
      </w:r>
    </w:p>
    <w:p w:rsidR="008541B3" w:rsidRDefault="008541B3">
      <w:pPr>
        <w:pStyle w:val="Default"/>
        <w:spacing w:line="360" w:lineRule="auto"/>
        <w:ind w:firstLineChars="200" w:firstLine="480"/>
        <w:rPr>
          <w:rFonts w:ascii="宋体" w:hAnsi="宋体" w:cs="宋体"/>
          <w:color w:val="auto"/>
        </w:rPr>
      </w:pPr>
    </w:p>
    <w:p w:rsidR="008541B3" w:rsidRDefault="00CB6579">
      <w:pPr>
        <w:pStyle w:val="Default"/>
        <w:spacing w:line="360" w:lineRule="auto"/>
        <w:ind w:firstLineChars="200" w:firstLine="480"/>
        <w:rPr>
          <w:rFonts w:ascii="宋体" w:hAnsi="宋体" w:cs="宋体"/>
          <w:color w:val="auto"/>
        </w:rPr>
      </w:pPr>
      <w:r>
        <w:rPr>
          <w:rFonts w:ascii="宋体" w:hAnsi="宋体" w:cs="宋体" w:hint="eastAsia"/>
          <w:color w:val="auto"/>
        </w:rPr>
        <w:t>特此公告。</w:t>
      </w:r>
    </w:p>
    <w:p w:rsidR="008541B3" w:rsidRDefault="008541B3">
      <w:pPr>
        <w:pStyle w:val="Default"/>
        <w:spacing w:line="360" w:lineRule="auto"/>
        <w:ind w:firstLineChars="200" w:firstLine="480"/>
        <w:rPr>
          <w:rFonts w:ascii="宋体" w:hAnsi="宋体" w:cs="宋体"/>
          <w:color w:val="auto"/>
        </w:rPr>
      </w:pPr>
    </w:p>
    <w:p w:rsidR="008541B3" w:rsidRDefault="008541B3">
      <w:pPr>
        <w:pStyle w:val="Default"/>
        <w:spacing w:line="360" w:lineRule="auto"/>
        <w:ind w:firstLineChars="200" w:firstLine="480"/>
        <w:jc w:val="right"/>
      </w:pPr>
    </w:p>
    <w:p w:rsidR="008541B3" w:rsidRDefault="00CB6579">
      <w:pPr>
        <w:pStyle w:val="Default"/>
        <w:spacing w:line="360" w:lineRule="auto"/>
        <w:ind w:firstLineChars="200" w:firstLine="480"/>
        <w:jc w:val="right"/>
      </w:pPr>
      <w:r>
        <w:rPr>
          <w:rFonts w:hint="eastAsia"/>
        </w:rPr>
        <w:t>华安基金管理有限公司</w:t>
      </w:r>
    </w:p>
    <w:p w:rsidR="008541B3" w:rsidRDefault="00CB6579">
      <w:pPr>
        <w:pStyle w:val="Default"/>
        <w:spacing w:line="360" w:lineRule="auto"/>
        <w:ind w:firstLineChars="200" w:firstLine="480"/>
        <w:jc w:val="right"/>
      </w:pPr>
      <w:r>
        <w:rPr>
          <w:rFonts w:hint="eastAsia"/>
        </w:rPr>
        <w:t>二〇二四年十一月十五日</w:t>
      </w:r>
    </w:p>
    <w:p w:rsidR="008541B3" w:rsidRDefault="008541B3">
      <w:pPr>
        <w:pStyle w:val="Default"/>
        <w:jc w:val="center"/>
      </w:pPr>
    </w:p>
    <w:sectPr w:rsidR="008541B3" w:rsidSect="0035779E">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79" w:rsidRDefault="00CB6579">
      <w:r>
        <w:separator/>
      </w:r>
    </w:p>
  </w:endnote>
  <w:endnote w:type="continuationSeparator" w:id="0">
    <w:p w:rsidR="00CB6579" w:rsidRDefault="00CB6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B3" w:rsidRDefault="0035779E">
    <w:pPr>
      <w:pStyle w:val="a5"/>
      <w:jc w:val="center"/>
    </w:pPr>
    <w:r>
      <w:fldChar w:fldCharType="begin"/>
    </w:r>
    <w:r w:rsidR="00CB6579">
      <w:instrText xml:space="preserve"> PAGE   \* MERGEFORMAT </w:instrText>
    </w:r>
    <w:r>
      <w:fldChar w:fldCharType="separate"/>
    </w:r>
    <w:r w:rsidR="008B7B13" w:rsidRPr="008B7B13">
      <w:rPr>
        <w:noProof/>
        <w:lang w:val="zh-CN"/>
      </w:rPr>
      <w:t>1</w:t>
    </w:r>
    <w:r>
      <w:fldChar w:fldCharType="end"/>
    </w:r>
  </w:p>
  <w:p w:rsidR="008541B3" w:rsidRDefault="008541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79" w:rsidRDefault="00CB6579">
      <w:r>
        <w:separator/>
      </w:r>
    </w:p>
  </w:footnote>
  <w:footnote w:type="continuationSeparator" w:id="0">
    <w:p w:rsidR="00CB6579" w:rsidRDefault="00CB65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854"/>
    <w:rsid w:val="00015271"/>
    <w:rsid w:val="00035F70"/>
    <w:rsid w:val="0003698D"/>
    <w:rsid w:val="00044855"/>
    <w:rsid w:val="00146F28"/>
    <w:rsid w:val="00152388"/>
    <w:rsid w:val="00161A92"/>
    <w:rsid w:val="001A7AF2"/>
    <w:rsid w:val="002146EC"/>
    <w:rsid w:val="002A0CD7"/>
    <w:rsid w:val="002E139D"/>
    <w:rsid w:val="002F2658"/>
    <w:rsid w:val="00306044"/>
    <w:rsid w:val="0032715D"/>
    <w:rsid w:val="0035779E"/>
    <w:rsid w:val="00416E5C"/>
    <w:rsid w:val="004C12AF"/>
    <w:rsid w:val="004C56E7"/>
    <w:rsid w:val="00585738"/>
    <w:rsid w:val="00636563"/>
    <w:rsid w:val="00646C50"/>
    <w:rsid w:val="00747FA1"/>
    <w:rsid w:val="007800A1"/>
    <w:rsid w:val="0078772B"/>
    <w:rsid w:val="007C6849"/>
    <w:rsid w:val="008541B3"/>
    <w:rsid w:val="00863E62"/>
    <w:rsid w:val="008B21FC"/>
    <w:rsid w:val="008B7B13"/>
    <w:rsid w:val="0094414C"/>
    <w:rsid w:val="009467DE"/>
    <w:rsid w:val="00A47D5A"/>
    <w:rsid w:val="00AC5C42"/>
    <w:rsid w:val="00B3739F"/>
    <w:rsid w:val="00B469E3"/>
    <w:rsid w:val="00BB6350"/>
    <w:rsid w:val="00C93854"/>
    <w:rsid w:val="00CB6579"/>
    <w:rsid w:val="00CB7BDF"/>
    <w:rsid w:val="00D3404E"/>
    <w:rsid w:val="00DB7A73"/>
    <w:rsid w:val="00E02002"/>
    <w:rsid w:val="00E140B4"/>
    <w:rsid w:val="00E25ABE"/>
    <w:rsid w:val="00E300DE"/>
    <w:rsid w:val="00E73DDB"/>
    <w:rsid w:val="00E95968"/>
    <w:rsid w:val="00EB0E78"/>
    <w:rsid w:val="00ED2B42"/>
    <w:rsid w:val="00F05735"/>
    <w:rsid w:val="00F11A2F"/>
    <w:rsid w:val="164F7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semiHidden="0"/>
    <w:lsdException w:name="Balloon Text" w:semiHidden="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9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35779E"/>
    <w:pPr>
      <w:jc w:val="left"/>
    </w:pPr>
  </w:style>
  <w:style w:type="paragraph" w:styleId="a4">
    <w:name w:val="Balloon Text"/>
    <w:basedOn w:val="a"/>
    <w:link w:val="Char0"/>
    <w:uiPriority w:val="99"/>
    <w:unhideWhenUsed/>
    <w:rsid w:val="0035779E"/>
    <w:rPr>
      <w:sz w:val="18"/>
      <w:szCs w:val="18"/>
    </w:rPr>
  </w:style>
  <w:style w:type="paragraph" w:styleId="a5">
    <w:name w:val="footer"/>
    <w:basedOn w:val="a"/>
    <w:link w:val="Char1"/>
    <w:uiPriority w:val="99"/>
    <w:unhideWhenUsed/>
    <w:rsid w:val="0035779E"/>
    <w:pPr>
      <w:tabs>
        <w:tab w:val="center" w:pos="4153"/>
        <w:tab w:val="right" w:pos="8306"/>
      </w:tabs>
      <w:snapToGrid w:val="0"/>
      <w:jc w:val="left"/>
    </w:pPr>
    <w:rPr>
      <w:sz w:val="18"/>
      <w:szCs w:val="18"/>
    </w:rPr>
  </w:style>
  <w:style w:type="paragraph" w:styleId="a6">
    <w:name w:val="header"/>
    <w:basedOn w:val="a"/>
    <w:link w:val="Char2"/>
    <w:uiPriority w:val="99"/>
    <w:unhideWhenUsed/>
    <w:rsid w:val="0035779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5779E"/>
    <w:pPr>
      <w:widowControl/>
      <w:spacing w:before="100" w:beforeAutospacing="1" w:after="100" w:afterAutospacing="1"/>
      <w:jc w:val="left"/>
    </w:pPr>
    <w:rPr>
      <w:rFonts w:ascii="Arial Unicode MS" w:eastAsia="Arial Unicode MS" w:hAnsi="Arial Unicode MS" w:cs="楷体_GB2312"/>
      <w:kern w:val="0"/>
      <w:sz w:val="24"/>
      <w:szCs w:val="24"/>
    </w:rPr>
  </w:style>
  <w:style w:type="paragraph" w:styleId="a8">
    <w:name w:val="Title"/>
    <w:basedOn w:val="a"/>
    <w:next w:val="a"/>
    <w:link w:val="Char3"/>
    <w:qFormat/>
    <w:rsid w:val="0035779E"/>
    <w:pPr>
      <w:spacing w:before="240" w:after="60"/>
      <w:jc w:val="center"/>
      <w:outlineLvl w:val="0"/>
    </w:pPr>
    <w:rPr>
      <w:rFonts w:ascii="Cambria" w:hAnsi="Cambria"/>
      <w:b/>
      <w:sz w:val="32"/>
      <w:szCs w:val="20"/>
    </w:rPr>
  </w:style>
  <w:style w:type="paragraph" w:styleId="a9">
    <w:name w:val="annotation subject"/>
    <w:basedOn w:val="a3"/>
    <w:next w:val="a3"/>
    <w:link w:val="Char4"/>
    <w:uiPriority w:val="99"/>
    <w:unhideWhenUsed/>
    <w:rsid w:val="0035779E"/>
    <w:rPr>
      <w:b/>
      <w:bCs/>
    </w:rPr>
  </w:style>
  <w:style w:type="table" w:styleId="aa">
    <w:name w:val="Table Grid"/>
    <w:basedOn w:val="a1"/>
    <w:uiPriority w:val="59"/>
    <w:rsid w:val="00357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unhideWhenUsed/>
    <w:rsid w:val="0035779E"/>
    <w:rPr>
      <w:sz w:val="21"/>
      <w:szCs w:val="21"/>
    </w:rPr>
  </w:style>
  <w:style w:type="character" w:customStyle="1" w:styleId="Char2">
    <w:name w:val="页眉 Char"/>
    <w:link w:val="a6"/>
    <w:uiPriority w:val="99"/>
    <w:rsid w:val="0035779E"/>
    <w:rPr>
      <w:sz w:val="18"/>
      <w:szCs w:val="18"/>
    </w:rPr>
  </w:style>
  <w:style w:type="character" w:customStyle="1" w:styleId="Char1">
    <w:name w:val="页脚 Char"/>
    <w:link w:val="a5"/>
    <w:uiPriority w:val="99"/>
    <w:rsid w:val="0035779E"/>
    <w:rPr>
      <w:sz w:val="18"/>
      <w:szCs w:val="18"/>
    </w:rPr>
  </w:style>
  <w:style w:type="character" w:customStyle="1" w:styleId="Char0">
    <w:name w:val="批注框文本 Char"/>
    <w:link w:val="a4"/>
    <w:uiPriority w:val="99"/>
    <w:semiHidden/>
    <w:rsid w:val="0035779E"/>
    <w:rPr>
      <w:sz w:val="18"/>
      <w:szCs w:val="18"/>
    </w:rPr>
  </w:style>
  <w:style w:type="character" w:customStyle="1" w:styleId="Char10">
    <w:name w:val="标题 Char1"/>
    <w:uiPriority w:val="10"/>
    <w:rsid w:val="0035779E"/>
    <w:rPr>
      <w:rFonts w:ascii="Calibri Light" w:hAnsi="Calibri Light" w:cs="Times New Roman"/>
      <w:b/>
      <w:bCs/>
      <w:kern w:val="2"/>
      <w:sz w:val="32"/>
      <w:szCs w:val="32"/>
    </w:rPr>
  </w:style>
  <w:style w:type="character" w:customStyle="1" w:styleId="Char">
    <w:name w:val="批注文字 Char"/>
    <w:link w:val="a3"/>
    <w:uiPriority w:val="99"/>
    <w:semiHidden/>
    <w:rsid w:val="0035779E"/>
    <w:rPr>
      <w:kern w:val="2"/>
      <w:sz w:val="21"/>
      <w:szCs w:val="22"/>
    </w:rPr>
  </w:style>
  <w:style w:type="character" w:customStyle="1" w:styleId="Char4">
    <w:name w:val="批注主题 Char"/>
    <w:link w:val="a9"/>
    <w:uiPriority w:val="99"/>
    <w:semiHidden/>
    <w:rsid w:val="0035779E"/>
    <w:rPr>
      <w:b/>
      <w:bCs/>
      <w:kern w:val="2"/>
      <w:sz w:val="21"/>
      <w:szCs w:val="22"/>
    </w:rPr>
  </w:style>
  <w:style w:type="character" w:customStyle="1" w:styleId="Char3">
    <w:name w:val="标题 Char"/>
    <w:link w:val="a8"/>
    <w:qFormat/>
    <w:rsid w:val="0035779E"/>
    <w:rPr>
      <w:rFonts w:ascii="Cambria" w:hAnsi="Cambria"/>
      <w:b/>
      <w:kern w:val="2"/>
      <w:sz w:val="32"/>
    </w:rPr>
  </w:style>
  <w:style w:type="paragraph" w:customStyle="1" w:styleId="Default">
    <w:name w:val="Default"/>
    <w:qFormat/>
    <w:rsid w:val="0035779E"/>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1340</Characters>
  <Application>Microsoft Office Word</Application>
  <DocSecurity>4</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ZHONGM</cp:lastModifiedBy>
  <cp:revision>2</cp:revision>
  <cp:lastPrinted>2017-06-29T08:27:00Z</cp:lastPrinted>
  <dcterms:created xsi:type="dcterms:W3CDTF">2024-11-14T16:01:00Z</dcterms:created>
  <dcterms:modified xsi:type="dcterms:W3CDTF">2024-11-14T16:01:00Z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0B0C2CDCBE1347349C002C887AA1878C_13</vt:lpwstr>
  </property>
</Properties>
</file>