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648C" w:rsidRDefault="0032648C">
      <w:pPr>
        <w:spacing w:line="620" w:lineRule="exact"/>
        <w:rPr>
          <w:rFonts w:eastAsia="华文中宋"/>
          <w:b/>
          <w:bCs/>
          <w:sz w:val="44"/>
        </w:rPr>
      </w:pPr>
      <w:bookmarkStart w:id="0" w:name="TSendTo"/>
      <w:bookmarkEnd w:id="0"/>
    </w:p>
    <w:p w:rsidR="0032648C" w:rsidRDefault="00F16D6C">
      <w:pPr>
        <w:autoSpaceDE w:val="0"/>
        <w:autoSpaceDN w:val="0"/>
        <w:adjustRightInd w:val="0"/>
        <w:spacing w:before="29" w:line="600" w:lineRule="exact"/>
        <w:ind w:left="17"/>
        <w:jc w:val="center"/>
        <w:rPr>
          <w:rFonts w:ascii="华文中宋" w:eastAsia="华文中宋" w:hAnsi="华文中宋" w:cs="宋体"/>
          <w:b/>
          <w:bCs/>
          <w:color w:val="000000"/>
          <w:kern w:val="0"/>
          <w:sz w:val="44"/>
          <w:szCs w:val="44"/>
        </w:rPr>
      </w:pPr>
      <w:r>
        <w:rPr>
          <w:rFonts w:ascii="华文中宋" w:eastAsia="华文中宋" w:hAnsi="华文中宋" w:cs="宋体" w:hint="eastAsia"/>
          <w:b/>
          <w:bCs/>
          <w:color w:val="000000"/>
          <w:kern w:val="0"/>
          <w:sz w:val="44"/>
          <w:szCs w:val="44"/>
        </w:rPr>
        <w:t>中加专精特新量化选股混合型发起式证券投资基金基金合同生效公告</w:t>
      </w:r>
      <w:bookmarkStart w:id="1" w:name="_GoBack"/>
      <w:bookmarkEnd w:id="1"/>
    </w:p>
    <w:p w:rsidR="0032648C" w:rsidRDefault="0032648C">
      <w:pPr>
        <w:autoSpaceDE w:val="0"/>
        <w:autoSpaceDN w:val="0"/>
        <w:adjustRightInd w:val="0"/>
        <w:spacing w:before="29" w:line="288" w:lineRule="auto"/>
        <w:ind w:left="15"/>
        <w:jc w:val="center"/>
        <w:rPr>
          <w:rFonts w:ascii="华文中宋" w:eastAsia="华文中宋" w:hAnsi="华文中宋" w:cs="宋体"/>
          <w:color w:val="000000"/>
          <w:kern w:val="0"/>
          <w:sz w:val="32"/>
          <w:szCs w:val="32"/>
        </w:rPr>
      </w:pPr>
    </w:p>
    <w:p w:rsidR="0032648C" w:rsidRDefault="00F16D6C">
      <w:pPr>
        <w:autoSpaceDE w:val="0"/>
        <w:autoSpaceDN w:val="0"/>
        <w:adjustRightInd w:val="0"/>
        <w:spacing w:before="29" w:line="288" w:lineRule="auto"/>
        <w:ind w:left="15"/>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公告送出日期：</w:t>
      </w:r>
      <w:r>
        <w:rPr>
          <w:rFonts w:ascii="华文中宋" w:eastAsia="华文中宋" w:hAnsi="华文中宋" w:cs="宋体" w:hint="eastAsia"/>
          <w:color w:val="000000"/>
          <w:kern w:val="0"/>
          <w:sz w:val="32"/>
          <w:szCs w:val="32"/>
        </w:rPr>
        <w:t>20</w:t>
      </w:r>
      <w:r>
        <w:rPr>
          <w:rFonts w:ascii="华文中宋" w:eastAsia="华文中宋" w:hAnsi="华文中宋" w:cs="宋体" w:hint="eastAsia"/>
          <w:color w:val="000000"/>
          <w:kern w:val="0"/>
          <w:sz w:val="32"/>
          <w:szCs w:val="32"/>
        </w:rPr>
        <w:t>24</w:t>
      </w:r>
      <w:r>
        <w:rPr>
          <w:rFonts w:ascii="华文中宋" w:eastAsia="华文中宋" w:hAnsi="华文中宋" w:cs="宋体" w:hint="eastAsia"/>
          <w:color w:val="000000"/>
          <w:kern w:val="0"/>
          <w:sz w:val="32"/>
          <w:szCs w:val="32"/>
        </w:rPr>
        <w:t>年</w:t>
      </w:r>
      <w:r>
        <w:rPr>
          <w:rFonts w:ascii="华文中宋" w:eastAsia="华文中宋" w:hAnsi="华文中宋" w:cs="宋体" w:hint="eastAsia"/>
          <w:color w:val="000000"/>
          <w:kern w:val="0"/>
          <w:sz w:val="32"/>
          <w:szCs w:val="32"/>
        </w:rPr>
        <w:t>11</w:t>
      </w:r>
      <w:r>
        <w:rPr>
          <w:rFonts w:ascii="华文中宋" w:eastAsia="华文中宋" w:hAnsi="华文中宋" w:cs="宋体" w:hint="eastAsia"/>
          <w:color w:val="000000"/>
          <w:kern w:val="0"/>
          <w:sz w:val="32"/>
          <w:szCs w:val="32"/>
        </w:rPr>
        <w:t>月</w:t>
      </w:r>
      <w:r>
        <w:rPr>
          <w:rFonts w:ascii="华文中宋" w:eastAsia="华文中宋" w:hAnsi="华文中宋" w:cs="宋体" w:hint="eastAsia"/>
          <w:color w:val="000000"/>
          <w:kern w:val="0"/>
          <w:sz w:val="32"/>
          <w:szCs w:val="32"/>
        </w:rPr>
        <w:t>13</w:t>
      </w:r>
      <w:r>
        <w:rPr>
          <w:rFonts w:ascii="华文中宋" w:eastAsia="华文中宋" w:hAnsi="华文中宋" w:cs="宋体" w:hint="eastAsia"/>
          <w:color w:val="000000"/>
          <w:kern w:val="0"/>
          <w:sz w:val="32"/>
          <w:szCs w:val="32"/>
        </w:rPr>
        <w:t>日</w:t>
      </w:r>
    </w:p>
    <w:p w:rsidR="0032648C" w:rsidRDefault="0032648C">
      <w:pPr>
        <w:autoSpaceDE w:val="0"/>
        <w:autoSpaceDN w:val="0"/>
        <w:adjustRightInd w:val="0"/>
        <w:spacing w:line="288" w:lineRule="auto"/>
        <w:jc w:val="center"/>
        <w:rPr>
          <w:rFonts w:ascii="宋体" w:eastAsia="宋体" w:cs="宋体"/>
          <w:color w:val="000000"/>
          <w:kern w:val="0"/>
          <w:sz w:val="24"/>
          <w:szCs w:val="24"/>
        </w:rPr>
      </w:pPr>
    </w:p>
    <w:p w:rsidR="0032648C" w:rsidRDefault="00F16D6C">
      <w:pPr>
        <w:autoSpaceDE w:val="0"/>
        <w:autoSpaceDN w:val="0"/>
        <w:adjustRightInd w:val="0"/>
        <w:spacing w:before="29" w:line="288" w:lineRule="auto"/>
        <w:ind w:leftChars="7" w:left="15" w:firstLineChars="200" w:firstLine="640"/>
        <w:jc w:val="left"/>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一、公告基本信息</w:t>
      </w:r>
    </w:p>
    <w:tbl>
      <w:tblPr>
        <w:tblW w:w="9752" w:type="dxa"/>
        <w:tblInd w:w="108" w:type="dxa"/>
        <w:tblLayout w:type="fixed"/>
        <w:tblLook w:val="04A0"/>
      </w:tblPr>
      <w:tblGrid>
        <w:gridCol w:w="3544"/>
        <w:gridCol w:w="3103"/>
        <w:gridCol w:w="3105"/>
      </w:tblGrid>
      <w:tr w:rsidR="0032648C">
        <w:tc>
          <w:tcPr>
            <w:tcW w:w="3544" w:type="dxa"/>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基金名称</w:t>
            </w:r>
          </w:p>
        </w:tc>
        <w:tc>
          <w:tcPr>
            <w:tcW w:w="6208" w:type="dxa"/>
            <w:gridSpan w:val="2"/>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中加专精特新量化选股混合型发起式证券投资基金</w:t>
            </w:r>
          </w:p>
        </w:tc>
      </w:tr>
      <w:tr w:rsidR="0032648C">
        <w:tc>
          <w:tcPr>
            <w:tcW w:w="3544" w:type="dxa"/>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基金简称</w:t>
            </w:r>
          </w:p>
        </w:tc>
        <w:tc>
          <w:tcPr>
            <w:tcW w:w="6208" w:type="dxa"/>
            <w:gridSpan w:val="2"/>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中加专精特新量化选股混合发起式</w:t>
            </w:r>
          </w:p>
        </w:tc>
      </w:tr>
      <w:tr w:rsidR="0032648C">
        <w:tc>
          <w:tcPr>
            <w:tcW w:w="3544" w:type="dxa"/>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基金主代码</w:t>
            </w:r>
          </w:p>
        </w:tc>
        <w:tc>
          <w:tcPr>
            <w:tcW w:w="6208" w:type="dxa"/>
            <w:gridSpan w:val="2"/>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021990</w:t>
            </w:r>
          </w:p>
        </w:tc>
      </w:tr>
      <w:tr w:rsidR="0032648C">
        <w:tc>
          <w:tcPr>
            <w:tcW w:w="3544" w:type="dxa"/>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基金运作方式</w:t>
            </w:r>
          </w:p>
        </w:tc>
        <w:tc>
          <w:tcPr>
            <w:tcW w:w="6208" w:type="dxa"/>
            <w:gridSpan w:val="2"/>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契约型开放式</w:t>
            </w:r>
          </w:p>
        </w:tc>
      </w:tr>
      <w:tr w:rsidR="0032648C">
        <w:tc>
          <w:tcPr>
            <w:tcW w:w="3544" w:type="dxa"/>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基金合同生效日</w:t>
            </w:r>
          </w:p>
        </w:tc>
        <w:tc>
          <w:tcPr>
            <w:tcW w:w="6208" w:type="dxa"/>
            <w:gridSpan w:val="2"/>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2024</w:t>
            </w:r>
            <w:r>
              <w:rPr>
                <w:rFonts w:ascii="仿宋" w:eastAsia="仿宋" w:hAnsi="仿宋" w:cs="宋体" w:hint="eastAsia"/>
                <w:color w:val="000000"/>
                <w:kern w:val="0"/>
                <w:sz w:val="24"/>
                <w:szCs w:val="24"/>
              </w:rPr>
              <w:t>年</w:t>
            </w:r>
            <w:r>
              <w:rPr>
                <w:rFonts w:ascii="仿宋" w:eastAsia="仿宋" w:hAnsi="仿宋" w:cs="宋体" w:hint="eastAsia"/>
                <w:color w:val="000000"/>
                <w:kern w:val="0"/>
                <w:sz w:val="24"/>
                <w:szCs w:val="24"/>
              </w:rPr>
              <w:t>11</w:t>
            </w:r>
            <w:r>
              <w:rPr>
                <w:rFonts w:ascii="仿宋" w:eastAsia="仿宋" w:hAnsi="仿宋" w:cs="宋体" w:hint="eastAsia"/>
                <w:color w:val="000000"/>
                <w:kern w:val="0"/>
                <w:sz w:val="24"/>
                <w:szCs w:val="24"/>
              </w:rPr>
              <w:t>月</w:t>
            </w:r>
            <w:r>
              <w:rPr>
                <w:rFonts w:ascii="仿宋" w:eastAsia="仿宋" w:hAnsi="仿宋" w:cs="宋体" w:hint="eastAsia"/>
                <w:color w:val="000000"/>
                <w:kern w:val="0"/>
                <w:sz w:val="24"/>
                <w:szCs w:val="24"/>
              </w:rPr>
              <w:t>12</w:t>
            </w:r>
            <w:r>
              <w:rPr>
                <w:rFonts w:ascii="仿宋" w:eastAsia="仿宋" w:hAnsi="仿宋" w:cs="宋体" w:hint="eastAsia"/>
                <w:color w:val="000000"/>
                <w:kern w:val="0"/>
                <w:sz w:val="24"/>
                <w:szCs w:val="24"/>
              </w:rPr>
              <w:t>日</w:t>
            </w:r>
          </w:p>
        </w:tc>
      </w:tr>
      <w:tr w:rsidR="0032648C">
        <w:tc>
          <w:tcPr>
            <w:tcW w:w="3544" w:type="dxa"/>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基金管理人名称</w:t>
            </w:r>
          </w:p>
        </w:tc>
        <w:tc>
          <w:tcPr>
            <w:tcW w:w="6208" w:type="dxa"/>
            <w:gridSpan w:val="2"/>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中加基金管理有限公司</w:t>
            </w:r>
          </w:p>
        </w:tc>
      </w:tr>
      <w:tr w:rsidR="0032648C">
        <w:tc>
          <w:tcPr>
            <w:tcW w:w="3544" w:type="dxa"/>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基金托管人名称</w:t>
            </w:r>
          </w:p>
        </w:tc>
        <w:tc>
          <w:tcPr>
            <w:tcW w:w="6208" w:type="dxa"/>
            <w:gridSpan w:val="2"/>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招商证券股份有限公司</w:t>
            </w:r>
          </w:p>
        </w:tc>
      </w:tr>
      <w:tr w:rsidR="0032648C">
        <w:trPr>
          <w:trHeight w:val="2157"/>
        </w:trPr>
        <w:tc>
          <w:tcPr>
            <w:tcW w:w="3544" w:type="dxa"/>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公告依据</w:t>
            </w:r>
          </w:p>
        </w:tc>
        <w:tc>
          <w:tcPr>
            <w:tcW w:w="6208" w:type="dxa"/>
            <w:gridSpan w:val="2"/>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中华人民共和国证券投资基金法》、《公开募集证券投资基金信息披露管理办法》、《公开募集证券投资基金运作管理办法》等法律法规以及《中加专精特新量化选股混合型发起式证券投资基金基金合同》、《中加专精特新量化选股混合型发起式证券投资基金招募说明书》</w:t>
            </w:r>
          </w:p>
        </w:tc>
      </w:tr>
      <w:tr w:rsidR="0032648C">
        <w:trPr>
          <w:trHeight w:val="482"/>
        </w:trPr>
        <w:tc>
          <w:tcPr>
            <w:tcW w:w="3544" w:type="dxa"/>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下属基金份额类别的基金简称</w:t>
            </w:r>
          </w:p>
        </w:tc>
        <w:tc>
          <w:tcPr>
            <w:tcW w:w="3103" w:type="dxa"/>
            <w:tcBorders>
              <w:top w:val="single" w:sz="8" w:space="0" w:color="000000"/>
              <w:left w:val="single" w:sz="8" w:space="0" w:color="000000"/>
              <w:bottom w:val="single" w:sz="8" w:space="0" w:color="000000"/>
              <w:right w:val="single" w:sz="4" w:space="0" w:color="auto"/>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中加专精特新量化选股混合发起式</w:t>
            </w:r>
            <w:r>
              <w:rPr>
                <w:rFonts w:ascii="仿宋" w:eastAsia="仿宋" w:hAnsi="仿宋" w:cs="宋体" w:hint="eastAsia"/>
                <w:color w:val="000000"/>
                <w:kern w:val="0"/>
                <w:sz w:val="24"/>
                <w:szCs w:val="24"/>
              </w:rPr>
              <w:t>A</w:t>
            </w:r>
          </w:p>
        </w:tc>
        <w:tc>
          <w:tcPr>
            <w:tcW w:w="3105" w:type="dxa"/>
            <w:tcBorders>
              <w:top w:val="single" w:sz="8" w:space="0" w:color="000000"/>
              <w:left w:val="single" w:sz="4" w:space="0" w:color="auto"/>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中加专精特新量化选股混合发起式</w:t>
            </w:r>
            <w:r>
              <w:rPr>
                <w:rFonts w:ascii="仿宋" w:eastAsia="仿宋" w:hAnsi="仿宋" w:cs="宋体" w:hint="eastAsia"/>
                <w:color w:val="000000"/>
                <w:kern w:val="0"/>
                <w:sz w:val="24"/>
                <w:szCs w:val="24"/>
              </w:rPr>
              <w:t>C</w:t>
            </w:r>
          </w:p>
        </w:tc>
      </w:tr>
      <w:tr w:rsidR="0032648C">
        <w:trPr>
          <w:trHeight w:val="548"/>
        </w:trPr>
        <w:tc>
          <w:tcPr>
            <w:tcW w:w="3544" w:type="dxa"/>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下属基金份额类别的交易代码</w:t>
            </w:r>
          </w:p>
        </w:tc>
        <w:tc>
          <w:tcPr>
            <w:tcW w:w="3103" w:type="dxa"/>
            <w:tcBorders>
              <w:top w:val="single" w:sz="8" w:space="0" w:color="000000"/>
              <w:left w:val="single" w:sz="8" w:space="0" w:color="000000"/>
              <w:bottom w:val="single" w:sz="8" w:space="0" w:color="000000"/>
              <w:right w:val="single" w:sz="4" w:space="0" w:color="auto"/>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021990</w:t>
            </w:r>
          </w:p>
        </w:tc>
        <w:tc>
          <w:tcPr>
            <w:tcW w:w="3105" w:type="dxa"/>
            <w:tcBorders>
              <w:top w:val="single" w:sz="8" w:space="0" w:color="000000"/>
              <w:left w:val="single" w:sz="4" w:space="0" w:color="auto"/>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02199</w:t>
            </w:r>
            <w:r>
              <w:rPr>
                <w:rFonts w:ascii="仿宋" w:eastAsia="仿宋" w:hAnsi="仿宋" w:cs="宋体" w:hint="eastAsia"/>
                <w:color w:val="000000"/>
                <w:kern w:val="0"/>
                <w:sz w:val="24"/>
                <w:szCs w:val="24"/>
              </w:rPr>
              <w:t>1</w:t>
            </w:r>
          </w:p>
        </w:tc>
      </w:tr>
    </w:tbl>
    <w:p w:rsidR="0032648C" w:rsidRDefault="0032648C">
      <w:pPr>
        <w:autoSpaceDE w:val="0"/>
        <w:autoSpaceDN w:val="0"/>
        <w:adjustRightInd w:val="0"/>
        <w:spacing w:line="288" w:lineRule="auto"/>
        <w:jc w:val="left"/>
        <w:rPr>
          <w:rFonts w:ascii="黑体" w:eastAsia="黑体" w:hAnsi="黑体" w:cs="宋体"/>
          <w:bCs/>
          <w:color w:val="000000"/>
          <w:kern w:val="0"/>
          <w:sz w:val="32"/>
          <w:szCs w:val="32"/>
        </w:rPr>
      </w:pPr>
    </w:p>
    <w:p w:rsidR="0032648C" w:rsidRDefault="00F16D6C">
      <w:pPr>
        <w:autoSpaceDE w:val="0"/>
        <w:autoSpaceDN w:val="0"/>
        <w:adjustRightInd w:val="0"/>
        <w:spacing w:before="29" w:line="288" w:lineRule="auto"/>
        <w:ind w:leftChars="7" w:left="15" w:firstLineChars="200" w:firstLine="640"/>
        <w:jc w:val="left"/>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二、基金募集情况</w:t>
      </w:r>
    </w:p>
    <w:tbl>
      <w:tblPr>
        <w:tblW w:w="9752" w:type="dxa"/>
        <w:tblInd w:w="108" w:type="dxa"/>
        <w:tblLayout w:type="fixed"/>
        <w:tblLook w:val="04A0"/>
      </w:tblPr>
      <w:tblGrid>
        <w:gridCol w:w="1843"/>
        <w:gridCol w:w="1701"/>
        <w:gridCol w:w="2126"/>
        <w:gridCol w:w="1843"/>
        <w:gridCol w:w="2239"/>
      </w:tblGrid>
      <w:tr w:rsidR="0032648C">
        <w:tc>
          <w:tcPr>
            <w:tcW w:w="3544" w:type="dxa"/>
            <w:gridSpan w:val="2"/>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olor w:val="000000"/>
                <w:sz w:val="24"/>
                <w:szCs w:val="24"/>
              </w:rPr>
            </w:pPr>
            <w:r>
              <w:rPr>
                <w:rFonts w:ascii="仿宋" w:eastAsia="仿宋" w:hAnsi="仿宋" w:hint="eastAsia"/>
                <w:color w:val="000000"/>
                <w:sz w:val="24"/>
                <w:szCs w:val="24"/>
              </w:rPr>
              <w:t>基金募集申请获中国证监会核</w:t>
            </w:r>
            <w:r>
              <w:rPr>
                <w:rFonts w:ascii="仿宋" w:eastAsia="仿宋" w:hAnsi="仿宋" w:hint="eastAsia"/>
                <w:color w:val="000000"/>
                <w:sz w:val="24"/>
                <w:szCs w:val="24"/>
              </w:rPr>
              <w:lastRenderedPageBreak/>
              <w:t>准的文号</w:t>
            </w:r>
          </w:p>
        </w:tc>
        <w:tc>
          <w:tcPr>
            <w:tcW w:w="6208" w:type="dxa"/>
            <w:gridSpan w:val="3"/>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证监许可</w:t>
            </w:r>
            <w:r>
              <w:rPr>
                <w:rFonts w:ascii="仿宋" w:eastAsia="仿宋" w:hAnsi="仿宋" w:cs="宋体" w:hint="eastAsia"/>
                <w:color w:val="000000"/>
                <w:kern w:val="0"/>
                <w:sz w:val="24"/>
                <w:szCs w:val="24"/>
              </w:rPr>
              <w:t>[202</w:t>
            </w:r>
            <w:r>
              <w:rPr>
                <w:rFonts w:ascii="仿宋" w:eastAsia="仿宋" w:hAnsi="仿宋" w:cs="宋体" w:hint="eastAsia"/>
                <w:color w:val="000000"/>
                <w:kern w:val="0"/>
                <w:sz w:val="24"/>
                <w:szCs w:val="24"/>
              </w:rPr>
              <w:t>4</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1103</w:t>
            </w:r>
            <w:r>
              <w:rPr>
                <w:rFonts w:ascii="仿宋" w:eastAsia="仿宋" w:hAnsi="仿宋" w:cs="宋体" w:hint="eastAsia"/>
                <w:color w:val="000000"/>
                <w:kern w:val="0"/>
                <w:sz w:val="24"/>
                <w:szCs w:val="24"/>
              </w:rPr>
              <w:t>号</w:t>
            </w:r>
          </w:p>
        </w:tc>
      </w:tr>
      <w:tr w:rsidR="0032648C">
        <w:tc>
          <w:tcPr>
            <w:tcW w:w="3544" w:type="dxa"/>
            <w:gridSpan w:val="2"/>
            <w:tcBorders>
              <w:top w:val="single" w:sz="8" w:space="0" w:color="000000"/>
              <w:left w:val="single" w:sz="8" w:space="0" w:color="000000"/>
              <w:bottom w:val="single" w:sz="8" w:space="0" w:color="000000"/>
              <w:right w:val="single" w:sz="8" w:space="0" w:color="000000"/>
            </w:tcBorders>
            <w:vAlign w:val="center"/>
          </w:tcPr>
          <w:p w:rsidR="0032648C" w:rsidRDefault="00F16D6C">
            <w:pPr>
              <w:spacing w:line="530" w:lineRule="exact"/>
              <w:rPr>
                <w:rFonts w:ascii="仿宋" w:eastAsia="仿宋" w:hAnsi="仿宋"/>
                <w:color w:val="000000"/>
                <w:sz w:val="24"/>
                <w:szCs w:val="24"/>
              </w:rPr>
            </w:pPr>
            <w:r>
              <w:rPr>
                <w:rFonts w:ascii="仿宋" w:eastAsia="仿宋" w:hAnsi="仿宋" w:hint="eastAsia"/>
                <w:color w:val="000000"/>
                <w:sz w:val="24"/>
                <w:szCs w:val="24"/>
              </w:rPr>
              <w:lastRenderedPageBreak/>
              <w:t>基金募集期间</w:t>
            </w:r>
          </w:p>
        </w:tc>
        <w:tc>
          <w:tcPr>
            <w:tcW w:w="6208" w:type="dxa"/>
            <w:gridSpan w:val="3"/>
            <w:tcBorders>
              <w:top w:val="single" w:sz="8" w:space="0" w:color="000000"/>
              <w:left w:val="single" w:sz="8" w:space="0" w:color="000000"/>
              <w:bottom w:val="single" w:sz="8" w:space="0" w:color="000000"/>
              <w:right w:val="single" w:sz="8" w:space="0" w:color="000000"/>
            </w:tcBorders>
            <w:vAlign w:val="center"/>
          </w:tcPr>
          <w:p w:rsidR="0032648C" w:rsidRDefault="00F16D6C">
            <w:pPr>
              <w:spacing w:line="530" w:lineRule="exact"/>
              <w:rPr>
                <w:rFonts w:ascii="仿宋" w:eastAsia="仿宋" w:hAnsi="仿宋"/>
                <w:color w:val="000000"/>
                <w:sz w:val="24"/>
                <w:szCs w:val="24"/>
              </w:rPr>
            </w:pPr>
            <w:r>
              <w:rPr>
                <w:rFonts w:ascii="仿宋" w:eastAsia="仿宋" w:hAnsi="仿宋" w:hint="eastAsia"/>
                <w:color w:val="000000"/>
                <w:sz w:val="24"/>
                <w:szCs w:val="24"/>
              </w:rPr>
              <w:t>自</w:t>
            </w:r>
            <w:r>
              <w:rPr>
                <w:rFonts w:ascii="仿宋" w:eastAsia="仿宋" w:hAnsi="仿宋" w:hint="eastAsia"/>
                <w:color w:val="000000"/>
                <w:sz w:val="24"/>
                <w:szCs w:val="24"/>
              </w:rPr>
              <w:t>202</w:t>
            </w:r>
            <w:r>
              <w:rPr>
                <w:rFonts w:ascii="仿宋" w:eastAsia="仿宋" w:hAnsi="仿宋" w:hint="eastAsia"/>
                <w:color w:val="000000"/>
                <w:sz w:val="24"/>
                <w:szCs w:val="24"/>
              </w:rPr>
              <w:t>4</w:t>
            </w:r>
            <w:r>
              <w:rPr>
                <w:rFonts w:ascii="仿宋" w:eastAsia="仿宋" w:hAnsi="仿宋" w:hint="eastAsia"/>
                <w:color w:val="000000"/>
                <w:sz w:val="24"/>
                <w:szCs w:val="24"/>
              </w:rPr>
              <w:t>年</w:t>
            </w:r>
            <w:r>
              <w:rPr>
                <w:rFonts w:ascii="仿宋" w:eastAsia="仿宋" w:hAnsi="仿宋" w:hint="eastAsia"/>
                <w:color w:val="000000"/>
                <w:sz w:val="24"/>
                <w:szCs w:val="24"/>
              </w:rPr>
              <w:t>10</w:t>
            </w:r>
            <w:r>
              <w:rPr>
                <w:rFonts w:ascii="仿宋" w:eastAsia="仿宋" w:hAnsi="仿宋" w:hint="eastAsia"/>
                <w:color w:val="000000"/>
                <w:sz w:val="24"/>
                <w:szCs w:val="24"/>
              </w:rPr>
              <w:t>月</w:t>
            </w:r>
            <w:r>
              <w:rPr>
                <w:rFonts w:ascii="仿宋" w:eastAsia="仿宋" w:hAnsi="仿宋" w:hint="eastAsia"/>
                <w:color w:val="000000"/>
                <w:sz w:val="24"/>
                <w:szCs w:val="24"/>
              </w:rPr>
              <w:t>28</w:t>
            </w:r>
            <w:r>
              <w:rPr>
                <w:rFonts w:ascii="仿宋" w:eastAsia="仿宋" w:hAnsi="仿宋" w:hint="eastAsia"/>
                <w:color w:val="000000"/>
                <w:sz w:val="24"/>
                <w:szCs w:val="24"/>
              </w:rPr>
              <w:t>日至</w:t>
            </w:r>
            <w:r>
              <w:rPr>
                <w:rFonts w:ascii="仿宋" w:eastAsia="仿宋" w:hAnsi="仿宋" w:hint="eastAsia"/>
                <w:color w:val="000000"/>
                <w:sz w:val="24"/>
                <w:szCs w:val="24"/>
              </w:rPr>
              <w:t>202</w:t>
            </w:r>
            <w:r>
              <w:rPr>
                <w:rFonts w:ascii="仿宋" w:eastAsia="仿宋" w:hAnsi="仿宋" w:hint="eastAsia"/>
                <w:color w:val="000000"/>
                <w:sz w:val="24"/>
                <w:szCs w:val="24"/>
              </w:rPr>
              <w:t>4</w:t>
            </w:r>
            <w:r>
              <w:rPr>
                <w:rFonts w:ascii="仿宋" w:eastAsia="仿宋" w:hAnsi="仿宋" w:hint="eastAsia"/>
                <w:color w:val="000000"/>
                <w:sz w:val="24"/>
                <w:szCs w:val="24"/>
              </w:rPr>
              <w:t>年</w:t>
            </w:r>
            <w:r>
              <w:rPr>
                <w:rFonts w:ascii="仿宋" w:eastAsia="仿宋" w:hAnsi="仿宋" w:hint="eastAsia"/>
                <w:color w:val="000000"/>
                <w:sz w:val="24"/>
                <w:szCs w:val="24"/>
              </w:rPr>
              <w:t>11</w:t>
            </w:r>
            <w:r>
              <w:rPr>
                <w:rFonts w:ascii="仿宋" w:eastAsia="仿宋" w:hAnsi="仿宋" w:hint="eastAsia"/>
                <w:color w:val="000000"/>
                <w:sz w:val="24"/>
                <w:szCs w:val="24"/>
              </w:rPr>
              <w:t>月</w:t>
            </w:r>
            <w:r>
              <w:rPr>
                <w:rFonts w:ascii="仿宋" w:eastAsia="仿宋" w:hAnsi="仿宋" w:hint="eastAsia"/>
                <w:color w:val="000000"/>
                <w:sz w:val="24"/>
                <w:szCs w:val="24"/>
              </w:rPr>
              <w:t>8</w:t>
            </w:r>
            <w:r>
              <w:rPr>
                <w:rFonts w:ascii="仿宋" w:eastAsia="仿宋" w:hAnsi="仿宋" w:hint="eastAsia"/>
                <w:color w:val="000000"/>
                <w:sz w:val="24"/>
                <w:szCs w:val="24"/>
              </w:rPr>
              <w:t>日止</w:t>
            </w:r>
          </w:p>
        </w:tc>
      </w:tr>
      <w:tr w:rsidR="0032648C">
        <w:tc>
          <w:tcPr>
            <w:tcW w:w="3544" w:type="dxa"/>
            <w:gridSpan w:val="2"/>
            <w:tcBorders>
              <w:top w:val="single" w:sz="8" w:space="0" w:color="000000"/>
              <w:left w:val="single" w:sz="8" w:space="0" w:color="000000"/>
              <w:bottom w:val="single" w:sz="8" w:space="0" w:color="000000"/>
              <w:right w:val="single" w:sz="8" w:space="0" w:color="000000"/>
            </w:tcBorders>
            <w:vAlign w:val="center"/>
          </w:tcPr>
          <w:p w:rsidR="0032648C" w:rsidRDefault="00F16D6C">
            <w:pPr>
              <w:spacing w:line="530" w:lineRule="exact"/>
              <w:rPr>
                <w:rFonts w:ascii="仿宋" w:eastAsia="仿宋" w:hAnsi="仿宋"/>
                <w:color w:val="000000"/>
                <w:sz w:val="24"/>
                <w:szCs w:val="24"/>
              </w:rPr>
            </w:pPr>
            <w:r>
              <w:rPr>
                <w:rFonts w:ascii="仿宋" w:eastAsia="仿宋" w:hAnsi="仿宋" w:hint="eastAsia"/>
                <w:color w:val="000000"/>
                <w:sz w:val="24"/>
                <w:szCs w:val="24"/>
              </w:rPr>
              <w:t>验资机构名称</w:t>
            </w:r>
          </w:p>
        </w:tc>
        <w:tc>
          <w:tcPr>
            <w:tcW w:w="6208" w:type="dxa"/>
            <w:gridSpan w:val="3"/>
            <w:tcBorders>
              <w:top w:val="single" w:sz="8" w:space="0" w:color="000000"/>
              <w:left w:val="single" w:sz="8" w:space="0" w:color="000000"/>
              <w:bottom w:val="single" w:sz="8" w:space="0" w:color="000000"/>
              <w:right w:val="single" w:sz="8" w:space="0" w:color="000000"/>
            </w:tcBorders>
            <w:vAlign w:val="center"/>
          </w:tcPr>
          <w:p w:rsidR="0032648C" w:rsidRDefault="00F16D6C">
            <w:pPr>
              <w:spacing w:line="530" w:lineRule="exact"/>
              <w:rPr>
                <w:rFonts w:ascii="仿宋" w:eastAsia="仿宋" w:hAnsi="仿宋"/>
                <w:color w:val="000000"/>
                <w:sz w:val="24"/>
                <w:szCs w:val="24"/>
              </w:rPr>
            </w:pPr>
            <w:r>
              <w:rPr>
                <w:rFonts w:ascii="仿宋" w:eastAsia="仿宋" w:hAnsi="仿宋" w:hint="eastAsia"/>
                <w:color w:val="000000"/>
                <w:sz w:val="24"/>
                <w:szCs w:val="24"/>
              </w:rPr>
              <w:t>毕马威华振会计师事务所（特殊普通合伙）</w:t>
            </w:r>
          </w:p>
        </w:tc>
      </w:tr>
      <w:tr w:rsidR="0032648C">
        <w:tc>
          <w:tcPr>
            <w:tcW w:w="3544" w:type="dxa"/>
            <w:gridSpan w:val="2"/>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募集资金划入基金托管专户的日期</w:t>
            </w:r>
          </w:p>
        </w:tc>
        <w:tc>
          <w:tcPr>
            <w:tcW w:w="6208" w:type="dxa"/>
            <w:gridSpan w:val="3"/>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color w:val="000000"/>
                <w:kern w:val="0"/>
                <w:sz w:val="24"/>
                <w:szCs w:val="24"/>
              </w:rPr>
              <w:t>202</w:t>
            </w:r>
            <w:r>
              <w:rPr>
                <w:rFonts w:ascii="仿宋" w:eastAsia="仿宋" w:hAnsi="仿宋" w:cs="宋体" w:hint="eastAsia"/>
                <w:color w:val="000000"/>
                <w:kern w:val="0"/>
                <w:sz w:val="24"/>
                <w:szCs w:val="24"/>
              </w:rPr>
              <w:t>4</w:t>
            </w:r>
            <w:r>
              <w:rPr>
                <w:rFonts w:ascii="仿宋" w:eastAsia="仿宋" w:hAnsi="仿宋" w:cs="宋体"/>
                <w:color w:val="000000"/>
                <w:kern w:val="0"/>
                <w:sz w:val="24"/>
                <w:szCs w:val="24"/>
              </w:rPr>
              <w:t>年</w:t>
            </w:r>
            <w:r>
              <w:rPr>
                <w:rFonts w:ascii="仿宋" w:eastAsia="仿宋" w:hAnsi="仿宋" w:cs="宋体" w:hint="eastAsia"/>
                <w:color w:val="000000"/>
                <w:kern w:val="0"/>
                <w:sz w:val="24"/>
                <w:szCs w:val="24"/>
              </w:rPr>
              <w:t>11</w:t>
            </w:r>
            <w:r>
              <w:rPr>
                <w:rFonts w:ascii="仿宋" w:eastAsia="仿宋" w:hAnsi="仿宋" w:cs="宋体" w:hint="eastAsia"/>
                <w:color w:val="000000"/>
                <w:kern w:val="0"/>
                <w:sz w:val="24"/>
                <w:szCs w:val="24"/>
              </w:rPr>
              <w:t>月</w:t>
            </w:r>
            <w:r>
              <w:rPr>
                <w:rFonts w:ascii="仿宋" w:eastAsia="仿宋" w:hAnsi="仿宋" w:cs="宋体" w:hint="eastAsia"/>
                <w:color w:val="000000"/>
                <w:kern w:val="0"/>
                <w:sz w:val="24"/>
                <w:szCs w:val="24"/>
              </w:rPr>
              <w:t>12</w:t>
            </w:r>
            <w:r>
              <w:rPr>
                <w:rFonts w:ascii="仿宋" w:eastAsia="仿宋" w:hAnsi="仿宋" w:cs="宋体" w:hint="eastAsia"/>
                <w:color w:val="000000"/>
                <w:kern w:val="0"/>
                <w:sz w:val="24"/>
                <w:szCs w:val="24"/>
              </w:rPr>
              <w:t>日</w:t>
            </w:r>
          </w:p>
        </w:tc>
      </w:tr>
      <w:tr w:rsidR="0032648C">
        <w:tc>
          <w:tcPr>
            <w:tcW w:w="3544" w:type="dxa"/>
            <w:gridSpan w:val="2"/>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募集有效认购总户数（单位：户）</w:t>
            </w:r>
          </w:p>
        </w:tc>
        <w:tc>
          <w:tcPr>
            <w:tcW w:w="6208" w:type="dxa"/>
            <w:gridSpan w:val="3"/>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147</w:t>
            </w:r>
          </w:p>
        </w:tc>
      </w:tr>
      <w:tr w:rsidR="0032648C">
        <w:tc>
          <w:tcPr>
            <w:tcW w:w="3544" w:type="dxa"/>
            <w:gridSpan w:val="2"/>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份额类别</w:t>
            </w:r>
          </w:p>
        </w:tc>
        <w:tc>
          <w:tcPr>
            <w:tcW w:w="2126" w:type="dxa"/>
            <w:tcBorders>
              <w:top w:val="single" w:sz="8" w:space="0" w:color="000000"/>
              <w:left w:val="single" w:sz="8" w:space="0" w:color="000000"/>
              <w:bottom w:val="single" w:sz="8" w:space="0" w:color="000000"/>
              <w:right w:val="single" w:sz="4" w:space="0" w:color="auto"/>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中加专精特新量化选股混合发起式</w:t>
            </w:r>
            <w:r>
              <w:rPr>
                <w:rFonts w:ascii="仿宋" w:eastAsia="仿宋" w:hAnsi="仿宋" w:cs="宋体" w:hint="eastAsia"/>
                <w:color w:val="000000"/>
                <w:kern w:val="0"/>
                <w:sz w:val="24"/>
                <w:szCs w:val="24"/>
              </w:rPr>
              <w:t>A</w:t>
            </w:r>
          </w:p>
        </w:tc>
        <w:tc>
          <w:tcPr>
            <w:tcW w:w="1843" w:type="dxa"/>
            <w:tcBorders>
              <w:top w:val="single" w:sz="8" w:space="0" w:color="000000"/>
              <w:left w:val="single" w:sz="4" w:space="0" w:color="auto"/>
              <w:bottom w:val="single" w:sz="8" w:space="0" w:color="000000"/>
              <w:right w:val="single" w:sz="4" w:space="0" w:color="auto"/>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中加专精特新量化选股混合发起式</w:t>
            </w:r>
            <w:r>
              <w:rPr>
                <w:rFonts w:ascii="仿宋" w:eastAsia="仿宋" w:hAnsi="仿宋" w:cs="宋体" w:hint="eastAsia"/>
                <w:color w:val="000000"/>
                <w:kern w:val="0"/>
                <w:sz w:val="24"/>
                <w:szCs w:val="24"/>
              </w:rPr>
              <w:t>C</w:t>
            </w:r>
          </w:p>
        </w:tc>
        <w:tc>
          <w:tcPr>
            <w:tcW w:w="2239" w:type="dxa"/>
            <w:tcBorders>
              <w:top w:val="single" w:sz="8" w:space="0" w:color="000000"/>
              <w:left w:val="single" w:sz="4" w:space="0" w:color="auto"/>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中加专精特新量化选股混合发起式合计</w:t>
            </w:r>
          </w:p>
        </w:tc>
      </w:tr>
      <w:tr w:rsidR="0032648C">
        <w:tc>
          <w:tcPr>
            <w:tcW w:w="3544" w:type="dxa"/>
            <w:gridSpan w:val="2"/>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募集期间净认购金额（单位：人民币元）</w:t>
            </w:r>
          </w:p>
        </w:tc>
        <w:tc>
          <w:tcPr>
            <w:tcW w:w="2126" w:type="dxa"/>
            <w:tcBorders>
              <w:top w:val="single" w:sz="8" w:space="0" w:color="000000"/>
              <w:left w:val="single" w:sz="8" w:space="0" w:color="000000"/>
              <w:bottom w:val="single" w:sz="8" w:space="0" w:color="000000"/>
              <w:right w:val="single" w:sz="4" w:space="0" w:color="auto"/>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19,939,806.40</w:t>
            </w:r>
          </w:p>
        </w:tc>
        <w:tc>
          <w:tcPr>
            <w:tcW w:w="1843" w:type="dxa"/>
            <w:tcBorders>
              <w:top w:val="single" w:sz="8" w:space="0" w:color="000000"/>
              <w:left w:val="single" w:sz="4" w:space="0" w:color="auto"/>
              <w:bottom w:val="single" w:sz="8" w:space="0" w:color="000000"/>
              <w:right w:val="single" w:sz="4" w:space="0" w:color="auto"/>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12,915,132.85</w:t>
            </w:r>
          </w:p>
        </w:tc>
        <w:tc>
          <w:tcPr>
            <w:tcW w:w="2239" w:type="dxa"/>
            <w:tcBorders>
              <w:top w:val="single" w:sz="8" w:space="0" w:color="000000"/>
              <w:left w:val="single" w:sz="4" w:space="0" w:color="auto"/>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32,854,939.25</w:t>
            </w:r>
          </w:p>
        </w:tc>
      </w:tr>
      <w:tr w:rsidR="0032648C">
        <w:tc>
          <w:tcPr>
            <w:tcW w:w="3544" w:type="dxa"/>
            <w:gridSpan w:val="2"/>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认购资金在募集期间产生的利息（单位：人民币元）</w:t>
            </w:r>
          </w:p>
        </w:tc>
        <w:tc>
          <w:tcPr>
            <w:tcW w:w="2126" w:type="dxa"/>
            <w:tcBorders>
              <w:top w:val="single" w:sz="8" w:space="0" w:color="000000"/>
              <w:left w:val="single" w:sz="8" w:space="0" w:color="000000"/>
              <w:bottom w:val="single" w:sz="8" w:space="0" w:color="000000"/>
              <w:right w:val="single" w:sz="4" w:space="0" w:color="auto"/>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2,011.17</w:t>
            </w:r>
          </w:p>
        </w:tc>
        <w:tc>
          <w:tcPr>
            <w:tcW w:w="1843" w:type="dxa"/>
            <w:tcBorders>
              <w:top w:val="single" w:sz="8" w:space="0" w:color="000000"/>
              <w:left w:val="single" w:sz="4" w:space="0" w:color="auto"/>
              <w:bottom w:val="single" w:sz="8" w:space="0" w:color="000000"/>
              <w:right w:val="single" w:sz="4" w:space="0" w:color="auto"/>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678.36</w:t>
            </w:r>
          </w:p>
        </w:tc>
        <w:tc>
          <w:tcPr>
            <w:tcW w:w="2239" w:type="dxa"/>
            <w:tcBorders>
              <w:top w:val="single" w:sz="8" w:space="0" w:color="000000"/>
              <w:left w:val="single" w:sz="4" w:space="0" w:color="auto"/>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2,689.53</w:t>
            </w:r>
          </w:p>
        </w:tc>
      </w:tr>
      <w:tr w:rsidR="0032648C">
        <w:tc>
          <w:tcPr>
            <w:tcW w:w="1843" w:type="dxa"/>
            <w:vMerge w:val="restart"/>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募集份额（单位：份）</w:t>
            </w:r>
          </w:p>
        </w:tc>
        <w:tc>
          <w:tcPr>
            <w:tcW w:w="1701" w:type="dxa"/>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有效认购份额</w:t>
            </w:r>
          </w:p>
        </w:tc>
        <w:tc>
          <w:tcPr>
            <w:tcW w:w="2126" w:type="dxa"/>
            <w:tcBorders>
              <w:top w:val="single" w:sz="8" w:space="0" w:color="000000"/>
              <w:left w:val="single" w:sz="8" w:space="0" w:color="000000"/>
              <w:bottom w:val="single" w:sz="8" w:space="0" w:color="000000"/>
              <w:right w:val="single" w:sz="4" w:space="0" w:color="auto"/>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19,939,806.40</w:t>
            </w:r>
          </w:p>
        </w:tc>
        <w:tc>
          <w:tcPr>
            <w:tcW w:w="1843" w:type="dxa"/>
            <w:tcBorders>
              <w:top w:val="single" w:sz="8" w:space="0" w:color="000000"/>
              <w:left w:val="single" w:sz="4" w:space="0" w:color="auto"/>
              <w:bottom w:val="single" w:sz="8" w:space="0" w:color="000000"/>
              <w:right w:val="single" w:sz="4" w:space="0" w:color="auto"/>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12,915,132.85</w:t>
            </w:r>
          </w:p>
        </w:tc>
        <w:tc>
          <w:tcPr>
            <w:tcW w:w="2239" w:type="dxa"/>
            <w:tcBorders>
              <w:top w:val="single" w:sz="8" w:space="0" w:color="000000"/>
              <w:left w:val="single" w:sz="4" w:space="0" w:color="auto"/>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32,854,939.25</w:t>
            </w:r>
          </w:p>
        </w:tc>
      </w:tr>
      <w:tr w:rsidR="0032648C">
        <w:tc>
          <w:tcPr>
            <w:tcW w:w="1843" w:type="dxa"/>
            <w:vMerge/>
            <w:tcBorders>
              <w:top w:val="single" w:sz="8" w:space="0" w:color="000000"/>
              <w:left w:val="single" w:sz="8" w:space="0" w:color="000000"/>
              <w:bottom w:val="single" w:sz="8" w:space="0" w:color="000000"/>
              <w:right w:val="single" w:sz="8" w:space="0" w:color="000000"/>
            </w:tcBorders>
          </w:tcPr>
          <w:p w:rsidR="0032648C" w:rsidRDefault="0032648C">
            <w:pPr>
              <w:autoSpaceDE w:val="0"/>
              <w:autoSpaceDN w:val="0"/>
              <w:adjustRightInd w:val="0"/>
              <w:spacing w:line="288" w:lineRule="auto"/>
              <w:jc w:val="left"/>
              <w:rPr>
                <w:rFonts w:ascii="仿宋" w:eastAsia="仿宋" w:hAnsi="仿宋"/>
                <w:kern w:val="0"/>
                <w:sz w:val="24"/>
                <w:szCs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利息结转的份额</w:t>
            </w:r>
          </w:p>
        </w:tc>
        <w:tc>
          <w:tcPr>
            <w:tcW w:w="2126" w:type="dxa"/>
            <w:tcBorders>
              <w:top w:val="single" w:sz="8" w:space="0" w:color="000000"/>
              <w:left w:val="single" w:sz="8" w:space="0" w:color="000000"/>
              <w:bottom w:val="single" w:sz="8" w:space="0" w:color="000000"/>
              <w:right w:val="single" w:sz="4" w:space="0" w:color="auto"/>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2,011.17</w:t>
            </w:r>
          </w:p>
        </w:tc>
        <w:tc>
          <w:tcPr>
            <w:tcW w:w="1843" w:type="dxa"/>
            <w:tcBorders>
              <w:top w:val="single" w:sz="8" w:space="0" w:color="000000"/>
              <w:left w:val="single" w:sz="4" w:space="0" w:color="auto"/>
              <w:bottom w:val="single" w:sz="8" w:space="0" w:color="000000"/>
              <w:right w:val="single" w:sz="4" w:space="0" w:color="auto"/>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678.36</w:t>
            </w:r>
          </w:p>
        </w:tc>
        <w:tc>
          <w:tcPr>
            <w:tcW w:w="2239" w:type="dxa"/>
            <w:tcBorders>
              <w:top w:val="single" w:sz="8" w:space="0" w:color="000000"/>
              <w:left w:val="single" w:sz="4" w:space="0" w:color="auto"/>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2,689.53</w:t>
            </w:r>
          </w:p>
        </w:tc>
      </w:tr>
      <w:tr w:rsidR="0032648C">
        <w:tc>
          <w:tcPr>
            <w:tcW w:w="1843" w:type="dxa"/>
            <w:vMerge/>
            <w:tcBorders>
              <w:top w:val="single" w:sz="8" w:space="0" w:color="000000"/>
              <w:left w:val="single" w:sz="8" w:space="0" w:color="000000"/>
              <w:bottom w:val="single" w:sz="8" w:space="0" w:color="000000"/>
              <w:right w:val="single" w:sz="8" w:space="0" w:color="000000"/>
            </w:tcBorders>
          </w:tcPr>
          <w:p w:rsidR="0032648C" w:rsidRDefault="0032648C">
            <w:pPr>
              <w:autoSpaceDE w:val="0"/>
              <w:autoSpaceDN w:val="0"/>
              <w:adjustRightInd w:val="0"/>
              <w:spacing w:line="288" w:lineRule="auto"/>
              <w:jc w:val="left"/>
              <w:rPr>
                <w:rFonts w:ascii="仿宋" w:eastAsia="仿宋" w:hAnsi="仿宋"/>
                <w:kern w:val="0"/>
                <w:sz w:val="24"/>
                <w:szCs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合计</w:t>
            </w:r>
          </w:p>
        </w:tc>
        <w:tc>
          <w:tcPr>
            <w:tcW w:w="2126" w:type="dxa"/>
            <w:tcBorders>
              <w:top w:val="single" w:sz="8" w:space="0" w:color="000000"/>
              <w:left w:val="single" w:sz="8" w:space="0" w:color="000000"/>
              <w:bottom w:val="single" w:sz="8" w:space="0" w:color="000000"/>
              <w:right w:val="single" w:sz="4" w:space="0" w:color="auto"/>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19,941,817.57</w:t>
            </w:r>
          </w:p>
        </w:tc>
        <w:tc>
          <w:tcPr>
            <w:tcW w:w="1843" w:type="dxa"/>
            <w:tcBorders>
              <w:top w:val="single" w:sz="8" w:space="0" w:color="000000"/>
              <w:left w:val="single" w:sz="4" w:space="0" w:color="auto"/>
              <w:bottom w:val="single" w:sz="8" w:space="0" w:color="000000"/>
              <w:right w:val="single" w:sz="4" w:space="0" w:color="auto"/>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12,915,811.21</w:t>
            </w:r>
          </w:p>
        </w:tc>
        <w:tc>
          <w:tcPr>
            <w:tcW w:w="2239" w:type="dxa"/>
            <w:tcBorders>
              <w:top w:val="single" w:sz="8" w:space="0" w:color="000000"/>
              <w:left w:val="single" w:sz="4" w:space="0" w:color="auto"/>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32,857,628.78</w:t>
            </w:r>
          </w:p>
        </w:tc>
      </w:tr>
      <w:tr w:rsidR="0032648C">
        <w:tc>
          <w:tcPr>
            <w:tcW w:w="1843" w:type="dxa"/>
            <w:vMerge w:val="restart"/>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其中：募集期间基金管理人运用固有资金认购本基金情况</w:t>
            </w:r>
          </w:p>
        </w:tc>
        <w:tc>
          <w:tcPr>
            <w:tcW w:w="1701" w:type="dxa"/>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认购的基金份额（单位：份）</w:t>
            </w:r>
          </w:p>
        </w:tc>
        <w:tc>
          <w:tcPr>
            <w:tcW w:w="2126" w:type="dxa"/>
            <w:tcBorders>
              <w:top w:val="single" w:sz="8" w:space="0" w:color="000000"/>
              <w:left w:val="single" w:sz="8" w:space="0" w:color="000000"/>
              <w:bottom w:val="single" w:sz="8" w:space="0" w:color="000000"/>
              <w:right w:val="single" w:sz="4" w:space="0" w:color="auto"/>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10,001,111.22</w:t>
            </w:r>
          </w:p>
        </w:tc>
        <w:tc>
          <w:tcPr>
            <w:tcW w:w="1843" w:type="dxa"/>
            <w:tcBorders>
              <w:top w:val="single" w:sz="8" w:space="0" w:color="000000"/>
              <w:left w:val="single" w:sz="4" w:space="0" w:color="auto"/>
              <w:bottom w:val="single" w:sz="8" w:space="0" w:color="000000"/>
              <w:right w:val="single" w:sz="4" w:space="0" w:color="auto"/>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color w:val="000000"/>
                <w:kern w:val="0"/>
                <w:sz w:val="24"/>
                <w:szCs w:val="24"/>
              </w:rPr>
              <w:t>0.00</w:t>
            </w:r>
          </w:p>
        </w:tc>
        <w:tc>
          <w:tcPr>
            <w:tcW w:w="2239" w:type="dxa"/>
            <w:tcBorders>
              <w:top w:val="single" w:sz="8" w:space="0" w:color="000000"/>
              <w:left w:val="single" w:sz="4" w:space="0" w:color="auto"/>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10,001,111.22</w:t>
            </w:r>
          </w:p>
        </w:tc>
      </w:tr>
      <w:tr w:rsidR="0032648C">
        <w:tc>
          <w:tcPr>
            <w:tcW w:w="1843" w:type="dxa"/>
            <w:vMerge/>
            <w:tcBorders>
              <w:top w:val="single" w:sz="8" w:space="0" w:color="000000"/>
              <w:left w:val="single" w:sz="8" w:space="0" w:color="000000"/>
              <w:bottom w:val="single" w:sz="8" w:space="0" w:color="000000"/>
              <w:right w:val="single" w:sz="8" w:space="0" w:color="000000"/>
            </w:tcBorders>
          </w:tcPr>
          <w:p w:rsidR="0032648C" w:rsidRDefault="0032648C">
            <w:pPr>
              <w:autoSpaceDE w:val="0"/>
              <w:autoSpaceDN w:val="0"/>
              <w:adjustRightInd w:val="0"/>
              <w:spacing w:line="288" w:lineRule="auto"/>
              <w:jc w:val="left"/>
              <w:rPr>
                <w:rFonts w:ascii="仿宋" w:eastAsia="仿宋" w:hAnsi="仿宋"/>
                <w:kern w:val="0"/>
                <w:sz w:val="24"/>
                <w:szCs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占基金总份额比例</w:t>
            </w:r>
            <w:r>
              <w:rPr>
                <w:rFonts w:ascii="仿宋" w:eastAsia="仿宋" w:hAnsi="仿宋" w:cs="宋体" w:hint="eastAsia"/>
                <w:color w:val="000000"/>
                <w:kern w:val="0"/>
                <w:sz w:val="24"/>
                <w:szCs w:val="24"/>
              </w:rPr>
              <w:t xml:space="preserve"> </w:t>
            </w:r>
          </w:p>
        </w:tc>
        <w:tc>
          <w:tcPr>
            <w:tcW w:w="2126" w:type="dxa"/>
            <w:tcBorders>
              <w:top w:val="single" w:sz="8" w:space="0" w:color="000000"/>
              <w:left w:val="single" w:sz="8" w:space="0" w:color="000000"/>
              <w:bottom w:val="single" w:sz="8" w:space="0" w:color="000000"/>
              <w:right w:val="single" w:sz="4" w:space="0" w:color="auto"/>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50.15</w:t>
            </w:r>
            <w:r>
              <w:rPr>
                <w:rFonts w:ascii="仿宋" w:eastAsia="仿宋" w:hAnsi="仿宋" w:cs="宋体" w:hint="eastAsia"/>
                <w:color w:val="000000"/>
                <w:kern w:val="0"/>
                <w:sz w:val="24"/>
                <w:szCs w:val="24"/>
              </w:rPr>
              <w:t>%</w:t>
            </w:r>
          </w:p>
        </w:tc>
        <w:tc>
          <w:tcPr>
            <w:tcW w:w="1843" w:type="dxa"/>
            <w:tcBorders>
              <w:top w:val="single" w:sz="8" w:space="0" w:color="000000"/>
              <w:left w:val="single" w:sz="4" w:space="0" w:color="auto"/>
              <w:bottom w:val="single" w:sz="8" w:space="0" w:color="000000"/>
              <w:right w:val="single" w:sz="4" w:space="0" w:color="auto"/>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color w:val="000000"/>
                <w:kern w:val="0"/>
                <w:sz w:val="24"/>
                <w:szCs w:val="24"/>
              </w:rPr>
              <w:t>0.00%</w:t>
            </w:r>
          </w:p>
        </w:tc>
        <w:tc>
          <w:tcPr>
            <w:tcW w:w="2239" w:type="dxa"/>
            <w:tcBorders>
              <w:top w:val="single" w:sz="8" w:space="0" w:color="000000"/>
              <w:left w:val="single" w:sz="4" w:space="0" w:color="auto"/>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30.44</w:t>
            </w:r>
            <w:r>
              <w:rPr>
                <w:rFonts w:ascii="仿宋" w:eastAsia="仿宋" w:hAnsi="仿宋" w:cs="宋体"/>
                <w:color w:val="000000"/>
                <w:kern w:val="0"/>
                <w:sz w:val="24"/>
                <w:szCs w:val="24"/>
              </w:rPr>
              <w:t>%</w:t>
            </w:r>
          </w:p>
        </w:tc>
      </w:tr>
      <w:tr w:rsidR="0032648C">
        <w:tc>
          <w:tcPr>
            <w:tcW w:w="1843" w:type="dxa"/>
            <w:vMerge/>
            <w:tcBorders>
              <w:top w:val="single" w:sz="8" w:space="0" w:color="000000"/>
              <w:left w:val="single" w:sz="8" w:space="0" w:color="000000"/>
              <w:bottom w:val="single" w:sz="8" w:space="0" w:color="000000"/>
              <w:right w:val="single" w:sz="8" w:space="0" w:color="000000"/>
            </w:tcBorders>
          </w:tcPr>
          <w:p w:rsidR="0032648C" w:rsidRDefault="0032648C">
            <w:pPr>
              <w:autoSpaceDE w:val="0"/>
              <w:autoSpaceDN w:val="0"/>
              <w:adjustRightInd w:val="0"/>
              <w:spacing w:line="288" w:lineRule="auto"/>
              <w:jc w:val="left"/>
              <w:rPr>
                <w:rFonts w:ascii="仿宋" w:eastAsia="仿宋" w:hAnsi="仿宋"/>
                <w:kern w:val="0"/>
                <w:sz w:val="24"/>
                <w:szCs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其他需要说明的事项</w:t>
            </w:r>
          </w:p>
        </w:tc>
        <w:tc>
          <w:tcPr>
            <w:tcW w:w="2126" w:type="dxa"/>
            <w:tcBorders>
              <w:top w:val="single" w:sz="8" w:space="0" w:color="000000"/>
              <w:left w:val="single" w:sz="8" w:space="0" w:color="000000"/>
              <w:bottom w:val="single" w:sz="8" w:space="0" w:color="000000"/>
              <w:right w:val="single" w:sz="4" w:space="0" w:color="auto"/>
            </w:tcBorders>
            <w:vAlign w:val="center"/>
          </w:tcPr>
          <w:p w:rsidR="0032648C" w:rsidRDefault="00F16D6C">
            <w:pPr>
              <w:autoSpaceDE w:val="0"/>
              <w:autoSpaceDN w:val="0"/>
              <w:adjustRightInd w:val="0"/>
              <w:spacing w:line="288" w:lineRule="auto"/>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无</w:t>
            </w:r>
          </w:p>
        </w:tc>
        <w:tc>
          <w:tcPr>
            <w:tcW w:w="1843" w:type="dxa"/>
            <w:tcBorders>
              <w:top w:val="single" w:sz="8" w:space="0" w:color="000000"/>
              <w:left w:val="single" w:sz="4" w:space="0" w:color="auto"/>
              <w:bottom w:val="single" w:sz="8" w:space="0" w:color="000000"/>
              <w:right w:val="single" w:sz="4" w:space="0" w:color="auto"/>
            </w:tcBorders>
            <w:vAlign w:val="center"/>
          </w:tcPr>
          <w:p w:rsidR="0032648C" w:rsidRDefault="00F16D6C">
            <w:pPr>
              <w:autoSpaceDE w:val="0"/>
              <w:autoSpaceDN w:val="0"/>
              <w:adjustRightInd w:val="0"/>
              <w:spacing w:line="288" w:lineRule="auto"/>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无</w:t>
            </w:r>
          </w:p>
        </w:tc>
        <w:tc>
          <w:tcPr>
            <w:tcW w:w="2239" w:type="dxa"/>
            <w:tcBorders>
              <w:top w:val="single" w:sz="8" w:space="0" w:color="000000"/>
              <w:left w:val="single" w:sz="4" w:space="0" w:color="auto"/>
              <w:bottom w:val="single" w:sz="8" w:space="0" w:color="000000"/>
              <w:right w:val="single" w:sz="8" w:space="0" w:color="000000"/>
            </w:tcBorders>
            <w:vAlign w:val="center"/>
          </w:tcPr>
          <w:p w:rsidR="0032648C" w:rsidRDefault="00F16D6C">
            <w:pPr>
              <w:autoSpaceDE w:val="0"/>
              <w:autoSpaceDN w:val="0"/>
              <w:adjustRightInd w:val="0"/>
              <w:spacing w:line="288" w:lineRule="auto"/>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无</w:t>
            </w:r>
          </w:p>
        </w:tc>
      </w:tr>
      <w:tr w:rsidR="0032648C">
        <w:tc>
          <w:tcPr>
            <w:tcW w:w="1843" w:type="dxa"/>
            <w:vMerge w:val="restart"/>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其中：募集期间基金管理人的从业人员认购</w:t>
            </w:r>
            <w:r>
              <w:rPr>
                <w:rFonts w:ascii="仿宋" w:eastAsia="仿宋" w:hAnsi="仿宋" w:cs="宋体" w:hint="eastAsia"/>
                <w:color w:val="000000"/>
                <w:kern w:val="0"/>
                <w:sz w:val="24"/>
                <w:szCs w:val="24"/>
              </w:rPr>
              <w:lastRenderedPageBreak/>
              <w:t>本基金情况</w:t>
            </w:r>
          </w:p>
        </w:tc>
        <w:tc>
          <w:tcPr>
            <w:tcW w:w="1701" w:type="dxa"/>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认购的基金份额（单位：份）</w:t>
            </w:r>
          </w:p>
        </w:tc>
        <w:tc>
          <w:tcPr>
            <w:tcW w:w="2126" w:type="dxa"/>
            <w:tcBorders>
              <w:top w:val="single" w:sz="8" w:space="0" w:color="000000"/>
              <w:left w:val="single" w:sz="8" w:space="0" w:color="000000"/>
              <w:bottom w:val="single" w:sz="8" w:space="0" w:color="000000"/>
              <w:right w:val="single" w:sz="4" w:space="0" w:color="auto"/>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9.99</w:t>
            </w:r>
          </w:p>
        </w:tc>
        <w:tc>
          <w:tcPr>
            <w:tcW w:w="1843" w:type="dxa"/>
            <w:tcBorders>
              <w:top w:val="single" w:sz="8" w:space="0" w:color="000000"/>
              <w:left w:val="single" w:sz="4" w:space="0" w:color="auto"/>
              <w:bottom w:val="single" w:sz="8" w:space="0" w:color="000000"/>
              <w:right w:val="single" w:sz="4" w:space="0" w:color="auto"/>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1,220,044.17</w:t>
            </w:r>
          </w:p>
        </w:tc>
        <w:tc>
          <w:tcPr>
            <w:tcW w:w="2239" w:type="dxa"/>
            <w:tcBorders>
              <w:top w:val="single" w:sz="8" w:space="0" w:color="000000"/>
              <w:left w:val="single" w:sz="4" w:space="0" w:color="auto"/>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1,220,054.16</w:t>
            </w:r>
          </w:p>
        </w:tc>
      </w:tr>
      <w:tr w:rsidR="0032648C">
        <w:tc>
          <w:tcPr>
            <w:tcW w:w="1843" w:type="dxa"/>
            <w:vMerge/>
            <w:tcBorders>
              <w:top w:val="single" w:sz="8" w:space="0" w:color="000000"/>
              <w:left w:val="single" w:sz="8" w:space="0" w:color="000000"/>
              <w:bottom w:val="single" w:sz="8" w:space="0" w:color="000000"/>
              <w:right w:val="single" w:sz="8" w:space="0" w:color="000000"/>
            </w:tcBorders>
          </w:tcPr>
          <w:p w:rsidR="0032648C" w:rsidRDefault="0032648C">
            <w:pPr>
              <w:autoSpaceDE w:val="0"/>
              <w:autoSpaceDN w:val="0"/>
              <w:adjustRightInd w:val="0"/>
              <w:spacing w:line="288" w:lineRule="auto"/>
              <w:jc w:val="left"/>
              <w:rPr>
                <w:rFonts w:ascii="仿宋" w:eastAsia="仿宋" w:hAnsi="仿宋"/>
                <w:kern w:val="0"/>
                <w:sz w:val="24"/>
                <w:szCs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占基金总份额</w:t>
            </w:r>
            <w:r>
              <w:rPr>
                <w:rFonts w:ascii="仿宋" w:eastAsia="仿宋" w:hAnsi="仿宋" w:cs="宋体" w:hint="eastAsia"/>
                <w:color w:val="000000"/>
                <w:kern w:val="0"/>
                <w:sz w:val="24"/>
                <w:szCs w:val="24"/>
              </w:rPr>
              <w:lastRenderedPageBreak/>
              <w:t>比例</w:t>
            </w:r>
          </w:p>
        </w:tc>
        <w:tc>
          <w:tcPr>
            <w:tcW w:w="2126" w:type="dxa"/>
            <w:tcBorders>
              <w:top w:val="single" w:sz="8" w:space="0" w:color="000000"/>
              <w:left w:val="single" w:sz="8" w:space="0" w:color="000000"/>
              <w:bottom w:val="single" w:sz="8" w:space="0" w:color="000000"/>
              <w:right w:val="single" w:sz="4" w:space="0" w:color="auto"/>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0.00</w:t>
            </w:r>
            <w:r>
              <w:rPr>
                <w:rFonts w:ascii="仿宋" w:eastAsia="仿宋" w:hAnsi="仿宋" w:cs="宋体" w:hint="eastAsia"/>
                <w:color w:val="000000"/>
                <w:kern w:val="0"/>
                <w:sz w:val="24"/>
                <w:szCs w:val="24"/>
              </w:rPr>
              <w:t>%</w:t>
            </w:r>
          </w:p>
        </w:tc>
        <w:tc>
          <w:tcPr>
            <w:tcW w:w="1843" w:type="dxa"/>
            <w:tcBorders>
              <w:top w:val="single" w:sz="8" w:space="0" w:color="000000"/>
              <w:left w:val="single" w:sz="4" w:space="0" w:color="auto"/>
              <w:bottom w:val="single" w:sz="8" w:space="0" w:color="000000"/>
              <w:right w:val="single" w:sz="4" w:space="0" w:color="auto"/>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9.45</w:t>
            </w:r>
            <w:r>
              <w:rPr>
                <w:rFonts w:ascii="仿宋" w:eastAsia="仿宋" w:hAnsi="仿宋" w:cs="宋体" w:hint="eastAsia"/>
                <w:color w:val="000000"/>
                <w:kern w:val="0"/>
                <w:sz w:val="24"/>
                <w:szCs w:val="24"/>
              </w:rPr>
              <w:t>%</w:t>
            </w:r>
          </w:p>
        </w:tc>
        <w:tc>
          <w:tcPr>
            <w:tcW w:w="2239" w:type="dxa"/>
            <w:tcBorders>
              <w:top w:val="single" w:sz="8" w:space="0" w:color="000000"/>
              <w:left w:val="single" w:sz="4" w:space="0" w:color="auto"/>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3.71</w:t>
            </w:r>
            <w:r>
              <w:rPr>
                <w:rFonts w:ascii="仿宋" w:eastAsia="仿宋" w:hAnsi="仿宋" w:cs="宋体" w:hint="eastAsia"/>
                <w:color w:val="000000"/>
                <w:kern w:val="0"/>
                <w:sz w:val="24"/>
                <w:szCs w:val="24"/>
              </w:rPr>
              <w:t>%</w:t>
            </w:r>
          </w:p>
        </w:tc>
      </w:tr>
      <w:tr w:rsidR="0032648C">
        <w:tc>
          <w:tcPr>
            <w:tcW w:w="3544" w:type="dxa"/>
            <w:gridSpan w:val="2"/>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募集期限届满基金是否符合法律法规规定的办理基金备案手续的条件</w:t>
            </w:r>
          </w:p>
        </w:tc>
        <w:tc>
          <w:tcPr>
            <w:tcW w:w="6208" w:type="dxa"/>
            <w:gridSpan w:val="3"/>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是</w:t>
            </w:r>
          </w:p>
        </w:tc>
      </w:tr>
      <w:tr w:rsidR="0032648C">
        <w:tc>
          <w:tcPr>
            <w:tcW w:w="3544" w:type="dxa"/>
            <w:gridSpan w:val="2"/>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向中国证监会办理基金备案手续获得书面确认的日期</w:t>
            </w:r>
          </w:p>
        </w:tc>
        <w:tc>
          <w:tcPr>
            <w:tcW w:w="6208" w:type="dxa"/>
            <w:gridSpan w:val="3"/>
            <w:tcBorders>
              <w:top w:val="single" w:sz="8" w:space="0" w:color="000000"/>
              <w:left w:val="single" w:sz="8" w:space="0" w:color="000000"/>
              <w:bottom w:val="single" w:sz="8" w:space="0" w:color="000000"/>
              <w:right w:val="single" w:sz="8" w:space="0" w:color="000000"/>
            </w:tcBorders>
            <w:vAlign w:val="center"/>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202</w:t>
            </w:r>
            <w:r>
              <w:rPr>
                <w:rFonts w:ascii="仿宋" w:eastAsia="仿宋" w:hAnsi="仿宋" w:cs="宋体" w:hint="eastAsia"/>
                <w:color w:val="000000"/>
                <w:kern w:val="0"/>
                <w:sz w:val="24"/>
                <w:szCs w:val="24"/>
              </w:rPr>
              <w:t>4</w:t>
            </w:r>
            <w:r>
              <w:rPr>
                <w:rFonts w:ascii="仿宋" w:eastAsia="仿宋" w:hAnsi="仿宋" w:cs="宋体" w:hint="eastAsia"/>
                <w:color w:val="000000"/>
                <w:kern w:val="0"/>
                <w:sz w:val="24"/>
                <w:szCs w:val="24"/>
              </w:rPr>
              <w:t>年</w:t>
            </w:r>
            <w:r>
              <w:rPr>
                <w:rFonts w:ascii="仿宋" w:eastAsia="仿宋" w:hAnsi="仿宋" w:cs="宋体" w:hint="eastAsia"/>
                <w:color w:val="000000"/>
                <w:kern w:val="0"/>
                <w:sz w:val="24"/>
                <w:szCs w:val="24"/>
              </w:rPr>
              <w:t>11</w:t>
            </w:r>
            <w:r>
              <w:rPr>
                <w:rFonts w:ascii="仿宋" w:eastAsia="仿宋" w:hAnsi="仿宋" w:cs="宋体" w:hint="eastAsia"/>
                <w:color w:val="000000"/>
                <w:kern w:val="0"/>
                <w:sz w:val="24"/>
                <w:szCs w:val="24"/>
              </w:rPr>
              <w:t>月</w:t>
            </w:r>
            <w:r>
              <w:rPr>
                <w:rFonts w:ascii="仿宋" w:eastAsia="仿宋" w:hAnsi="仿宋" w:cs="宋体" w:hint="eastAsia"/>
                <w:color w:val="000000"/>
                <w:kern w:val="0"/>
                <w:sz w:val="24"/>
                <w:szCs w:val="24"/>
              </w:rPr>
              <w:t>12</w:t>
            </w:r>
            <w:r>
              <w:rPr>
                <w:rFonts w:ascii="仿宋" w:eastAsia="仿宋" w:hAnsi="仿宋" w:cs="宋体" w:hint="eastAsia"/>
                <w:color w:val="000000"/>
                <w:kern w:val="0"/>
                <w:sz w:val="24"/>
                <w:szCs w:val="24"/>
              </w:rPr>
              <w:t>日</w:t>
            </w:r>
          </w:p>
        </w:tc>
      </w:tr>
    </w:tbl>
    <w:p w:rsidR="0032648C" w:rsidRDefault="00F16D6C">
      <w:pPr>
        <w:autoSpaceDE w:val="0"/>
        <w:autoSpaceDN w:val="0"/>
        <w:adjustRightInd w:val="0"/>
        <w:spacing w:before="29" w:line="600" w:lineRule="exact"/>
        <w:ind w:left="17"/>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注：（</w:t>
      </w: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）按照有关法律规定，本基金合同生效前发生的与本基金有关的律师费、会计师费、信息披露费等费用不从基金资产中列支；</w:t>
      </w:r>
    </w:p>
    <w:p w:rsidR="0032648C" w:rsidRDefault="00F16D6C">
      <w:pPr>
        <w:autoSpaceDE w:val="0"/>
        <w:autoSpaceDN w:val="0"/>
        <w:adjustRightInd w:val="0"/>
        <w:spacing w:before="29" w:line="600" w:lineRule="exact"/>
        <w:ind w:leftChars="8" w:left="17" w:firstLineChars="200" w:firstLine="48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）本基金管理人高级管理人员、基金投资和研究部门负责人认购本基金份额总量的数量区间为</w:t>
      </w:r>
      <w:r>
        <w:rPr>
          <w:rFonts w:ascii="仿宋" w:eastAsia="仿宋" w:hAnsi="仿宋" w:cs="宋体" w:hint="eastAsia"/>
          <w:color w:val="000000"/>
          <w:kern w:val="0"/>
          <w:sz w:val="24"/>
          <w:szCs w:val="24"/>
        </w:rPr>
        <w:t>0</w:t>
      </w:r>
      <w:r>
        <w:rPr>
          <w:rFonts w:ascii="仿宋" w:eastAsia="仿宋" w:hAnsi="仿宋" w:cs="宋体" w:hint="eastAsia"/>
          <w:color w:val="000000"/>
          <w:kern w:val="0"/>
          <w:sz w:val="24"/>
          <w:szCs w:val="24"/>
        </w:rPr>
        <w:t>份；本基金的基金经理认购本基金份额总量的数量区间为</w:t>
      </w:r>
      <w:r>
        <w:rPr>
          <w:rFonts w:ascii="仿宋" w:eastAsia="仿宋" w:hAnsi="仿宋" w:cs="宋体" w:hint="eastAsia"/>
          <w:color w:val="000000"/>
          <w:kern w:val="0"/>
          <w:sz w:val="24"/>
          <w:szCs w:val="24"/>
        </w:rPr>
        <w:t>0</w:t>
      </w:r>
      <w:r>
        <w:rPr>
          <w:rFonts w:ascii="仿宋" w:eastAsia="仿宋" w:hAnsi="仿宋" w:cs="宋体" w:hint="eastAsia"/>
          <w:color w:val="000000"/>
          <w:kern w:val="0"/>
          <w:sz w:val="24"/>
          <w:szCs w:val="24"/>
        </w:rPr>
        <w:t>份。</w:t>
      </w:r>
    </w:p>
    <w:p w:rsidR="0032648C" w:rsidRDefault="0032648C">
      <w:pPr>
        <w:autoSpaceDE w:val="0"/>
        <w:autoSpaceDN w:val="0"/>
        <w:adjustRightInd w:val="0"/>
        <w:spacing w:line="288" w:lineRule="auto"/>
        <w:ind w:firstLineChars="150" w:firstLine="480"/>
        <w:jc w:val="left"/>
        <w:outlineLvl w:val="0"/>
        <w:rPr>
          <w:rFonts w:ascii="黑体" w:eastAsia="黑体" w:hAnsi="黑体" w:cs="宋体"/>
          <w:bCs/>
          <w:color w:val="000000"/>
          <w:kern w:val="0"/>
          <w:sz w:val="32"/>
          <w:szCs w:val="32"/>
        </w:rPr>
      </w:pPr>
    </w:p>
    <w:p w:rsidR="0032648C" w:rsidRDefault="00F16D6C">
      <w:pPr>
        <w:autoSpaceDE w:val="0"/>
        <w:autoSpaceDN w:val="0"/>
        <w:adjustRightInd w:val="0"/>
        <w:spacing w:line="288" w:lineRule="auto"/>
        <w:ind w:firstLineChars="150" w:firstLine="480"/>
        <w:jc w:val="left"/>
        <w:outlineLvl w:val="0"/>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三、发起资金持有份额情况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8"/>
        <w:gridCol w:w="1869"/>
        <w:gridCol w:w="1038"/>
        <w:gridCol w:w="1881"/>
        <w:gridCol w:w="1085"/>
        <w:gridCol w:w="1930"/>
      </w:tblGrid>
      <w:tr w:rsidR="0032648C">
        <w:trPr>
          <w:trHeight w:val="334"/>
        </w:trPr>
        <w:tc>
          <w:tcPr>
            <w:tcW w:w="1978" w:type="dxa"/>
            <w:vAlign w:val="center"/>
          </w:tcPr>
          <w:p w:rsidR="0032648C" w:rsidRDefault="00F16D6C">
            <w:pPr>
              <w:autoSpaceDE w:val="0"/>
              <w:autoSpaceDN w:val="0"/>
              <w:adjustRightInd w:val="0"/>
              <w:spacing w:before="29" w:line="288" w:lineRule="auto"/>
              <w:ind w:firstLineChars="300" w:firstLine="720"/>
              <w:rPr>
                <w:rFonts w:ascii="仿宋" w:eastAsia="仿宋" w:hAnsi="仿宋" w:cs="宋体"/>
                <w:color w:val="000000"/>
                <w:kern w:val="0"/>
                <w:sz w:val="24"/>
                <w:szCs w:val="24"/>
              </w:rPr>
            </w:pPr>
            <w:r>
              <w:rPr>
                <w:rFonts w:ascii="仿宋" w:eastAsia="仿宋" w:hAnsi="仿宋" w:cs="宋体" w:hint="eastAsia"/>
                <w:color w:val="000000"/>
                <w:kern w:val="0"/>
                <w:sz w:val="24"/>
                <w:szCs w:val="24"/>
              </w:rPr>
              <w:t>项目</w:t>
            </w:r>
          </w:p>
        </w:tc>
        <w:tc>
          <w:tcPr>
            <w:tcW w:w="1869" w:type="dxa"/>
            <w:vAlign w:val="center"/>
          </w:tcPr>
          <w:p w:rsidR="0032648C" w:rsidRDefault="00F16D6C">
            <w:pPr>
              <w:autoSpaceDE w:val="0"/>
              <w:autoSpaceDN w:val="0"/>
              <w:adjustRightInd w:val="0"/>
              <w:spacing w:before="29"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持有份额总数</w:t>
            </w:r>
          </w:p>
        </w:tc>
        <w:tc>
          <w:tcPr>
            <w:tcW w:w="1038" w:type="dxa"/>
            <w:vAlign w:val="center"/>
          </w:tcPr>
          <w:p w:rsidR="0032648C" w:rsidRDefault="00F16D6C">
            <w:pPr>
              <w:autoSpaceDE w:val="0"/>
              <w:autoSpaceDN w:val="0"/>
              <w:adjustRightInd w:val="0"/>
              <w:spacing w:before="29" w:line="288" w:lineRule="auto"/>
              <w:ind w:left="15"/>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占基金总份额比例</w:t>
            </w:r>
          </w:p>
        </w:tc>
        <w:tc>
          <w:tcPr>
            <w:tcW w:w="1881" w:type="dxa"/>
            <w:vAlign w:val="center"/>
          </w:tcPr>
          <w:p w:rsidR="0032648C" w:rsidRDefault="00F16D6C">
            <w:pPr>
              <w:autoSpaceDE w:val="0"/>
              <w:autoSpaceDN w:val="0"/>
              <w:adjustRightInd w:val="0"/>
              <w:spacing w:before="29"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发起份额数</w:t>
            </w:r>
          </w:p>
        </w:tc>
        <w:tc>
          <w:tcPr>
            <w:tcW w:w="1085" w:type="dxa"/>
            <w:vAlign w:val="center"/>
          </w:tcPr>
          <w:p w:rsidR="0032648C" w:rsidRDefault="00F16D6C">
            <w:pPr>
              <w:autoSpaceDE w:val="0"/>
              <w:autoSpaceDN w:val="0"/>
              <w:adjustRightInd w:val="0"/>
              <w:spacing w:before="29" w:line="288" w:lineRule="auto"/>
              <w:ind w:left="15"/>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占基金总份额比例</w:t>
            </w:r>
          </w:p>
        </w:tc>
        <w:tc>
          <w:tcPr>
            <w:tcW w:w="1930" w:type="dxa"/>
            <w:vAlign w:val="center"/>
          </w:tcPr>
          <w:p w:rsidR="0032648C" w:rsidRDefault="00F16D6C">
            <w:pPr>
              <w:autoSpaceDE w:val="0"/>
              <w:autoSpaceDN w:val="0"/>
              <w:adjustRightInd w:val="0"/>
              <w:spacing w:before="29" w:line="288" w:lineRule="auto"/>
              <w:ind w:left="15"/>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发起份额承诺持有期限</w:t>
            </w:r>
          </w:p>
        </w:tc>
      </w:tr>
      <w:tr w:rsidR="0032648C">
        <w:tc>
          <w:tcPr>
            <w:tcW w:w="1978" w:type="dxa"/>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基金管理公司固有资金</w:t>
            </w:r>
          </w:p>
        </w:tc>
        <w:tc>
          <w:tcPr>
            <w:tcW w:w="1869" w:type="dxa"/>
          </w:tcPr>
          <w:p w:rsidR="0032648C" w:rsidRDefault="00F16D6C">
            <w:pPr>
              <w:autoSpaceDE w:val="0"/>
              <w:autoSpaceDN w:val="0"/>
              <w:adjustRightInd w:val="0"/>
              <w:spacing w:before="29" w:line="288" w:lineRule="auto"/>
              <w:ind w:left="15"/>
              <w:jc w:val="right"/>
              <w:rPr>
                <w:rFonts w:ascii="仿宋" w:eastAsia="仿宋" w:hAnsi="仿宋"/>
                <w:color w:val="000000"/>
                <w:sz w:val="24"/>
                <w:szCs w:val="24"/>
              </w:rPr>
            </w:pPr>
            <w:r>
              <w:rPr>
                <w:rFonts w:ascii="仿宋" w:eastAsia="仿宋" w:hAnsi="仿宋" w:hint="eastAsia"/>
                <w:color w:val="000000"/>
                <w:sz w:val="24"/>
                <w:szCs w:val="24"/>
              </w:rPr>
              <w:t>10,0</w:t>
            </w:r>
            <w:r>
              <w:rPr>
                <w:rFonts w:ascii="仿宋" w:eastAsia="仿宋" w:hAnsi="仿宋" w:hint="eastAsia"/>
                <w:color w:val="000000"/>
                <w:sz w:val="24"/>
                <w:szCs w:val="24"/>
              </w:rPr>
              <w:t>01,111.22</w:t>
            </w:r>
          </w:p>
        </w:tc>
        <w:tc>
          <w:tcPr>
            <w:tcW w:w="1038" w:type="dxa"/>
          </w:tcPr>
          <w:p w:rsidR="0032648C" w:rsidRDefault="00F16D6C">
            <w:pPr>
              <w:autoSpaceDE w:val="0"/>
              <w:autoSpaceDN w:val="0"/>
              <w:adjustRightInd w:val="0"/>
              <w:spacing w:before="29" w:line="288" w:lineRule="auto"/>
              <w:ind w:left="15"/>
              <w:jc w:val="right"/>
              <w:rPr>
                <w:rFonts w:ascii="仿宋" w:eastAsia="仿宋" w:hAnsi="仿宋"/>
                <w:color w:val="000000"/>
                <w:sz w:val="24"/>
                <w:szCs w:val="24"/>
              </w:rPr>
            </w:pPr>
            <w:r>
              <w:rPr>
                <w:rFonts w:ascii="仿宋" w:eastAsia="仿宋" w:hAnsi="仿宋" w:hint="eastAsia"/>
                <w:color w:val="000000"/>
                <w:sz w:val="24"/>
                <w:szCs w:val="24"/>
              </w:rPr>
              <w:t>30.44</w:t>
            </w:r>
            <w:r>
              <w:rPr>
                <w:rFonts w:ascii="仿宋" w:eastAsia="仿宋" w:hAnsi="仿宋" w:hint="eastAsia"/>
                <w:color w:val="000000"/>
                <w:sz w:val="24"/>
                <w:szCs w:val="24"/>
              </w:rPr>
              <w:t>%</w:t>
            </w:r>
          </w:p>
        </w:tc>
        <w:tc>
          <w:tcPr>
            <w:tcW w:w="1881" w:type="dxa"/>
          </w:tcPr>
          <w:p w:rsidR="0032648C" w:rsidRDefault="00F16D6C">
            <w:pPr>
              <w:autoSpaceDE w:val="0"/>
              <w:autoSpaceDN w:val="0"/>
              <w:adjustRightInd w:val="0"/>
              <w:spacing w:before="29" w:line="288" w:lineRule="auto"/>
              <w:ind w:left="15"/>
              <w:jc w:val="right"/>
              <w:rPr>
                <w:rFonts w:ascii="仿宋" w:eastAsia="仿宋" w:hAnsi="仿宋"/>
                <w:color w:val="000000"/>
                <w:sz w:val="24"/>
                <w:szCs w:val="24"/>
              </w:rPr>
            </w:pPr>
            <w:r>
              <w:rPr>
                <w:rFonts w:ascii="仿宋" w:eastAsia="仿宋" w:hAnsi="仿宋" w:hint="eastAsia"/>
                <w:color w:val="000000"/>
                <w:sz w:val="24"/>
                <w:szCs w:val="24"/>
              </w:rPr>
              <w:t>10,0</w:t>
            </w:r>
            <w:r>
              <w:rPr>
                <w:rFonts w:ascii="仿宋" w:eastAsia="仿宋" w:hAnsi="仿宋" w:hint="eastAsia"/>
                <w:color w:val="000000"/>
                <w:sz w:val="24"/>
                <w:szCs w:val="24"/>
              </w:rPr>
              <w:t>01,111.22</w:t>
            </w:r>
          </w:p>
        </w:tc>
        <w:tc>
          <w:tcPr>
            <w:tcW w:w="1085" w:type="dxa"/>
          </w:tcPr>
          <w:p w:rsidR="0032648C" w:rsidRDefault="00F16D6C">
            <w:pPr>
              <w:autoSpaceDE w:val="0"/>
              <w:autoSpaceDN w:val="0"/>
              <w:adjustRightInd w:val="0"/>
              <w:spacing w:before="29" w:line="288" w:lineRule="auto"/>
              <w:ind w:left="15"/>
              <w:jc w:val="right"/>
              <w:rPr>
                <w:rFonts w:ascii="仿宋" w:eastAsia="仿宋" w:hAnsi="仿宋"/>
                <w:color w:val="000000"/>
                <w:sz w:val="24"/>
                <w:szCs w:val="24"/>
              </w:rPr>
            </w:pPr>
            <w:r>
              <w:rPr>
                <w:rFonts w:ascii="仿宋" w:eastAsia="仿宋" w:hAnsi="仿宋" w:hint="eastAsia"/>
                <w:color w:val="000000"/>
                <w:sz w:val="24"/>
                <w:szCs w:val="24"/>
              </w:rPr>
              <w:t>30.44</w:t>
            </w:r>
            <w:r>
              <w:rPr>
                <w:rFonts w:ascii="仿宋" w:eastAsia="仿宋" w:hAnsi="仿宋" w:hint="eastAsia"/>
                <w:color w:val="000000"/>
                <w:sz w:val="24"/>
                <w:szCs w:val="24"/>
              </w:rPr>
              <w:t>%</w:t>
            </w:r>
          </w:p>
        </w:tc>
        <w:tc>
          <w:tcPr>
            <w:tcW w:w="1930" w:type="dxa"/>
          </w:tcPr>
          <w:p w:rsidR="0032648C" w:rsidRDefault="00F16D6C">
            <w:pPr>
              <w:autoSpaceDE w:val="0"/>
              <w:autoSpaceDN w:val="0"/>
              <w:adjustRightInd w:val="0"/>
              <w:spacing w:before="29" w:line="288" w:lineRule="auto"/>
              <w:ind w:left="15"/>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自合同生效之日起不少于</w:t>
            </w:r>
            <w:r>
              <w:rPr>
                <w:rFonts w:ascii="仿宋" w:eastAsia="仿宋" w:hAnsi="仿宋" w:cs="宋体" w:hint="eastAsia"/>
                <w:color w:val="000000"/>
                <w:kern w:val="0"/>
                <w:sz w:val="24"/>
                <w:szCs w:val="24"/>
              </w:rPr>
              <w:t>3</w:t>
            </w:r>
            <w:r>
              <w:rPr>
                <w:rFonts w:ascii="仿宋" w:eastAsia="仿宋" w:hAnsi="仿宋" w:cs="宋体" w:hint="eastAsia"/>
                <w:color w:val="000000"/>
                <w:kern w:val="0"/>
                <w:sz w:val="24"/>
                <w:szCs w:val="24"/>
              </w:rPr>
              <w:t>年</w:t>
            </w:r>
          </w:p>
        </w:tc>
      </w:tr>
      <w:tr w:rsidR="0032648C">
        <w:trPr>
          <w:trHeight w:val="1148"/>
        </w:trPr>
        <w:tc>
          <w:tcPr>
            <w:tcW w:w="1978" w:type="dxa"/>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基金管理公司高级管理人员</w:t>
            </w:r>
          </w:p>
        </w:tc>
        <w:tc>
          <w:tcPr>
            <w:tcW w:w="1869" w:type="dxa"/>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p>
        </w:tc>
        <w:tc>
          <w:tcPr>
            <w:tcW w:w="1038" w:type="dxa"/>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0.00%</w:t>
            </w:r>
          </w:p>
        </w:tc>
        <w:tc>
          <w:tcPr>
            <w:tcW w:w="1881" w:type="dxa"/>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p>
        </w:tc>
        <w:tc>
          <w:tcPr>
            <w:tcW w:w="1085" w:type="dxa"/>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0.00%</w:t>
            </w:r>
          </w:p>
        </w:tc>
        <w:tc>
          <w:tcPr>
            <w:tcW w:w="1930" w:type="dxa"/>
          </w:tcPr>
          <w:p w:rsidR="0032648C" w:rsidRDefault="00F16D6C">
            <w:pPr>
              <w:autoSpaceDE w:val="0"/>
              <w:autoSpaceDN w:val="0"/>
              <w:adjustRightInd w:val="0"/>
              <w:spacing w:before="29" w:line="288" w:lineRule="auto"/>
              <w:ind w:left="15"/>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r>
      <w:tr w:rsidR="0032648C">
        <w:tc>
          <w:tcPr>
            <w:tcW w:w="1978" w:type="dxa"/>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基金经理等人员</w:t>
            </w:r>
          </w:p>
        </w:tc>
        <w:tc>
          <w:tcPr>
            <w:tcW w:w="1869" w:type="dxa"/>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p>
        </w:tc>
        <w:tc>
          <w:tcPr>
            <w:tcW w:w="1038" w:type="dxa"/>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0.00%</w:t>
            </w:r>
          </w:p>
        </w:tc>
        <w:tc>
          <w:tcPr>
            <w:tcW w:w="1881" w:type="dxa"/>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p>
        </w:tc>
        <w:tc>
          <w:tcPr>
            <w:tcW w:w="1085" w:type="dxa"/>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0.00%</w:t>
            </w:r>
          </w:p>
        </w:tc>
        <w:tc>
          <w:tcPr>
            <w:tcW w:w="1930" w:type="dxa"/>
          </w:tcPr>
          <w:p w:rsidR="0032648C" w:rsidRDefault="00F16D6C">
            <w:pPr>
              <w:autoSpaceDE w:val="0"/>
              <w:autoSpaceDN w:val="0"/>
              <w:adjustRightInd w:val="0"/>
              <w:spacing w:before="29" w:line="288" w:lineRule="auto"/>
              <w:ind w:left="15"/>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r>
      <w:tr w:rsidR="0032648C">
        <w:tc>
          <w:tcPr>
            <w:tcW w:w="1978" w:type="dxa"/>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基金管理公司股东</w:t>
            </w:r>
          </w:p>
        </w:tc>
        <w:tc>
          <w:tcPr>
            <w:tcW w:w="1869" w:type="dxa"/>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p>
        </w:tc>
        <w:tc>
          <w:tcPr>
            <w:tcW w:w="1038" w:type="dxa"/>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0.00%</w:t>
            </w:r>
          </w:p>
        </w:tc>
        <w:tc>
          <w:tcPr>
            <w:tcW w:w="1881" w:type="dxa"/>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p>
        </w:tc>
        <w:tc>
          <w:tcPr>
            <w:tcW w:w="1085" w:type="dxa"/>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0.00%</w:t>
            </w:r>
          </w:p>
        </w:tc>
        <w:tc>
          <w:tcPr>
            <w:tcW w:w="1930" w:type="dxa"/>
          </w:tcPr>
          <w:p w:rsidR="0032648C" w:rsidRDefault="00F16D6C">
            <w:pPr>
              <w:autoSpaceDE w:val="0"/>
              <w:autoSpaceDN w:val="0"/>
              <w:adjustRightInd w:val="0"/>
              <w:spacing w:before="29" w:line="288" w:lineRule="auto"/>
              <w:ind w:left="15"/>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r>
      <w:tr w:rsidR="0032648C">
        <w:tc>
          <w:tcPr>
            <w:tcW w:w="1978" w:type="dxa"/>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其他</w:t>
            </w:r>
          </w:p>
        </w:tc>
        <w:tc>
          <w:tcPr>
            <w:tcW w:w="1869" w:type="dxa"/>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p>
        </w:tc>
        <w:tc>
          <w:tcPr>
            <w:tcW w:w="1038" w:type="dxa"/>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0.00%</w:t>
            </w:r>
          </w:p>
        </w:tc>
        <w:tc>
          <w:tcPr>
            <w:tcW w:w="1881" w:type="dxa"/>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p>
        </w:tc>
        <w:tc>
          <w:tcPr>
            <w:tcW w:w="1085" w:type="dxa"/>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0.00%</w:t>
            </w:r>
          </w:p>
        </w:tc>
        <w:tc>
          <w:tcPr>
            <w:tcW w:w="1930" w:type="dxa"/>
          </w:tcPr>
          <w:p w:rsidR="0032648C" w:rsidRDefault="00F16D6C">
            <w:pPr>
              <w:autoSpaceDE w:val="0"/>
              <w:autoSpaceDN w:val="0"/>
              <w:adjustRightInd w:val="0"/>
              <w:spacing w:before="29" w:line="288" w:lineRule="auto"/>
              <w:ind w:left="15"/>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r>
      <w:tr w:rsidR="0032648C">
        <w:tc>
          <w:tcPr>
            <w:tcW w:w="1978" w:type="dxa"/>
          </w:tcPr>
          <w:p w:rsidR="0032648C" w:rsidRDefault="00F16D6C">
            <w:pPr>
              <w:autoSpaceDE w:val="0"/>
              <w:autoSpaceDN w:val="0"/>
              <w:adjustRightInd w:val="0"/>
              <w:spacing w:before="29" w:line="288" w:lineRule="auto"/>
              <w:ind w:left="15"/>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合计</w:t>
            </w:r>
          </w:p>
        </w:tc>
        <w:tc>
          <w:tcPr>
            <w:tcW w:w="1869" w:type="dxa"/>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hint="eastAsia"/>
                <w:color w:val="000000"/>
                <w:sz w:val="24"/>
                <w:szCs w:val="24"/>
              </w:rPr>
              <w:t>10,0</w:t>
            </w:r>
            <w:r>
              <w:rPr>
                <w:rFonts w:ascii="仿宋" w:eastAsia="仿宋" w:hAnsi="仿宋" w:hint="eastAsia"/>
                <w:color w:val="000000"/>
                <w:sz w:val="24"/>
                <w:szCs w:val="24"/>
              </w:rPr>
              <w:t>01,111.22</w:t>
            </w:r>
          </w:p>
        </w:tc>
        <w:tc>
          <w:tcPr>
            <w:tcW w:w="1038" w:type="dxa"/>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hint="eastAsia"/>
                <w:color w:val="000000"/>
                <w:sz w:val="24"/>
                <w:szCs w:val="24"/>
              </w:rPr>
              <w:t>30.44</w:t>
            </w:r>
            <w:r>
              <w:rPr>
                <w:rFonts w:ascii="仿宋" w:eastAsia="仿宋" w:hAnsi="仿宋" w:hint="eastAsia"/>
                <w:color w:val="000000"/>
                <w:sz w:val="24"/>
                <w:szCs w:val="24"/>
              </w:rPr>
              <w:t>%</w:t>
            </w:r>
          </w:p>
        </w:tc>
        <w:tc>
          <w:tcPr>
            <w:tcW w:w="1881" w:type="dxa"/>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hint="eastAsia"/>
                <w:color w:val="000000"/>
                <w:sz w:val="24"/>
                <w:szCs w:val="24"/>
              </w:rPr>
              <w:t>10,0</w:t>
            </w:r>
            <w:r>
              <w:rPr>
                <w:rFonts w:ascii="仿宋" w:eastAsia="仿宋" w:hAnsi="仿宋" w:hint="eastAsia"/>
                <w:color w:val="000000"/>
                <w:sz w:val="24"/>
                <w:szCs w:val="24"/>
              </w:rPr>
              <w:t>01,111.22</w:t>
            </w:r>
          </w:p>
        </w:tc>
        <w:tc>
          <w:tcPr>
            <w:tcW w:w="1085" w:type="dxa"/>
          </w:tcPr>
          <w:p w:rsidR="0032648C" w:rsidRDefault="00F16D6C">
            <w:pPr>
              <w:autoSpaceDE w:val="0"/>
              <w:autoSpaceDN w:val="0"/>
              <w:adjustRightInd w:val="0"/>
              <w:spacing w:before="29" w:line="288" w:lineRule="auto"/>
              <w:ind w:left="15"/>
              <w:jc w:val="right"/>
              <w:rPr>
                <w:rFonts w:ascii="仿宋" w:eastAsia="仿宋" w:hAnsi="仿宋" w:cs="宋体"/>
                <w:color w:val="000000"/>
                <w:kern w:val="0"/>
                <w:sz w:val="24"/>
                <w:szCs w:val="24"/>
              </w:rPr>
            </w:pPr>
            <w:r>
              <w:rPr>
                <w:rFonts w:ascii="仿宋" w:eastAsia="仿宋" w:hAnsi="仿宋" w:hint="eastAsia"/>
                <w:color w:val="000000"/>
                <w:sz w:val="24"/>
                <w:szCs w:val="24"/>
              </w:rPr>
              <w:t>30.44</w:t>
            </w:r>
            <w:r>
              <w:rPr>
                <w:rFonts w:ascii="仿宋" w:eastAsia="仿宋" w:hAnsi="仿宋" w:hint="eastAsia"/>
                <w:color w:val="000000"/>
                <w:sz w:val="24"/>
                <w:szCs w:val="24"/>
              </w:rPr>
              <w:t>%</w:t>
            </w:r>
          </w:p>
        </w:tc>
        <w:tc>
          <w:tcPr>
            <w:tcW w:w="1930" w:type="dxa"/>
          </w:tcPr>
          <w:p w:rsidR="0032648C" w:rsidRDefault="00F16D6C">
            <w:pPr>
              <w:autoSpaceDE w:val="0"/>
              <w:autoSpaceDN w:val="0"/>
              <w:adjustRightInd w:val="0"/>
              <w:spacing w:before="29" w:line="288" w:lineRule="auto"/>
              <w:ind w:left="15"/>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自合同生效之日起不少于</w:t>
            </w:r>
            <w:r>
              <w:rPr>
                <w:rFonts w:ascii="仿宋" w:eastAsia="仿宋" w:hAnsi="仿宋" w:cs="宋体" w:hint="eastAsia"/>
                <w:color w:val="000000"/>
                <w:kern w:val="0"/>
                <w:sz w:val="24"/>
                <w:szCs w:val="24"/>
              </w:rPr>
              <w:t>3</w:t>
            </w:r>
            <w:r>
              <w:rPr>
                <w:rFonts w:ascii="仿宋" w:eastAsia="仿宋" w:hAnsi="仿宋" w:cs="宋体" w:hint="eastAsia"/>
                <w:color w:val="000000"/>
                <w:kern w:val="0"/>
                <w:sz w:val="24"/>
                <w:szCs w:val="24"/>
              </w:rPr>
              <w:t>年</w:t>
            </w:r>
          </w:p>
        </w:tc>
      </w:tr>
    </w:tbl>
    <w:p w:rsidR="0032648C" w:rsidRDefault="0032648C">
      <w:pPr>
        <w:autoSpaceDE w:val="0"/>
        <w:autoSpaceDN w:val="0"/>
        <w:adjustRightInd w:val="0"/>
        <w:spacing w:before="29" w:line="288" w:lineRule="auto"/>
        <w:jc w:val="left"/>
        <w:rPr>
          <w:rFonts w:ascii="黑体" w:eastAsia="黑体" w:hAnsi="黑体" w:cs="宋体"/>
          <w:bCs/>
          <w:color w:val="000000"/>
          <w:kern w:val="0"/>
          <w:sz w:val="32"/>
          <w:szCs w:val="32"/>
        </w:rPr>
      </w:pPr>
    </w:p>
    <w:p w:rsidR="0032648C" w:rsidRDefault="00F16D6C">
      <w:pPr>
        <w:autoSpaceDE w:val="0"/>
        <w:autoSpaceDN w:val="0"/>
        <w:adjustRightInd w:val="0"/>
        <w:spacing w:before="29" w:line="288" w:lineRule="auto"/>
        <w:ind w:leftChars="7" w:left="15" w:firstLineChars="200" w:firstLine="640"/>
        <w:jc w:val="left"/>
        <w:rPr>
          <w:rFonts w:ascii="黑体" w:eastAsia="黑体" w:hAnsi="黑体" w:cs="宋体"/>
          <w:bCs/>
          <w:color w:val="000000"/>
          <w:kern w:val="0"/>
          <w:sz w:val="32"/>
          <w:szCs w:val="32"/>
        </w:rPr>
      </w:pPr>
      <w:r>
        <w:rPr>
          <w:rFonts w:ascii="黑体" w:eastAsia="黑体" w:hAnsi="黑体" w:cs="宋体" w:hint="eastAsia"/>
          <w:bCs/>
          <w:color w:val="000000"/>
          <w:kern w:val="0"/>
          <w:sz w:val="32"/>
          <w:szCs w:val="32"/>
          <w:lang/>
        </w:rPr>
        <w:t>四</w:t>
      </w:r>
      <w:r>
        <w:rPr>
          <w:rFonts w:ascii="黑体" w:eastAsia="黑体" w:hAnsi="黑体" w:cs="宋体" w:hint="eastAsia"/>
          <w:bCs/>
          <w:color w:val="000000"/>
          <w:kern w:val="0"/>
          <w:sz w:val="32"/>
          <w:szCs w:val="32"/>
        </w:rPr>
        <w:t>、其他需要提示的事项</w:t>
      </w:r>
    </w:p>
    <w:p w:rsidR="0032648C" w:rsidRDefault="00F16D6C">
      <w:pPr>
        <w:autoSpaceDE w:val="0"/>
        <w:autoSpaceDN w:val="0"/>
        <w:adjustRightInd w:val="0"/>
        <w:spacing w:before="29" w:line="600" w:lineRule="exact"/>
        <w:ind w:leftChars="8" w:left="17" w:firstLineChars="200" w:firstLine="48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）销售机构受理投资者认购申请并不代表申请成功，申请的成功与否须以本基金注册登记人的确认结果为准。基金份额持有人可以到销售机构的网点进行交易确认单的查询和打印，也可以通过本基金管理人的网站</w:t>
      </w:r>
      <w:r>
        <w:rPr>
          <w:rFonts w:ascii="仿宋" w:eastAsia="仿宋" w:hAnsi="仿宋" w:cs="宋体" w:hint="eastAsia"/>
          <w:color w:val="000000"/>
          <w:kern w:val="0"/>
          <w:sz w:val="24"/>
          <w:szCs w:val="24"/>
        </w:rPr>
        <w:t>(www.bobbns.com)</w:t>
      </w:r>
      <w:r>
        <w:rPr>
          <w:rFonts w:ascii="仿宋" w:eastAsia="仿宋" w:hAnsi="仿宋" w:cs="宋体" w:hint="eastAsia"/>
          <w:color w:val="000000"/>
          <w:kern w:val="0"/>
          <w:sz w:val="24"/>
          <w:szCs w:val="24"/>
        </w:rPr>
        <w:t>或客户服务电话</w:t>
      </w:r>
      <w:r>
        <w:rPr>
          <w:rFonts w:ascii="仿宋" w:eastAsia="仿宋" w:hAnsi="仿宋" w:cs="宋体" w:hint="eastAsia"/>
          <w:color w:val="000000"/>
          <w:kern w:val="0"/>
          <w:sz w:val="24"/>
          <w:szCs w:val="24"/>
        </w:rPr>
        <w:t>(400-00-95526)</w:t>
      </w:r>
      <w:r>
        <w:rPr>
          <w:rFonts w:ascii="仿宋" w:eastAsia="仿宋" w:hAnsi="仿宋" w:cs="宋体" w:hint="eastAsia"/>
          <w:color w:val="000000"/>
          <w:kern w:val="0"/>
          <w:sz w:val="24"/>
          <w:szCs w:val="24"/>
        </w:rPr>
        <w:t>查询交易确认情况；</w:t>
      </w:r>
    </w:p>
    <w:p w:rsidR="0032648C" w:rsidRDefault="00F16D6C">
      <w:pPr>
        <w:autoSpaceDE w:val="0"/>
        <w:autoSpaceDN w:val="0"/>
        <w:adjustRightInd w:val="0"/>
        <w:spacing w:before="29" w:line="600" w:lineRule="exact"/>
        <w:ind w:leftChars="8" w:left="17" w:firstLineChars="200" w:firstLine="48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）基金管理人自基金合同生效之日起不超过</w:t>
      </w:r>
      <w:r>
        <w:rPr>
          <w:rFonts w:ascii="仿宋" w:eastAsia="仿宋" w:hAnsi="仿宋" w:cs="宋体" w:hint="eastAsia"/>
          <w:color w:val="000000"/>
          <w:kern w:val="0"/>
          <w:sz w:val="24"/>
          <w:szCs w:val="24"/>
        </w:rPr>
        <w:t>3</w:t>
      </w:r>
      <w:r>
        <w:rPr>
          <w:rFonts w:ascii="仿宋" w:eastAsia="仿宋" w:hAnsi="仿宋" w:cs="宋体" w:hint="eastAsia"/>
          <w:color w:val="000000"/>
          <w:kern w:val="0"/>
          <w:sz w:val="24"/>
          <w:szCs w:val="24"/>
        </w:rPr>
        <w:t>个月开始办理申购、赎回业务，具体业务办理时间在申购、赎回开始公告中规定；在确定申购开始与赎回开始时间后，基金管理人应在申购、赎回开放日前依照《公开募集证券投资基金信息披露管理办法》的有</w:t>
      </w:r>
      <w:r>
        <w:rPr>
          <w:rFonts w:ascii="仿宋" w:eastAsia="仿宋" w:hAnsi="仿宋" w:cs="宋体" w:hint="eastAsia"/>
          <w:color w:val="000000"/>
          <w:kern w:val="0"/>
          <w:sz w:val="24"/>
          <w:szCs w:val="24"/>
        </w:rPr>
        <w:t>关规定在规定媒介上公告申购与赎回的开始时间；</w:t>
      </w:r>
    </w:p>
    <w:p w:rsidR="0032648C" w:rsidRDefault="00F16D6C">
      <w:pPr>
        <w:autoSpaceDE w:val="0"/>
        <w:autoSpaceDN w:val="0"/>
        <w:adjustRightInd w:val="0"/>
        <w:spacing w:before="29" w:line="600" w:lineRule="exact"/>
        <w:ind w:leftChars="8" w:left="17" w:firstLineChars="200" w:firstLine="48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3</w:t>
      </w:r>
      <w:r>
        <w:rPr>
          <w:rFonts w:ascii="仿宋" w:eastAsia="仿宋" w:hAnsi="仿宋" w:cs="宋体" w:hint="eastAsia"/>
          <w:color w:val="000000"/>
          <w:kern w:val="0"/>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w:t>
      </w:r>
      <w:r>
        <w:rPr>
          <w:rFonts w:ascii="仿宋" w:eastAsia="仿宋" w:hAnsi="仿宋" w:cs="宋体" w:hint="eastAsia"/>
          <w:color w:val="000000"/>
          <w:kern w:val="0"/>
          <w:sz w:val="24"/>
          <w:szCs w:val="24"/>
        </w:rPr>
        <w:t>该类</w:t>
      </w:r>
      <w:r>
        <w:rPr>
          <w:rFonts w:ascii="仿宋" w:eastAsia="仿宋" w:hAnsi="仿宋" w:cs="宋体" w:hint="eastAsia"/>
          <w:color w:val="000000"/>
          <w:kern w:val="0"/>
          <w:sz w:val="24"/>
          <w:szCs w:val="24"/>
        </w:rPr>
        <w:t>基金份额申购、赎回的价格。</w:t>
      </w:r>
    </w:p>
    <w:p w:rsidR="0032648C" w:rsidRDefault="00F16D6C">
      <w:pPr>
        <w:autoSpaceDE w:val="0"/>
        <w:autoSpaceDN w:val="0"/>
        <w:adjustRightInd w:val="0"/>
        <w:spacing w:before="29" w:line="600" w:lineRule="exact"/>
        <w:ind w:leftChars="8" w:left="17" w:firstLineChars="200" w:firstLine="48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风险提示：</w:t>
      </w:r>
    </w:p>
    <w:p w:rsidR="0032648C" w:rsidRDefault="00F16D6C">
      <w:pPr>
        <w:autoSpaceDE w:val="0"/>
        <w:autoSpaceDN w:val="0"/>
        <w:adjustRightInd w:val="0"/>
        <w:spacing w:before="29" w:line="600" w:lineRule="exact"/>
        <w:ind w:leftChars="8" w:left="17" w:firstLineChars="200" w:firstLine="48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、本基金初始募集面值为人民币</w:t>
      </w:r>
      <w:r>
        <w:rPr>
          <w:rFonts w:ascii="仿宋" w:eastAsia="仿宋" w:hAnsi="仿宋" w:cs="宋体" w:hint="eastAsia"/>
          <w:color w:val="000000"/>
          <w:kern w:val="0"/>
          <w:sz w:val="24"/>
          <w:szCs w:val="24"/>
        </w:rPr>
        <w:t>1.00</w:t>
      </w:r>
      <w:r>
        <w:rPr>
          <w:rFonts w:ascii="仿宋" w:eastAsia="仿宋" w:hAnsi="仿宋" w:cs="宋体" w:hint="eastAsia"/>
          <w:color w:val="000000"/>
          <w:kern w:val="0"/>
          <w:sz w:val="24"/>
          <w:szCs w:val="24"/>
        </w:rPr>
        <w:t>元。在市场波动因素影响下，本基金净值可能低于初始面值，本基金投资者有可能出现亏损。</w:t>
      </w:r>
      <w:r>
        <w:rPr>
          <w:rFonts w:ascii="仿宋" w:eastAsia="仿宋" w:hAnsi="仿宋" w:cs="宋体" w:hint="eastAsia"/>
          <w:color w:val="000000"/>
          <w:kern w:val="0"/>
          <w:sz w:val="24"/>
          <w:szCs w:val="24"/>
        </w:rPr>
        <w:t xml:space="preserve"> </w:t>
      </w:r>
    </w:p>
    <w:p w:rsidR="0032648C" w:rsidRDefault="00F16D6C">
      <w:pPr>
        <w:autoSpaceDE w:val="0"/>
        <w:autoSpaceDN w:val="0"/>
        <w:adjustRightInd w:val="0"/>
        <w:spacing w:before="29" w:line="600" w:lineRule="exact"/>
        <w:ind w:leftChars="8" w:left="17" w:firstLineChars="200" w:firstLine="48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、基金的过往业绩并不预示其未来表现。基金管理人管理的其它基金的业绩并不构成对本基金业绩表现的保证。</w:t>
      </w:r>
    </w:p>
    <w:p w:rsidR="0032648C" w:rsidRDefault="00F16D6C">
      <w:pPr>
        <w:autoSpaceDE w:val="0"/>
        <w:autoSpaceDN w:val="0"/>
        <w:adjustRightInd w:val="0"/>
        <w:spacing w:before="29" w:line="600" w:lineRule="exact"/>
        <w:ind w:leftChars="8" w:left="17" w:firstLineChars="200" w:firstLine="48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r>
        <w:rPr>
          <w:rFonts w:ascii="仿宋" w:eastAsia="仿宋" w:hAnsi="仿宋" w:cs="宋体" w:hint="eastAsia"/>
          <w:color w:val="000000"/>
          <w:kern w:val="0"/>
          <w:sz w:val="24"/>
          <w:szCs w:val="24"/>
        </w:rPr>
        <w:t>、基金管理人依照恪尽职守、诚实信用、谨慎勤勉的原则管理和运用基金财产，但不保证基金一定盈利，也不保证最低收益。本公司提醒投资者在投资前认真阅读本基金的基金合同、招募说明书等文件，并选择与自身风险承受能力相匹配的投资品种进行投资。敬请投资者注意投资风险。</w:t>
      </w:r>
    </w:p>
    <w:p w:rsidR="0032648C" w:rsidRDefault="00F16D6C">
      <w:pPr>
        <w:autoSpaceDE w:val="0"/>
        <w:autoSpaceDN w:val="0"/>
        <w:adjustRightInd w:val="0"/>
        <w:spacing w:before="29" w:line="288" w:lineRule="auto"/>
        <w:ind w:leftChars="7" w:left="15" w:firstLineChars="200" w:firstLine="48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特此公告。</w:t>
      </w:r>
    </w:p>
    <w:p w:rsidR="0032648C" w:rsidRDefault="00F16D6C">
      <w:pPr>
        <w:autoSpaceDE w:val="0"/>
        <w:autoSpaceDN w:val="0"/>
        <w:adjustRightInd w:val="0"/>
        <w:spacing w:before="29" w:line="288" w:lineRule="auto"/>
        <w:ind w:leftChars="7" w:left="15" w:firstLineChars="2450" w:firstLine="68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中加基金管理有限公司</w:t>
      </w:r>
    </w:p>
    <w:p w:rsidR="0032648C" w:rsidRDefault="00F16D6C">
      <w:pPr>
        <w:autoSpaceDE w:val="0"/>
        <w:autoSpaceDN w:val="0"/>
        <w:adjustRightInd w:val="0"/>
        <w:spacing w:before="29" w:line="288" w:lineRule="auto"/>
        <w:ind w:left="15"/>
        <w:jc w:val="right"/>
        <w:rPr>
          <w:rFonts w:ascii="仿宋" w:eastAsia="仿宋" w:hAnsi="仿宋" w:cs="宋体"/>
          <w:color w:val="000000"/>
          <w:kern w:val="0"/>
          <w:sz w:val="28"/>
          <w:szCs w:val="28"/>
        </w:rPr>
      </w:pPr>
      <w:r>
        <w:rPr>
          <w:rFonts w:ascii="仿宋" w:eastAsia="仿宋" w:hAnsi="仿宋" w:cs="宋体"/>
          <w:color w:val="000000"/>
          <w:kern w:val="0"/>
          <w:sz w:val="28"/>
          <w:szCs w:val="28"/>
        </w:rPr>
        <w:t>20</w:t>
      </w:r>
      <w:r>
        <w:rPr>
          <w:rFonts w:ascii="仿宋" w:eastAsia="仿宋" w:hAnsi="仿宋" w:cs="宋体" w:hint="eastAsia"/>
          <w:color w:val="000000"/>
          <w:kern w:val="0"/>
          <w:sz w:val="28"/>
          <w:szCs w:val="28"/>
        </w:rPr>
        <w:t>2</w:t>
      </w:r>
      <w:r>
        <w:rPr>
          <w:rFonts w:ascii="仿宋" w:eastAsia="仿宋" w:hAnsi="仿宋" w:cs="宋体" w:hint="eastAsia"/>
          <w:color w:val="000000"/>
          <w:kern w:val="0"/>
          <w:sz w:val="28"/>
          <w:szCs w:val="28"/>
        </w:rPr>
        <w:t>4</w:t>
      </w:r>
      <w:r>
        <w:rPr>
          <w:rFonts w:ascii="仿宋" w:eastAsia="仿宋" w:hAnsi="仿宋" w:cs="宋体" w:hint="eastAsia"/>
          <w:color w:val="000000"/>
          <w:kern w:val="0"/>
          <w:sz w:val="28"/>
          <w:szCs w:val="28"/>
        </w:rPr>
        <w:t>年</w:t>
      </w:r>
      <w:r>
        <w:rPr>
          <w:rFonts w:ascii="仿宋" w:eastAsia="仿宋" w:hAnsi="仿宋" w:cs="宋体" w:hint="eastAsia"/>
          <w:color w:val="000000"/>
          <w:kern w:val="0"/>
          <w:sz w:val="28"/>
          <w:szCs w:val="28"/>
        </w:rPr>
        <w:t>11</w:t>
      </w:r>
      <w:r>
        <w:rPr>
          <w:rFonts w:ascii="仿宋" w:eastAsia="仿宋" w:hAnsi="仿宋" w:cs="宋体" w:hint="eastAsia"/>
          <w:color w:val="000000"/>
          <w:kern w:val="0"/>
          <w:sz w:val="28"/>
          <w:szCs w:val="28"/>
        </w:rPr>
        <w:t>月</w:t>
      </w:r>
      <w:r>
        <w:rPr>
          <w:rFonts w:ascii="仿宋" w:eastAsia="仿宋" w:hAnsi="仿宋" w:cs="宋体" w:hint="eastAsia"/>
          <w:color w:val="000000"/>
          <w:kern w:val="0"/>
          <w:sz w:val="28"/>
          <w:szCs w:val="28"/>
        </w:rPr>
        <w:t>13</w:t>
      </w:r>
      <w:r>
        <w:rPr>
          <w:rFonts w:ascii="仿宋" w:eastAsia="仿宋" w:hAnsi="仿宋" w:cs="宋体" w:hint="eastAsia"/>
          <w:color w:val="000000"/>
          <w:kern w:val="0"/>
          <w:sz w:val="28"/>
          <w:szCs w:val="28"/>
        </w:rPr>
        <w:t>日</w:t>
      </w:r>
    </w:p>
    <w:sectPr w:rsidR="0032648C" w:rsidSect="0032648C">
      <w:headerReference w:type="default" r:id="rId7"/>
      <w:footerReference w:type="default" r:id="rId8"/>
      <w:pgSz w:w="11907" w:h="16839"/>
      <w:pgMar w:top="1440" w:right="1080" w:bottom="1440" w:left="1080" w:header="851" w:footer="992"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48C" w:rsidRDefault="0032648C" w:rsidP="0032648C">
      <w:r>
        <w:separator/>
      </w:r>
    </w:p>
  </w:endnote>
  <w:endnote w:type="continuationSeparator" w:id="0">
    <w:p w:rsidR="0032648C" w:rsidRDefault="0032648C" w:rsidP="00326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仿宋简体">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48C" w:rsidRDefault="0032648C">
    <w:pPr>
      <w:autoSpaceDE w:val="0"/>
      <w:autoSpaceDN w:val="0"/>
      <w:adjustRightInd w:val="0"/>
      <w:jc w:val="center"/>
      <w:rPr>
        <w:rFonts w:ascii="宋体" w:eastAsia="宋体"/>
        <w:kern w:val="0"/>
        <w:sz w:val="18"/>
        <w:szCs w:val="18"/>
      </w:rPr>
    </w:pPr>
    <w:r>
      <w:rPr>
        <w:rFonts w:ascii="宋体" w:eastAsia="宋体"/>
        <w:kern w:val="0"/>
        <w:sz w:val="18"/>
        <w:szCs w:val="18"/>
      </w:rPr>
      <w:fldChar w:fldCharType="begin"/>
    </w:r>
    <w:r w:rsidR="00F16D6C">
      <w:rPr>
        <w:rFonts w:ascii="宋体" w:eastAsia="宋体"/>
        <w:kern w:val="0"/>
        <w:sz w:val="18"/>
        <w:szCs w:val="18"/>
      </w:rPr>
      <w:instrText xml:space="preserve"> PAGE   \* MERGEFORMAT </w:instrText>
    </w:r>
    <w:r>
      <w:rPr>
        <w:rFonts w:ascii="宋体" w:eastAsia="宋体"/>
        <w:kern w:val="0"/>
        <w:sz w:val="18"/>
        <w:szCs w:val="18"/>
      </w:rPr>
      <w:fldChar w:fldCharType="separate"/>
    </w:r>
    <w:r w:rsidR="00F16D6C" w:rsidRPr="00F16D6C">
      <w:rPr>
        <w:rFonts w:ascii="宋体" w:eastAsia="宋体"/>
        <w:noProof/>
        <w:kern w:val="0"/>
        <w:sz w:val="18"/>
        <w:szCs w:val="18"/>
        <w:lang w:val="zh-CN"/>
      </w:rPr>
      <w:t>1</w:t>
    </w:r>
    <w:r>
      <w:rPr>
        <w:rFonts w:ascii="宋体" w:eastAsia="宋体"/>
        <w:kern w:val="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48C" w:rsidRDefault="0032648C" w:rsidP="0032648C">
      <w:r>
        <w:separator/>
      </w:r>
    </w:p>
  </w:footnote>
  <w:footnote w:type="continuationSeparator" w:id="0">
    <w:p w:rsidR="0032648C" w:rsidRDefault="0032648C" w:rsidP="00326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48C" w:rsidRDefault="0032648C">
    <w:pPr>
      <w:autoSpaceDE w:val="0"/>
      <w:autoSpaceDN w:val="0"/>
      <w:adjustRightInd w:val="0"/>
      <w:jc w:val="left"/>
      <w:rPr>
        <w:rFonts w:ascii="宋体" w:eastAsia="宋体"/>
        <w:kern w:val="0"/>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rawingGridHorizontalSpacing w:val="105"/>
  <w:drawingGridVerticalSpacing w:val="120"/>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225FB9"/>
    <w:rsid w:val="F185C188"/>
    <w:rsid w:val="00011178"/>
    <w:rsid w:val="000141D5"/>
    <w:rsid w:val="00025271"/>
    <w:rsid w:val="000268EF"/>
    <w:rsid w:val="0004319C"/>
    <w:rsid w:val="00043AAB"/>
    <w:rsid w:val="00047432"/>
    <w:rsid w:val="000629F4"/>
    <w:rsid w:val="00063A68"/>
    <w:rsid w:val="000652B8"/>
    <w:rsid w:val="000827C0"/>
    <w:rsid w:val="0009133B"/>
    <w:rsid w:val="00096C69"/>
    <w:rsid w:val="000A4AEE"/>
    <w:rsid w:val="000C1659"/>
    <w:rsid w:val="000D5634"/>
    <w:rsid w:val="000E6276"/>
    <w:rsid w:val="00104C6B"/>
    <w:rsid w:val="001168A9"/>
    <w:rsid w:val="00122DC7"/>
    <w:rsid w:val="00122E1F"/>
    <w:rsid w:val="00146A4B"/>
    <w:rsid w:val="00161393"/>
    <w:rsid w:val="00163F61"/>
    <w:rsid w:val="00181C74"/>
    <w:rsid w:val="00194098"/>
    <w:rsid w:val="00197EBF"/>
    <w:rsid w:val="001A5BBD"/>
    <w:rsid w:val="001A5F47"/>
    <w:rsid w:val="001A658D"/>
    <w:rsid w:val="001B2563"/>
    <w:rsid w:val="001B2B3C"/>
    <w:rsid w:val="001D3BDC"/>
    <w:rsid w:val="001F28C1"/>
    <w:rsid w:val="00206836"/>
    <w:rsid w:val="00220716"/>
    <w:rsid w:val="00225FB9"/>
    <w:rsid w:val="00246C6D"/>
    <w:rsid w:val="002664C1"/>
    <w:rsid w:val="002A1263"/>
    <w:rsid w:val="002A7BE2"/>
    <w:rsid w:val="002B17CA"/>
    <w:rsid w:val="002B3407"/>
    <w:rsid w:val="002C7CB7"/>
    <w:rsid w:val="002D4999"/>
    <w:rsid w:val="002E3208"/>
    <w:rsid w:val="0030758D"/>
    <w:rsid w:val="003110E8"/>
    <w:rsid w:val="00321D7F"/>
    <w:rsid w:val="0032648C"/>
    <w:rsid w:val="00330BC4"/>
    <w:rsid w:val="00344AF3"/>
    <w:rsid w:val="003508E1"/>
    <w:rsid w:val="0036468D"/>
    <w:rsid w:val="0039345B"/>
    <w:rsid w:val="003B0114"/>
    <w:rsid w:val="003F2B1F"/>
    <w:rsid w:val="003F6A02"/>
    <w:rsid w:val="00410ED3"/>
    <w:rsid w:val="0041115C"/>
    <w:rsid w:val="00423F72"/>
    <w:rsid w:val="00442767"/>
    <w:rsid w:val="00451EAD"/>
    <w:rsid w:val="0046406C"/>
    <w:rsid w:val="00464322"/>
    <w:rsid w:val="004646E4"/>
    <w:rsid w:val="00467986"/>
    <w:rsid w:val="004745A0"/>
    <w:rsid w:val="004819BC"/>
    <w:rsid w:val="0048304D"/>
    <w:rsid w:val="004844A6"/>
    <w:rsid w:val="00487938"/>
    <w:rsid w:val="0049290F"/>
    <w:rsid w:val="004A0B5E"/>
    <w:rsid w:val="004B3371"/>
    <w:rsid w:val="004D4710"/>
    <w:rsid w:val="004D5B59"/>
    <w:rsid w:val="004E0A32"/>
    <w:rsid w:val="004E5D60"/>
    <w:rsid w:val="005111E4"/>
    <w:rsid w:val="00524A93"/>
    <w:rsid w:val="00532F1B"/>
    <w:rsid w:val="00557204"/>
    <w:rsid w:val="0056026F"/>
    <w:rsid w:val="00570A9B"/>
    <w:rsid w:val="00574EB9"/>
    <w:rsid w:val="0059792D"/>
    <w:rsid w:val="005A357C"/>
    <w:rsid w:val="005E332E"/>
    <w:rsid w:val="005E7BDB"/>
    <w:rsid w:val="005F5735"/>
    <w:rsid w:val="00634EB4"/>
    <w:rsid w:val="00637A63"/>
    <w:rsid w:val="00653EFF"/>
    <w:rsid w:val="0067648A"/>
    <w:rsid w:val="0068273A"/>
    <w:rsid w:val="00687CE8"/>
    <w:rsid w:val="00696542"/>
    <w:rsid w:val="00696CD5"/>
    <w:rsid w:val="006A2E6B"/>
    <w:rsid w:val="006A6F9E"/>
    <w:rsid w:val="006C10AD"/>
    <w:rsid w:val="006C5B05"/>
    <w:rsid w:val="006C6759"/>
    <w:rsid w:val="006F10B5"/>
    <w:rsid w:val="00714A8C"/>
    <w:rsid w:val="007320D0"/>
    <w:rsid w:val="0073419D"/>
    <w:rsid w:val="00763205"/>
    <w:rsid w:val="00763D8F"/>
    <w:rsid w:val="007A2383"/>
    <w:rsid w:val="007B02B4"/>
    <w:rsid w:val="007B23A9"/>
    <w:rsid w:val="007C0403"/>
    <w:rsid w:val="007C3AE6"/>
    <w:rsid w:val="007C6E33"/>
    <w:rsid w:val="007E3387"/>
    <w:rsid w:val="007E5A76"/>
    <w:rsid w:val="007E6B14"/>
    <w:rsid w:val="007F44B7"/>
    <w:rsid w:val="00847270"/>
    <w:rsid w:val="0089720D"/>
    <w:rsid w:val="008C4043"/>
    <w:rsid w:val="008C76DE"/>
    <w:rsid w:val="008D39D5"/>
    <w:rsid w:val="008E73A7"/>
    <w:rsid w:val="008F5C35"/>
    <w:rsid w:val="008F64A7"/>
    <w:rsid w:val="00934BC9"/>
    <w:rsid w:val="0095221E"/>
    <w:rsid w:val="00953704"/>
    <w:rsid w:val="00966850"/>
    <w:rsid w:val="00972EC6"/>
    <w:rsid w:val="00981C0F"/>
    <w:rsid w:val="009B0B51"/>
    <w:rsid w:val="009B3E86"/>
    <w:rsid w:val="009C37DF"/>
    <w:rsid w:val="009E59F0"/>
    <w:rsid w:val="009E61BB"/>
    <w:rsid w:val="00A118FC"/>
    <w:rsid w:val="00A37091"/>
    <w:rsid w:val="00A5167D"/>
    <w:rsid w:val="00A51A3D"/>
    <w:rsid w:val="00A85720"/>
    <w:rsid w:val="00A90011"/>
    <w:rsid w:val="00AB01E7"/>
    <w:rsid w:val="00AB173C"/>
    <w:rsid w:val="00AC6836"/>
    <w:rsid w:val="00AC7C91"/>
    <w:rsid w:val="00AD0B2B"/>
    <w:rsid w:val="00AD37C2"/>
    <w:rsid w:val="00AE163E"/>
    <w:rsid w:val="00AE3572"/>
    <w:rsid w:val="00AE5118"/>
    <w:rsid w:val="00AE7CA1"/>
    <w:rsid w:val="00AF36E9"/>
    <w:rsid w:val="00B00BDF"/>
    <w:rsid w:val="00B1050B"/>
    <w:rsid w:val="00B32E30"/>
    <w:rsid w:val="00B35055"/>
    <w:rsid w:val="00B36CE6"/>
    <w:rsid w:val="00B448C8"/>
    <w:rsid w:val="00B46A99"/>
    <w:rsid w:val="00B6479E"/>
    <w:rsid w:val="00B825A3"/>
    <w:rsid w:val="00B94D52"/>
    <w:rsid w:val="00BB1C8B"/>
    <w:rsid w:val="00BC721F"/>
    <w:rsid w:val="00BD28A2"/>
    <w:rsid w:val="00BD527D"/>
    <w:rsid w:val="00BF0A40"/>
    <w:rsid w:val="00C04DE2"/>
    <w:rsid w:val="00C07D05"/>
    <w:rsid w:val="00C11384"/>
    <w:rsid w:val="00C22F29"/>
    <w:rsid w:val="00C42744"/>
    <w:rsid w:val="00C52454"/>
    <w:rsid w:val="00C61398"/>
    <w:rsid w:val="00C64DE6"/>
    <w:rsid w:val="00C9061F"/>
    <w:rsid w:val="00CA6C89"/>
    <w:rsid w:val="00CB36B1"/>
    <w:rsid w:val="00CC4374"/>
    <w:rsid w:val="00CF2964"/>
    <w:rsid w:val="00CF6451"/>
    <w:rsid w:val="00D142F1"/>
    <w:rsid w:val="00D172DF"/>
    <w:rsid w:val="00D476EF"/>
    <w:rsid w:val="00D55977"/>
    <w:rsid w:val="00D6130A"/>
    <w:rsid w:val="00D620DE"/>
    <w:rsid w:val="00D64020"/>
    <w:rsid w:val="00D652BE"/>
    <w:rsid w:val="00D76721"/>
    <w:rsid w:val="00D963E8"/>
    <w:rsid w:val="00DB0E2F"/>
    <w:rsid w:val="00DC01D1"/>
    <w:rsid w:val="00DC118E"/>
    <w:rsid w:val="00DD3729"/>
    <w:rsid w:val="00DE25FC"/>
    <w:rsid w:val="00DE4DB1"/>
    <w:rsid w:val="00E03C89"/>
    <w:rsid w:val="00E158C4"/>
    <w:rsid w:val="00E32D0A"/>
    <w:rsid w:val="00E33F06"/>
    <w:rsid w:val="00E3618D"/>
    <w:rsid w:val="00E41666"/>
    <w:rsid w:val="00E63773"/>
    <w:rsid w:val="00E658BD"/>
    <w:rsid w:val="00E95449"/>
    <w:rsid w:val="00EA1392"/>
    <w:rsid w:val="00EB2838"/>
    <w:rsid w:val="00EF7919"/>
    <w:rsid w:val="00F14874"/>
    <w:rsid w:val="00F16D6C"/>
    <w:rsid w:val="00F5399F"/>
    <w:rsid w:val="00F74694"/>
    <w:rsid w:val="00F97565"/>
    <w:rsid w:val="00FC0570"/>
    <w:rsid w:val="00FF2BA8"/>
    <w:rsid w:val="02840105"/>
    <w:rsid w:val="02B47744"/>
    <w:rsid w:val="03837DF9"/>
    <w:rsid w:val="04BE4773"/>
    <w:rsid w:val="05EC5ACD"/>
    <w:rsid w:val="06FB428B"/>
    <w:rsid w:val="08BE563A"/>
    <w:rsid w:val="09110D35"/>
    <w:rsid w:val="09275CCF"/>
    <w:rsid w:val="0A5F6A31"/>
    <w:rsid w:val="0A7E3907"/>
    <w:rsid w:val="0B923B81"/>
    <w:rsid w:val="0E0E3FBC"/>
    <w:rsid w:val="0EDA02BA"/>
    <w:rsid w:val="10A407DA"/>
    <w:rsid w:val="11604015"/>
    <w:rsid w:val="12491B2F"/>
    <w:rsid w:val="15032CBF"/>
    <w:rsid w:val="15497EA4"/>
    <w:rsid w:val="1A693F78"/>
    <w:rsid w:val="1D3910A8"/>
    <w:rsid w:val="1E1E1D49"/>
    <w:rsid w:val="204B0F60"/>
    <w:rsid w:val="20856681"/>
    <w:rsid w:val="250C75A0"/>
    <w:rsid w:val="2544126C"/>
    <w:rsid w:val="255C36D1"/>
    <w:rsid w:val="257F198D"/>
    <w:rsid w:val="261C09B9"/>
    <w:rsid w:val="26224C65"/>
    <w:rsid w:val="2A1B2A3F"/>
    <w:rsid w:val="2AF072E1"/>
    <w:rsid w:val="2D232F60"/>
    <w:rsid w:val="2E267BB3"/>
    <w:rsid w:val="2E273290"/>
    <w:rsid w:val="2EF148C3"/>
    <w:rsid w:val="3079568D"/>
    <w:rsid w:val="312B0580"/>
    <w:rsid w:val="32DD3EAB"/>
    <w:rsid w:val="33A71D77"/>
    <w:rsid w:val="383D5240"/>
    <w:rsid w:val="39302645"/>
    <w:rsid w:val="39A87146"/>
    <w:rsid w:val="3E20211E"/>
    <w:rsid w:val="3F023E89"/>
    <w:rsid w:val="3FA86E8C"/>
    <w:rsid w:val="42287954"/>
    <w:rsid w:val="441643D5"/>
    <w:rsid w:val="474934F8"/>
    <w:rsid w:val="47515D12"/>
    <w:rsid w:val="475D0CFA"/>
    <w:rsid w:val="49F65BA9"/>
    <w:rsid w:val="4B4F1EDD"/>
    <w:rsid w:val="4D05056F"/>
    <w:rsid w:val="4EED325E"/>
    <w:rsid w:val="4F4C51AB"/>
    <w:rsid w:val="501748B5"/>
    <w:rsid w:val="548F4A4D"/>
    <w:rsid w:val="54F450E2"/>
    <w:rsid w:val="55864349"/>
    <w:rsid w:val="574952E9"/>
    <w:rsid w:val="59354617"/>
    <w:rsid w:val="5C5D5A52"/>
    <w:rsid w:val="5D1F205C"/>
    <w:rsid w:val="60440A62"/>
    <w:rsid w:val="612F4D51"/>
    <w:rsid w:val="616865D1"/>
    <w:rsid w:val="61936493"/>
    <w:rsid w:val="61C5075D"/>
    <w:rsid w:val="63D35BAD"/>
    <w:rsid w:val="64B57EDB"/>
    <w:rsid w:val="658479A5"/>
    <w:rsid w:val="65F3117E"/>
    <w:rsid w:val="66E75D97"/>
    <w:rsid w:val="67336BA2"/>
    <w:rsid w:val="67544773"/>
    <w:rsid w:val="69D0330A"/>
    <w:rsid w:val="6A3A03D2"/>
    <w:rsid w:val="6AB94B24"/>
    <w:rsid w:val="6CB96660"/>
    <w:rsid w:val="6CD94320"/>
    <w:rsid w:val="7022064F"/>
    <w:rsid w:val="71376636"/>
    <w:rsid w:val="72DF0608"/>
    <w:rsid w:val="72FF5DDE"/>
    <w:rsid w:val="74901766"/>
    <w:rsid w:val="76905212"/>
    <w:rsid w:val="770E72EF"/>
    <w:rsid w:val="77580A92"/>
    <w:rsid w:val="784842F5"/>
    <w:rsid w:val="7A147A51"/>
    <w:rsid w:val="7A7F3F94"/>
    <w:rsid w:val="7B4077E5"/>
    <w:rsid w:val="7C1F0CBB"/>
    <w:rsid w:val="7E231494"/>
    <w:rsid w:val="7ECB308C"/>
    <w:rsid w:val="7F26644B"/>
    <w:rsid w:val="7FBE048E"/>
    <w:rsid w:val="7FFFA4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footnote reference" w:semiHidden="0" w:uiPriority="0" w:unhideWhenUsed="0"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48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32648C"/>
    <w:rPr>
      <w:b/>
      <w:bCs/>
    </w:rPr>
  </w:style>
  <w:style w:type="paragraph" w:styleId="a4">
    <w:name w:val="annotation text"/>
    <w:basedOn w:val="a"/>
    <w:link w:val="Char0"/>
    <w:uiPriority w:val="99"/>
    <w:unhideWhenUsed/>
    <w:qFormat/>
    <w:rsid w:val="0032648C"/>
    <w:pPr>
      <w:jc w:val="left"/>
    </w:pPr>
  </w:style>
  <w:style w:type="paragraph" w:styleId="a5">
    <w:name w:val="Balloon Text"/>
    <w:basedOn w:val="a"/>
    <w:link w:val="Char1"/>
    <w:uiPriority w:val="99"/>
    <w:unhideWhenUsed/>
    <w:qFormat/>
    <w:rsid w:val="0032648C"/>
    <w:rPr>
      <w:sz w:val="18"/>
      <w:szCs w:val="18"/>
    </w:rPr>
  </w:style>
  <w:style w:type="paragraph" w:styleId="a6">
    <w:name w:val="footer"/>
    <w:basedOn w:val="a"/>
    <w:link w:val="Char2"/>
    <w:uiPriority w:val="99"/>
    <w:unhideWhenUsed/>
    <w:qFormat/>
    <w:rsid w:val="0032648C"/>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2648C"/>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qFormat/>
    <w:rsid w:val="0032648C"/>
    <w:pPr>
      <w:snapToGrid w:val="0"/>
      <w:jc w:val="left"/>
    </w:pPr>
    <w:rPr>
      <w:rFonts w:ascii="Times New Roman" w:eastAsia="宋体" w:hAnsi="Times New Roman" w:cs="Times New Roman"/>
      <w:sz w:val="18"/>
      <w:szCs w:val="20"/>
    </w:rPr>
  </w:style>
  <w:style w:type="character" w:styleId="a9">
    <w:name w:val="annotation reference"/>
    <w:basedOn w:val="a0"/>
    <w:uiPriority w:val="99"/>
    <w:unhideWhenUsed/>
    <w:qFormat/>
    <w:rsid w:val="0032648C"/>
    <w:rPr>
      <w:sz w:val="21"/>
      <w:szCs w:val="21"/>
    </w:rPr>
  </w:style>
  <w:style w:type="character" w:styleId="aa">
    <w:name w:val="footnote reference"/>
    <w:basedOn w:val="a0"/>
    <w:qFormat/>
    <w:rsid w:val="0032648C"/>
    <w:rPr>
      <w:vertAlign w:val="superscript"/>
    </w:rPr>
  </w:style>
  <w:style w:type="character" w:customStyle="1" w:styleId="Char3">
    <w:name w:val="页眉 Char"/>
    <w:basedOn w:val="a0"/>
    <w:link w:val="a7"/>
    <w:uiPriority w:val="99"/>
    <w:qFormat/>
    <w:locked/>
    <w:rsid w:val="0032648C"/>
    <w:rPr>
      <w:rFonts w:cs="Times New Roman"/>
      <w:sz w:val="18"/>
      <w:szCs w:val="18"/>
    </w:rPr>
  </w:style>
  <w:style w:type="character" w:customStyle="1" w:styleId="Char2">
    <w:name w:val="页脚 Char"/>
    <w:basedOn w:val="a0"/>
    <w:link w:val="a6"/>
    <w:uiPriority w:val="99"/>
    <w:qFormat/>
    <w:locked/>
    <w:rsid w:val="0032648C"/>
    <w:rPr>
      <w:rFonts w:cs="Times New Roman"/>
      <w:sz w:val="18"/>
      <w:szCs w:val="18"/>
    </w:rPr>
  </w:style>
  <w:style w:type="character" w:customStyle="1" w:styleId="Char1">
    <w:name w:val="批注框文本 Char"/>
    <w:basedOn w:val="a0"/>
    <w:link w:val="a5"/>
    <w:uiPriority w:val="99"/>
    <w:semiHidden/>
    <w:qFormat/>
    <w:rsid w:val="0032648C"/>
    <w:rPr>
      <w:rFonts w:cstheme="minorBidi"/>
      <w:sz w:val="18"/>
      <w:szCs w:val="18"/>
    </w:rPr>
  </w:style>
  <w:style w:type="character" w:customStyle="1" w:styleId="Char4">
    <w:name w:val="脚注文本 Char"/>
    <w:basedOn w:val="a0"/>
    <w:link w:val="a8"/>
    <w:qFormat/>
    <w:rsid w:val="0032648C"/>
    <w:rPr>
      <w:rFonts w:ascii="Times New Roman" w:eastAsia="宋体" w:hAnsi="Times New Roman"/>
      <w:sz w:val="18"/>
      <w:szCs w:val="20"/>
    </w:rPr>
  </w:style>
  <w:style w:type="paragraph" w:customStyle="1" w:styleId="CharCharCharCharCharChar1CharCharChar">
    <w:name w:val="Char Char Char Char Char Char1 Char Char Char"/>
    <w:basedOn w:val="a"/>
    <w:qFormat/>
    <w:rsid w:val="0032648C"/>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0">
    <w:name w:val="批注文字 Char"/>
    <w:basedOn w:val="a0"/>
    <w:link w:val="a4"/>
    <w:uiPriority w:val="99"/>
    <w:semiHidden/>
    <w:qFormat/>
    <w:rsid w:val="0032648C"/>
    <w:rPr>
      <w:rFonts w:cstheme="minorBidi"/>
      <w:kern w:val="2"/>
      <w:sz w:val="21"/>
      <w:szCs w:val="22"/>
    </w:rPr>
  </w:style>
  <w:style w:type="character" w:customStyle="1" w:styleId="Char">
    <w:name w:val="批注主题 Char"/>
    <w:basedOn w:val="Char0"/>
    <w:link w:val="a3"/>
    <w:uiPriority w:val="99"/>
    <w:semiHidden/>
    <w:qFormat/>
    <w:rsid w:val="0032648C"/>
    <w:rPr>
      <w:rFonts w:cstheme="minorBidi"/>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1948</Characters>
  <Application>Microsoft Office Word</Application>
  <DocSecurity>4</DocSecurity>
  <Lines>16</Lines>
  <Paragraphs>4</Paragraphs>
  <ScaleCrop>false</ScaleCrop>
  <Company>中加基金</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FastReport</dc:creator>
  <cp:lastModifiedBy>ZHONGM</cp:lastModifiedBy>
  <cp:revision>2</cp:revision>
  <cp:lastPrinted>2019-11-29T09:05:00Z</cp:lastPrinted>
  <dcterms:created xsi:type="dcterms:W3CDTF">2024-11-12T16:01:00Z</dcterms:created>
  <dcterms:modified xsi:type="dcterms:W3CDTF">2024-11-12T16:01:00Z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F21E83D9DC8F01C8170B9F62A08CB846</vt:lpwstr>
  </property>
</Properties>
</file>