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景顺长城基金管理有限公司关于旗下部分基金新增</w:t>
      </w:r>
      <w:r w:rsidR="00B344A6">
        <w:rPr>
          <w:rFonts w:ascii="Times New Roman" w:eastAsia="宋体" w:hAnsi="Times New Roman" w:cs="Times New Roman" w:hint="eastAsia"/>
          <w:b/>
          <w:bCs/>
          <w:color w:val="000000"/>
          <w:sz w:val="28"/>
          <w:szCs w:val="28"/>
        </w:rPr>
        <w:t>恒泰证券</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w:t>
      </w:r>
      <w:bookmarkStart w:id="0" w:name="_GoBack"/>
      <w:bookmarkEnd w:id="0"/>
      <w:r w:rsidRPr="008B2A21">
        <w:rPr>
          <w:rFonts w:ascii="宋体" w:eastAsia="宋体" w:hAnsi="宋体" w:cs="Calibri" w:hint="eastAsia"/>
          <w:kern w:val="0"/>
          <w:szCs w:val="21"/>
        </w:rPr>
        <w:t>长城基金管理有限公司（以下简称“本公司”）与</w:t>
      </w:r>
      <w:r w:rsidR="00B344A6">
        <w:rPr>
          <w:rFonts w:ascii="宋体" w:eastAsia="宋体" w:hAnsi="宋体" w:cs="Calibri" w:hint="eastAsia"/>
          <w:kern w:val="0"/>
          <w:szCs w:val="21"/>
        </w:rPr>
        <w:t>恒泰证券</w:t>
      </w:r>
      <w:r w:rsidR="007C4062">
        <w:rPr>
          <w:rFonts w:ascii="宋体" w:eastAsia="宋体" w:hAnsi="宋体" w:cs="Calibri" w:hint="eastAsia"/>
          <w:kern w:val="0"/>
          <w:szCs w:val="21"/>
        </w:rPr>
        <w:t>股份有限公司</w:t>
      </w:r>
      <w:r w:rsidRPr="008B2A21">
        <w:rPr>
          <w:rFonts w:ascii="宋体" w:eastAsia="宋体" w:hAnsi="宋体" w:cs="Calibri" w:hint="eastAsia"/>
          <w:kern w:val="0"/>
          <w:szCs w:val="21"/>
        </w:rPr>
        <w:t>（以下简称“</w:t>
      </w:r>
      <w:r w:rsidR="00B344A6">
        <w:rPr>
          <w:rFonts w:ascii="宋体" w:eastAsia="宋体" w:hAnsi="宋体" w:cs="Calibri" w:hint="eastAsia"/>
          <w:kern w:val="0"/>
          <w:szCs w:val="21"/>
        </w:rPr>
        <w:t>恒泰证券</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727B89">
        <w:rPr>
          <w:rFonts w:ascii="宋体" w:eastAsia="宋体" w:hAnsi="宋体" w:cs="Arial"/>
          <w:kern w:val="0"/>
          <w:szCs w:val="21"/>
        </w:rPr>
        <w:t>4</w:t>
      </w:r>
      <w:r w:rsidRPr="008B2A21">
        <w:rPr>
          <w:rFonts w:ascii="宋体" w:eastAsia="宋体" w:hAnsi="宋体" w:cs="Calibri" w:hint="eastAsia"/>
          <w:kern w:val="0"/>
          <w:szCs w:val="21"/>
        </w:rPr>
        <w:t>年</w:t>
      </w:r>
      <w:r w:rsidR="00E24F18">
        <w:rPr>
          <w:rFonts w:ascii="宋体" w:eastAsia="宋体" w:hAnsi="宋体" w:cs="Calibri"/>
          <w:kern w:val="0"/>
          <w:szCs w:val="21"/>
        </w:rPr>
        <w:t>11</w:t>
      </w:r>
      <w:r w:rsidRPr="008B2A21">
        <w:rPr>
          <w:rFonts w:ascii="宋体" w:eastAsia="宋体" w:hAnsi="宋体" w:cs="Calibri" w:hint="eastAsia"/>
          <w:kern w:val="0"/>
          <w:szCs w:val="21"/>
        </w:rPr>
        <w:t>月</w:t>
      </w:r>
      <w:r w:rsidR="00B344A6">
        <w:rPr>
          <w:rFonts w:ascii="宋体" w:eastAsia="宋体" w:hAnsi="宋体" w:cs="Calibri"/>
          <w:kern w:val="0"/>
          <w:szCs w:val="21"/>
        </w:rPr>
        <w:t>12</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B344A6">
        <w:rPr>
          <w:rFonts w:ascii="宋体" w:eastAsia="宋体" w:hAnsi="宋体" w:cs="Calibri" w:hint="eastAsia"/>
          <w:kern w:val="0"/>
          <w:szCs w:val="21"/>
        </w:rPr>
        <w:t>恒泰证券</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B344A6">
        <w:rPr>
          <w:rFonts w:ascii="宋体" w:eastAsia="宋体" w:hAnsi="宋体" w:cs="Calibri" w:hint="eastAsia"/>
          <w:kern w:val="0"/>
          <w:szCs w:val="21"/>
        </w:rPr>
        <w:t>恒泰证券</w:t>
      </w:r>
      <w:r w:rsidRPr="008B2A21">
        <w:rPr>
          <w:rFonts w:ascii="宋体" w:eastAsia="宋体" w:hAnsi="宋体" w:cs="Calibri" w:hint="eastAsia"/>
          <w:kern w:val="0"/>
          <w:szCs w:val="21"/>
        </w:rPr>
        <w:t>的规定为准。现将相关事项公告如下：</w:t>
      </w:r>
    </w:p>
    <w:p w:rsidR="00C21B09" w:rsidRPr="00CE3F13" w:rsidRDefault="00C21B09" w:rsidP="00CE3F13">
      <w:pPr>
        <w:pStyle w:val="ad"/>
        <w:widowControl/>
        <w:numPr>
          <w:ilvl w:val="0"/>
          <w:numId w:val="1"/>
        </w:numPr>
        <w:spacing w:line="360" w:lineRule="auto"/>
        <w:ind w:firstLineChars="0"/>
        <w:jc w:val="left"/>
        <w:rPr>
          <w:rFonts w:ascii="宋体" w:eastAsia="宋体" w:hAnsi="宋体" w:cs="Arial"/>
          <w:szCs w:val="21"/>
        </w:rPr>
      </w:pPr>
      <w:r w:rsidRPr="00CE3F13">
        <w:rPr>
          <w:rFonts w:ascii="宋体" w:eastAsia="宋体" w:hAnsi="宋体" w:cs="Arial" w:hint="eastAsia"/>
          <w:szCs w:val="21"/>
        </w:rPr>
        <w:t>适用基金及基金业务开通情况</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088"/>
        <w:gridCol w:w="1157"/>
        <w:gridCol w:w="1134"/>
        <w:gridCol w:w="1417"/>
      </w:tblGrid>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b/>
                <w:color w:val="000000"/>
                <w:kern w:val="0"/>
                <w:szCs w:val="21"/>
              </w:rPr>
            </w:pPr>
            <w:r w:rsidRPr="00777F6F">
              <w:rPr>
                <w:rFonts w:ascii="宋体" w:eastAsia="宋体" w:hAnsi="宋体" w:cs="宋体" w:hint="eastAsia"/>
                <w:b/>
                <w:color w:val="000000"/>
                <w:kern w:val="0"/>
                <w:szCs w:val="21"/>
              </w:rPr>
              <w:t>基金代码</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b/>
                <w:color w:val="000000"/>
                <w:kern w:val="0"/>
                <w:szCs w:val="21"/>
              </w:rPr>
            </w:pPr>
            <w:r w:rsidRPr="00777F6F">
              <w:rPr>
                <w:rFonts w:ascii="宋体" w:eastAsia="宋体" w:hAnsi="宋体" w:cs="宋体" w:hint="eastAsia"/>
                <w:b/>
                <w:color w:val="000000"/>
                <w:kern w:val="0"/>
                <w:szCs w:val="21"/>
              </w:rPr>
              <w:t>基金名称</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b/>
                <w:color w:val="000000"/>
                <w:kern w:val="0"/>
                <w:szCs w:val="21"/>
              </w:rPr>
            </w:pPr>
            <w:r w:rsidRPr="00777F6F">
              <w:rPr>
                <w:rFonts w:ascii="宋体" w:eastAsia="宋体" w:hAnsi="宋体" w:cs="宋体" w:hint="eastAsia"/>
                <w:b/>
                <w:color w:val="000000"/>
                <w:kern w:val="0"/>
                <w:szCs w:val="21"/>
              </w:rPr>
              <w:t>是否开通定投业务</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b/>
                <w:color w:val="000000"/>
                <w:kern w:val="0"/>
                <w:szCs w:val="21"/>
              </w:rPr>
            </w:pPr>
            <w:r w:rsidRPr="00777F6F">
              <w:rPr>
                <w:rFonts w:ascii="宋体" w:eastAsia="宋体" w:hAnsi="宋体" w:cs="宋体" w:hint="eastAsia"/>
                <w:b/>
                <w:color w:val="000000"/>
                <w:kern w:val="0"/>
                <w:szCs w:val="21"/>
              </w:rPr>
              <w:t>是否开通转换业务</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b/>
                <w:color w:val="000000"/>
                <w:kern w:val="0"/>
                <w:szCs w:val="21"/>
              </w:rPr>
            </w:pPr>
            <w:r w:rsidRPr="00777F6F">
              <w:rPr>
                <w:rFonts w:ascii="宋体" w:eastAsia="宋体" w:hAnsi="宋体" w:cs="宋体" w:hint="eastAsia"/>
                <w:b/>
                <w:color w:val="000000"/>
                <w:kern w:val="0"/>
                <w:szCs w:val="21"/>
              </w:rPr>
              <w:t>是否参加销售机构申购（含定期定额申购）费率优惠</w:t>
            </w:r>
          </w:p>
        </w:tc>
      </w:tr>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000688</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景顺长城研究精选股票型证券投资基金A</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是</w:t>
            </w:r>
          </w:p>
        </w:tc>
      </w:tr>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003318</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景顺长城中证500行业中性低波动指数型证券投资基金A</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是</w:t>
            </w:r>
          </w:p>
        </w:tc>
      </w:tr>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000252</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景顺长城景兴信用纯债债券型证券投资基金A</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是</w:t>
            </w:r>
          </w:p>
        </w:tc>
      </w:tr>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008409</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景顺长城景泰裕利纯债债券型证券投资基金A</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不开通</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是</w:t>
            </w:r>
          </w:p>
        </w:tc>
      </w:tr>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000181</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景顺长城四季金利债券型证券投资基金A</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是</w:t>
            </w:r>
          </w:p>
        </w:tc>
      </w:tr>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010211</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景顺长城顺鑫回报混合型证券投资基金A</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不开通</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是</w:t>
            </w:r>
          </w:p>
        </w:tc>
      </w:tr>
      <w:tr w:rsidR="00777F6F" w:rsidRPr="00777F6F" w:rsidTr="00777F6F">
        <w:trPr>
          <w:trHeight w:val="290"/>
        </w:trPr>
        <w:tc>
          <w:tcPr>
            <w:tcW w:w="846"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021313</w:t>
            </w:r>
          </w:p>
        </w:tc>
        <w:tc>
          <w:tcPr>
            <w:tcW w:w="4088"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景顺长城沪港深精选股票型证券投资基金C</w:t>
            </w:r>
          </w:p>
        </w:tc>
        <w:tc>
          <w:tcPr>
            <w:tcW w:w="115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134"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开通</w:t>
            </w:r>
          </w:p>
        </w:tc>
        <w:tc>
          <w:tcPr>
            <w:tcW w:w="1417" w:type="dxa"/>
            <w:shd w:val="clear" w:color="auto" w:fill="auto"/>
            <w:noWrap/>
            <w:vAlign w:val="center"/>
            <w:hideMark/>
          </w:tcPr>
          <w:p w:rsidR="00777F6F" w:rsidRPr="00777F6F" w:rsidRDefault="00777F6F" w:rsidP="00777F6F">
            <w:pPr>
              <w:widowControl/>
              <w:jc w:val="left"/>
              <w:rPr>
                <w:rFonts w:ascii="宋体" w:eastAsia="宋体" w:hAnsi="宋体" w:cs="宋体"/>
                <w:color w:val="000000"/>
                <w:kern w:val="0"/>
                <w:szCs w:val="21"/>
              </w:rPr>
            </w:pPr>
            <w:r w:rsidRPr="00777F6F">
              <w:rPr>
                <w:rFonts w:ascii="宋体" w:eastAsia="宋体" w:hAnsi="宋体" w:cs="宋体" w:hint="eastAsia"/>
                <w:color w:val="000000"/>
                <w:kern w:val="0"/>
                <w:szCs w:val="21"/>
              </w:rPr>
              <w:t>不适用</w:t>
            </w:r>
          </w:p>
        </w:tc>
      </w:tr>
    </w:tbl>
    <w:p w:rsidR="00C21B09" w:rsidRPr="00275D88" w:rsidRDefault="00C21B09" w:rsidP="005F6692">
      <w:pPr>
        <w:widowControl/>
        <w:spacing w:line="360" w:lineRule="auto"/>
        <w:ind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B344A6">
        <w:rPr>
          <w:rFonts w:ascii="宋体" w:eastAsia="宋体" w:hAnsi="宋体" w:cs="Arial" w:hint="eastAsia"/>
          <w:color w:val="000000"/>
          <w:kern w:val="0"/>
          <w:szCs w:val="21"/>
        </w:rPr>
        <w:t>恒泰证券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117A40"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8038EA"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B344A6">
        <w:rPr>
          <w:rFonts w:ascii="宋体" w:eastAsia="宋体" w:hAnsi="宋体" w:cs="Arial" w:hint="eastAsia"/>
          <w:color w:val="000000"/>
          <w:kern w:val="0"/>
          <w:szCs w:val="21"/>
        </w:rPr>
        <w:t>恒泰证券</w:t>
      </w:r>
      <w:r w:rsidR="007C4062">
        <w:rPr>
          <w:rFonts w:ascii="宋体" w:eastAsia="宋体" w:hAnsi="宋体" w:cs="Arial" w:hint="eastAsia"/>
          <w:color w:val="000000"/>
          <w:kern w:val="0"/>
          <w:szCs w:val="21"/>
        </w:rPr>
        <w:t>股份有限公司</w:t>
      </w:r>
    </w:p>
    <w:p w:rsidR="004467C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kern w:val="0"/>
          <w:szCs w:val="21"/>
        </w:rPr>
        <w:t>注册地址：内蒙古呼和浩特市新城区海拉尔东街满世尚都办公商业综合楼</w:t>
      </w:r>
    </w:p>
    <w:p w:rsidR="004467C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t>办公地址：内蒙古呼和浩特市新城区海拉尔东街满世尚都办公商业综合楼</w:t>
      </w:r>
    </w:p>
    <w:p w:rsidR="004467C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t>法定代表人：祝艳辉</w:t>
      </w:r>
    </w:p>
    <w:p w:rsidR="004467C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t>联系人：熊丽</w:t>
      </w:r>
    </w:p>
    <w:p w:rsidR="004467C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lastRenderedPageBreak/>
        <w:t>电话：</w:t>
      </w:r>
      <w:r w:rsidRPr="004467C9">
        <w:rPr>
          <w:rFonts w:ascii="宋体" w:eastAsia="宋体" w:hAnsi="宋体" w:cs="Arial"/>
          <w:kern w:val="0"/>
          <w:szCs w:val="21"/>
        </w:rPr>
        <w:t>0471-4972675</w:t>
      </w:r>
    </w:p>
    <w:p w:rsidR="004467C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t>客户服务电话：</w:t>
      </w:r>
      <w:r w:rsidRPr="004467C9">
        <w:rPr>
          <w:rFonts w:ascii="宋体" w:eastAsia="宋体" w:hAnsi="宋体" w:cs="Arial"/>
          <w:kern w:val="0"/>
          <w:szCs w:val="21"/>
        </w:rPr>
        <w:t>956088</w:t>
      </w:r>
    </w:p>
    <w:p w:rsidR="003E47FA"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t>网址：</w:t>
      </w:r>
      <w:r>
        <w:rPr>
          <w:rFonts w:ascii="宋体" w:eastAsia="宋体" w:hAnsi="宋体" w:cs="Arial"/>
          <w:kern w:val="0"/>
          <w:szCs w:val="21"/>
        </w:rPr>
        <w:t>www.cnht.com.cn</w:t>
      </w:r>
    </w:p>
    <w:p w:rsidR="00CE3F13" w:rsidRDefault="00CE3F13" w:rsidP="00CE3F13">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w:t>
      </w:r>
      <w:r w:rsidR="00B41EA6" w:rsidRPr="00B41EA6">
        <w:rPr>
          <w:rFonts w:ascii="宋体" w:eastAsia="宋体" w:hAnsi="宋体" w:cs="Arial"/>
          <w:kern w:val="0"/>
          <w:szCs w:val="21"/>
        </w:rPr>
        <w:t>400-820-2899</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B344A6">
        <w:rPr>
          <w:rFonts w:ascii="宋体" w:eastAsia="宋体" w:hAnsi="宋体" w:cs="Arial" w:hint="eastAsia"/>
          <w:color w:val="000000"/>
          <w:kern w:val="0"/>
          <w:szCs w:val="21"/>
        </w:rPr>
        <w:t>恒泰证券</w:t>
      </w:r>
      <w:r w:rsidR="007C4062">
        <w:rPr>
          <w:rFonts w:ascii="宋体" w:eastAsia="宋体" w:hAnsi="宋体" w:cs="Arial" w:hint="eastAsia"/>
          <w:color w:val="000000"/>
          <w:kern w:val="0"/>
          <w:szCs w:val="21"/>
        </w:rPr>
        <w:t>股份有限公司</w:t>
      </w:r>
    </w:p>
    <w:p w:rsidR="004467C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t>客户服务电话：</w:t>
      </w:r>
      <w:r w:rsidRPr="004467C9">
        <w:rPr>
          <w:rFonts w:ascii="宋体" w:eastAsia="宋体" w:hAnsi="宋体" w:cs="Arial"/>
          <w:kern w:val="0"/>
          <w:szCs w:val="21"/>
        </w:rPr>
        <w:t>956088</w:t>
      </w:r>
    </w:p>
    <w:p w:rsidR="00712C09" w:rsidRPr="004467C9" w:rsidRDefault="004467C9" w:rsidP="004467C9">
      <w:pPr>
        <w:widowControl/>
        <w:spacing w:line="360" w:lineRule="auto"/>
        <w:ind w:firstLineChars="200" w:firstLine="420"/>
        <w:jc w:val="left"/>
        <w:rPr>
          <w:rFonts w:ascii="宋体" w:eastAsia="宋体" w:hAnsi="宋体" w:cs="Arial"/>
          <w:kern w:val="0"/>
          <w:szCs w:val="21"/>
        </w:rPr>
      </w:pPr>
      <w:r w:rsidRPr="004467C9">
        <w:rPr>
          <w:rFonts w:ascii="宋体" w:eastAsia="宋体" w:hAnsi="宋体" w:cs="Arial" w:hint="eastAsia"/>
          <w:kern w:val="0"/>
          <w:szCs w:val="21"/>
        </w:rPr>
        <w:t>网址：</w:t>
      </w:r>
      <w:r>
        <w:rPr>
          <w:rFonts w:ascii="宋体" w:eastAsia="宋体" w:hAnsi="宋体" w:cs="Arial"/>
          <w:kern w:val="0"/>
          <w:szCs w:val="21"/>
        </w:rPr>
        <w:t>www.cnht.com.cn</w:t>
      </w:r>
    </w:p>
    <w:p w:rsidR="00CE3F13" w:rsidRPr="00712C09" w:rsidRDefault="00CE3F13" w:rsidP="00CE3F13">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9C4ECF" w:rsidRPr="006A34C3" w:rsidRDefault="00C21B09" w:rsidP="006A34C3">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459F1" w:rsidRPr="008459F1">
        <w:rPr>
          <w:rFonts w:ascii="宋体" w:eastAsia="宋体" w:hAnsi="宋体" w:cs="Arial" w:hint="eastAsia"/>
          <w:kern w:val="0"/>
          <w:szCs w:val="21"/>
        </w:rPr>
        <w:t>〇二</w:t>
      </w:r>
      <w:r w:rsidR="00727B89">
        <w:rPr>
          <w:rFonts w:ascii="宋体" w:eastAsia="宋体" w:hAnsi="宋体" w:cs="Arial" w:hint="eastAsia"/>
          <w:kern w:val="0"/>
          <w:szCs w:val="21"/>
        </w:rPr>
        <w:t>四</w:t>
      </w:r>
      <w:r w:rsidRPr="00275D88">
        <w:rPr>
          <w:rFonts w:ascii="宋体" w:eastAsia="宋体" w:hAnsi="宋体" w:cs="Arial"/>
          <w:kern w:val="0"/>
          <w:szCs w:val="21"/>
        </w:rPr>
        <w:t>年</w:t>
      </w:r>
      <w:r w:rsidR="00117A40">
        <w:rPr>
          <w:rFonts w:ascii="宋体" w:eastAsia="宋体" w:hAnsi="宋体" w:cs="Arial" w:hint="eastAsia"/>
          <w:kern w:val="0"/>
          <w:szCs w:val="21"/>
        </w:rPr>
        <w:t>十一</w:t>
      </w:r>
      <w:r w:rsidRPr="00275D88">
        <w:rPr>
          <w:rFonts w:ascii="宋体" w:eastAsia="宋体" w:hAnsi="宋体" w:cs="Arial"/>
          <w:kern w:val="0"/>
          <w:szCs w:val="21"/>
        </w:rPr>
        <w:t>月</w:t>
      </w:r>
      <w:r w:rsidR="004467C9">
        <w:rPr>
          <w:rFonts w:ascii="宋体" w:eastAsia="宋体" w:hAnsi="宋体" w:cs="Arial" w:hint="eastAsia"/>
          <w:kern w:val="0"/>
          <w:szCs w:val="21"/>
        </w:rPr>
        <w:t>十二</w:t>
      </w:r>
      <w:r w:rsidRPr="00275D88">
        <w:rPr>
          <w:rFonts w:ascii="宋体" w:eastAsia="宋体" w:hAnsi="宋体" w:cs="Arial"/>
          <w:kern w:val="0"/>
          <w:szCs w:val="21"/>
        </w:rPr>
        <w:t>日</w:t>
      </w:r>
    </w:p>
    <w:sectPr w:rsidR="009C4ECF" w:rsidRPr="006A34C3" w:rsidSect="00777F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7C" w:rsidRDefault="0062157C" w:rsidP="00484A24">
      <w:r>
        <w:separator/>
      </w:r>
    </w:p>
  </w:endnote>
  <w:endnote w:type="continuationSeparator" w:id="0">
    <w:p w:rsidR="0062157C" w:rsidRDefault="0062157C" w:rsidP="0048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7C" w:rsidRDefault="0062157C" w:rsidP="00484A24">
      <w:r>
        <w:separator/>
      </w:r>
    </w:p>
  </w:footnote>
  <w:footnote w:type="continuationSeparator" w:id="0">
    <w:p w:rsidR="0062157C" w:rsidRDefault="0062157C" w:rsidP="00484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hybridMultilevel"/>
    <w:tmpl w:val="6B1EDBCA"/>
    <w:lvl w:ilvl="0" w:tplc="280493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225E0"/>
    <w:rsid w:val="0003314C"/>
    <w:rsid w:val="0004572D"/>
    <w:rsid w:val="00087DB9"/>
    <w:rsid w:val="000B3594"/>
    <w:rsid w:val="000F1CDE"/>
    <w:rsid w:val="00117A40"/>
    <w:rsid w:val="00134C88"/>
    <w:rsid w:val="00143949"/>
    <w:rsid w:val="00157004"/>
    <w:rsid w:val="00160087"/>
    <w:rsid w:val="00163206"/>
    <w:rsid w:val="00174F83"/>
    <w:rsid w:val="001A0967"/>
    <w:rsid w:val="001A1770"/>
    <w:rsid w:val="001B7F12"/>
    <w:rsid w:val="001E4548"/>
    <w:rsid w:val="00200C90"/>
    <w:rsid w:val="002166DC"/>
    <w:rsid w:val="00216991"/>
    <w:rsid w:val="00220BAF"/>
    <w:rsid w:val="002378DC"/>
    <w:rsid w:val="00275D88"/>
    <w:rsid w:val="002774F4"/>
    <w:rsid w:val="002822A9"/>
    <w:rsid w:val="002C4589"/>
    <w:rsid w:val="002C6047"/>
    <w:rsid w:val="002D2EE5"/>
    <w:rsid w:val="0035309D"/>
    <w:rsid w:val="003A2FB3"/>
    <w:rsid w:val="003E16A6"/>
    <w:rsid w:val="003E47FA"/>
    <w:rsid w:val="00403445"/>
    <w:rsid w:val="004467C9"/>
    <w:rsid w:val="00484A24"/>
    <w:rsid w:val="00484F16"/>
    <w:rsid w:val="00496EB4"/>
    <w:rsid w:val="004B6310"/>
    <w:rsid w:val="0050197F"/>
    <w:rsid w:val="0050764C"/>
    <w:rsid w:val="005143B9"/>
    <w:rsid w:val="00527A9B"/>
    <w:rsid w:val="0053504F"/>
    <w:rsid w:val="00547C38"/>
    <w:rsid w:val="00561FF4"/>
    <w:rsid w:val="00566D4E"/>
    <w:rsid w:val="005E6624"/>
    <w:rsid w:val="005F6692"/>
    <w:rsid w:val="00603B86"/>
    <w:rsid w:val="0062157C"/>
    <w:rsid w:val="006801C5"/>
    <w:rsid w:val="006802E0"/>
    <w:rsid w:val="006A3043"/>
    <w:rsid w:val="006A34C3"/>
    <w:rsid w:val="006E6DD9"/>
    <w:rsid w:val="006E7DB0"/>
    <w:rsid w:val="00707F2F"/>
    <w:rsid w:val="00712C09"/>
    <w:rsid w:val="00727B89"/>
    <w:rsid w:val="00760976"/>
    <w:rsid w:val="00766C09"/>
    <w:rsid w:val="00777F6F"/>
    <w:rsid w:val="007953C7"/>
    <w:rsid w:val="007C4062"/>
    <w:rsid w:val="007E5331"/>
    <w:rsid w:val="008038EA"/>
    <w:rsid w:val="008152BF"/>
    <w:rsid w:val="00831635"/>
    <w:rsid w:val="008458E8"/>
    <w:rsid w:val="008459F1"/>
    <w:rsid w:val="008552FD"/>
    <w:rsid w:val="008611C4"/>
    <w:rsid w:val="00862005"/>
    <w:rsid w:val="008B2A21"/>
    <w:rsid w:val="008C7626"/>
    <w:rsid w:val="008F1D54"/>
    <w:rsid w:val="0090671C"/>
    <w:rsid w:val="0092755E"/>
    <w:rsid w:val="00942F2E"/>
    <w:rsid w:val="0095522C"/>
    <w:rsid w:val="00981D3D"/>
    <w:rsid w:val="0098563E"/>
    <w:rsid w:val="00990913"/>
    <w:rsid w:val="009C4ECF"/>
    <w:rsid w:val="009C6B57"/>
    <w:rsid w:val="009D7868"/>
    <w:rsid w:val="009E29FC"/>
    <w:rsid w:val="00A11CD2"/>
    <w:rsid w:val="00A6218D"/>
    <w:rsid w:val="00A625A8"/>
    <w:rsid w:val="00A71C46"/>
    <w:rsid w:val="00A779BC"/>
    <w:rsid w:val="00AA2123"/>
    <w:rsid w:val="00AD4B0E"/>
    <w:rsid w:val="00AF3C54"/>
    <w:rsid w:val="00B06DBD"/>
    <w:rsid w:val="00B22BB0"/>
    <w:rsid w:val="00B33273"/>
    <w:rsid w:val="00B344A6"/>
    <w:rsid w:val="00B41EA6"/>
    <w:rsid w:val="00B4510C"/>
    <w:rsid w:val="00B679B0"/>
    <w:rsid w:val="00B94043"/>
    <w:rsid w:val="00BB4F20"/>
    <w:rsid w:val="00BC7C2E"/>
    <w:rsid w:val="00BE72B1"/>
    <w:rsid w:val="00C05856"/>
    <w:rsid w:val="00C21B09"/>
    <w:rsid w:val="00C64448"/>
    <w:rsid w:val="00C846EE"/>
    <w:rsid w:val="00CA368A"/>
    <w:rsid w:val="00CB0941"/>
    <w:rsid w:val="00CB7407"/>
    <w:rsid w:val="00CD3D64"/>
    <w:rsid w:val="00CE3F13"/>
    <w:rsid w:val="00D404C2"/>
    <w:rsid w:val="00DB7EF5"/>
    <w:rsid w:val="00E24F18"/>
    <w:rsid w:val="00E45CB2"/>
    <w:rsid w:val="00E65EA7"/>
    <w:rsid w:val="00E74E5E"/>
    <w:rsid w:val="00E758CB"/>
    <w:rsid w:val="00E87CF1"/>
    <w:rsid w:val="00ED22A4"/>
    <w:rsid w:val="00F856F4"/>
    <w:rsid w:val="00FA1AEA"/>
    <w:rsid w:val="00FC0388"/>
    <w:rsid w:val="00FF3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table" w:styleId="ac">
    <w:name w:val="Table Grid"/>
    <w:basedOn w:val="a1"/>
    <w:uiPriority w:val="39"/>
    <w:rsid w:val="003E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E3F13"/>
    <w:pPr>
      <w:ind w:firstLineChars="200" w:firstLine="420"/>
    </w:pPr>
  </w:style>
</w:styles>
</file>

<file path=word/webSettings.xml><?xml version="1.0" encoding="utf-8"?>
<w:webSettings xmlns:r="http://schemas.openxmlformats.org/officeDocument/2006/relationships" xmlns:w="http://schemas.openxmlformats.org/wordprocessingml/2006/main">
  <w:divs>
    <w:div w:id="96754552">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18371056">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27868575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487987359">
      <w:bodyDiv w:val="1"/>
      <w:marLeft w:val="0"/>
      <w:marRight w:val="0"/>
      <w:marTop w:val="0"/>
      <w:marBottom w:val="0"/>
      <w:divBdr>
        <w:top w:val="none" w:sz="0" w:space="0" w:color="auto"/>
        <w:left w:val="none" w:sz="0" w:space="0" w:color="auto"/>
        <w:bottom w:val="none" w:sz="0" w:space="0" w:color="auto"/>
        <w:right w:val="none" w:sz="0" w:space="0" w:color="auto"/>
      </w:divBdr>
    </w:div>
    <w:div w:id="527913703">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28051558">
      <w:bodyDiv w:val="1"/>
      <w:marLeft w:val="0"/>
      <w:marRight w:val="0"/>
      <w:marTop w:val="0"/>
      <w:marBottom w:val="0"/>
      <w:divBdr>
        <w:top w:val="none" w:sz="0" w:space="0" w:color="auto"/>
        <w:left w:val="none" w:sz="0" w:space="0" w:color="auto"/>
        <w:bottom w:val="none" w:sz="0" w:space="0" w:color="auto"/>
        <w:right w:val="none" w:sz="0" w:space="0" w:color="auto"/>
      </w:divBdr>
    </w:div>
    <w:div w:id="651910253">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12075273">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54536265">
      <w:bodyDiv w:val="1"/>
      <w:marLeft w:val="0"/>
      <w:marRight w:val="0"/>
      <w:marTop w:val="0"/>
      <w:marBottom w:val="0"/>
      <w:divBdr>
        <w:top w:val="none" w:sz="0" w:space="0" w:color="auto"/>
        <w:left w:val="none" w:sz="0" w:space="0" w:color="auto"/>
        <w:bottom w:val="none" w:sz="0" w:space="0" w:color="auto"/>
        <w:right w:val="none" w:sz="0" w:space="0" w:color="auto"/>
      </w:divBdr>
    </w:div>
    <w:div w:id="855776430">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
    <w:div w:id="1184396855">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09747571">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61800918">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57905310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04863254">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2198428">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3682522">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C8440-6CE5-4ECF-B2F1-74828197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1503</Characters>
  <Application>Microsoft Office Word</Application>
  <DocSecurity>4</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2024-11-11T16:01:00Z</dcterms:created>
  <dcterms:modified xsi:type="dcterms:W3CDTF">2024-11-11T16:01:00Z</dcterms:modified>
</cp:coreProperties>
</file>