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jc w:val="center"/>
        <w:rPr>
          <w:rFonts w:ascii="宋体" w:hAnsi="宋体" w:hint="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关于华富强化回报债券型证券投资基金暂停大额申购、定投及转换转入业务的公告</w:t>
      </w:r>
    </w:p>
    <w:p w:rsidR="00E65515" w:rsidRDefault="00E65515">
      <w:pPr>
        <w:jc w:val="center"/>
        <w:rPr>
          <w:rFonts w:ascii="宋体" w:hAnsi="宋体" w:hint="eastAsia"/>
          <w:sz w:val="30"/>
        </w:rPr>
      </w:pPr>
    </w:p>
    <w:p w:rsidR="00E65515" w:rsidRDefault="00E65515">
      <w:pPr>
        <w:jc w:val="center"/>
        <w:rPr>
          <w:rFonts w:ascii="宋体" w:hAnsi="宋体" w:hint="eastAsia"/>
          <w:sz w:val="30"/>
        </w:rPr>
      </w:pPr>
    </w:p>
    <w:p w:rsidR="00E65515" w:rsidRDefault="00E65515">
      <w:pPr>
        <w:jc w:val="center"/>
        <w:rPr>
          <w:rFonts w:ascii="宋体" w:hAnsi="宋体" w:hint="eastAsia"/>
          <w:sz w:val="30"/>
        </w:rPr>
      </w:pPr>
    </w:p>
    <w:p w:rsidR="00E65515" w:rsidRDefault="00E65515">
      <w:pPr>
        <w:jc w:val="center"/>
        <w:rPr>
          <w:rFonts w:ascii="宋体" w:hAnsi="宋体" w:hint="eastAsia"/>
          <w:sz w:val="30"/>
        </w:rPr>
      </w:pPr>
    </w:p>
    <w:p w:rsidR="00E65515" w:rsidRDefault="00E65515">
      <w:pPr>
        <w:jc w:val="center"/>
        <w:rPr>
          <w:rFonts w:ascii="宋体" w:hAnsi="宋体" w:hint="eastAsia"/>
          <w:sz w:val="30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ind w:left="2100" w:firstLine="42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>
        <w:rPr>
          <w:rFonts w:ascii="宋体" w:hAnsi="宋体" w:hint="eastAsia"/>
          <w:b/>
          <w:sz w:val="28"/>
          <w:szCs w:val="28"/>
        </w:rPr>
        <w:t>2024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11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12</w:t>
      </w:r>
      <w:r>
        <w:rPr>
          <w:rFonts w:ascii="宋体" w:hAnsi="宋体"/>
          <w:b/>
          <w:sz w:val="28"/>
          <w:szCs w:val="28"/>
        </w:rPr>
        <w:t>日</w:t>
      </w: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rPr>
          <w:rFonts w:hint="eastAsia"/>
          <w:sz w:val="24"/>
        </w:rPr>
      </w:pPr>
    </w:p>
    <w:p w:rsidR="00E65515" w:rsidRDefault="00E65515">
      <w:pPr>
        <w:pStyle w:val="2"/>
        <w:numPr>
          <w:ilvl w:val="0"/>
          <w:numId w:val="1"/>
        </w:numPr>
        <w:rPr>
          <w:rFonts w:ascii="宋体" w:eastAsia="宋体" w:hAnsi="宋体" w:hint="eastAsia"/>
          <w:sz w:val="24"/>
        </w:rPr>
      </w:pPr>
      <w:bookmarkStart w:id="3" w:name="m01"/>
      <w:r>
        <w:rPr>
          <w:rFonts w:ascii="宋体" w:eastAsia="宋体" w:hAnsi="宋体" w:hint="eastAsia"/>
          <w:sz w:val="24"/>
        </w:rPr>
        <w:lastRenderedPageBreak/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556"/>
        <w:gridCol w:w="4284"/>
      </w:tblGrid>
      <w:tr w:rsidR="00E65515">
        <w:tc>
          <w:tcPr>
            <w:tcW w:w="4536" w:type="dxa"/>
            <w:gridSpan w:val="2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4" w:name="m01_tab"/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284" w:type="dxa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5" w:name="t_3_1_1_0009_a1_fm1"/>
            <w:bookmarkEnd w:id="5"/>
            <w:r>
              <w:rPr>
                <w:rFonts w:ascii="宋体" w:hAnsi="宋体" w:hint="eastAsia"/>
                <w:szCs w:val="21"/>
              </w:rPr>
              <w:t>华富强化回报债券型证券投资基金</w:t>
            </w:r>
          </w:p>
        </w:tc>
      </w:tr>
      <w:tr w:rsidR="00E65515">
        <w:tc>
          <w:tcPr>
            <w:tcW w:w="4536" w:type="dxa"/>
            <w:gridSpan w:val="2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284" w:type="dxa"/>
          </w:tcPr>
          <w:p w:rsidR="00E65515" w:rsidRDefault="00E65515">
            <w:pPr>
              <w:rPr>
                <w:rFonts w:ascii="宋体" w:hAnsi="宋体"/>
                <w:szCs w:val="21"/>
              </w:rPr>
            </w:pPr>
            <w:bookmarkStart w:id="6" w:name="t_3_1_1_0011_a1_fm1"/>
            <w:bookmarkEnd w:id="6"/>
            <w:r>
              <w:rPr>
                <w:rFonts w:ascii="宋体" w:hAnsi="宋体" w:hint="eastAsia"/>
                <w:szCs w:val="21"/>
              </w:rPr>
              <w:t>华富强化回报债券</w:t>
            </w:r>
          </w:p>
        </w:tc>
      </w:tr>
      <w:tr w:rsidR="00E65515">
        <w:tc>
          <w:tcPr>
            <w:tcW w:w="4536" w:type="dxa"/>
            <w:gridSpan w:val="2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284" w:type="dxa"/>
          </w:tcPr>
          <w:p w:rsidR="00E65515" w:rsidRDefault="00E65515">
            <w:pPr>
              <w:rPr>
                <w:rFonts w:ascii="宋体" w:hAnsi="宋体"/>
                <w:szCs w:val="21"/>
              </w:rPr>
            </w:pPr>
            <w:bookmarkStart w:id="7" w:name="t_1_1_0012_a1_fm1"/>
            <w:bookmarkEnd w:id="7"/>
            <w:r>
              <w:rPr>
                <w:rFonts w:ascii="宋体" w:hAnsi="宋体" w:hint="eastAsia"/>
                <w:szCs w:val="21"/>
              </w:rPr>
              <w:t>164105</w:t>
            </w:r>
          </w:p>
        </w:tc>
      </w:tr>
      <w:tr w:rsidR="00E65515">
        <w:tc>
          <w:tcPr>
            <w:tcW w:w="4536" w:type="dxa"/>
            <w:gridSpan w:val="2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284" w:type="dxa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8" w:name="t_3_1_1_0186_a1_fm1"/>
            <w:bookmarkEnd w:id="8"/>
            <w:r>
              <w:rPr>
                <w:rFonts w:ascii="宋体" w:hAnsi="宋体" w:hint="eastAsia"/>
                <w:szCs w:val="21"/>
              </w:rPr>
              <w:t>华富基金管理有限公司</w:t>
            </w:r>
          </w:p>
        </w:tc>
      </w:tr>
      <w:tr w:rsidR="00E65515">
        <w:tc>
          <w:tcPr>
            <w:tcW w:w="4536" w:type="dxa"/>
            <w:gridSpan w:val="2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284" w:type="dxa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9" w:name="t_3_1_1_2631_a1_fm1"/>
            <w:bookmarkEnd w:id="9"/>
            <w:r>
              <w:rPr>
                <w:rFonts w:ascii="宋体" w:hAnsi="宋体" w:hint="eastAsia"/>
                <w:szCs w:val="21"/>
              </w:rPr>
              <w:t>根据《中华人民共和国证券投资基金法》、《公开募集证券投资基金运作管理办法》、《</w:t>
            </w:r>
            <w:r>
              <w:rPr>
                <w:rFonts w:ascii="宋体" w:hAnsi="宋体"/>
                <w:szCs w:val="21"/>
              </w:rPr>
              <w:t>公开募集证券投资基金信息披露管理办法》</w:t>
            </w:r>
            <w:r>
              <w:rPr>
                <w:rFonts w:ascii="宋体" w:hAnsi="宋体" w:hint="eastAsia"/>
                <w:szCs w:val="21"/>
              </w:rPr>
              <w:t>、《华富强化回报债券型证券投资基金基金合同》、《华富强化回报债券型证券投资基金招募说明书》等</w:t>
            </w:r>
            <w:r>
              <w:rPr>
                <w:rFonts w:ascii="宋体" w:hAnsi="宋体"/>
                <w:szCs w:val="21"/>
              </w:rPr>
              <w:t>有关规定</w:t>
            </w:r>
          </w:p>
        </w:tc>
      </w:tr>
      <w:tr w:rsidR="00E65515">
        <w:tc>
          <w:tcPr>
            <w:tcW w:w="1980" w:type="dxa"/>
            <w:vMerge w:val="restart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暂停相关业务的起始日、金额及原因说明</w:t>
            </w: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E65515">
        <w:tc>
          <w:tcPr>
            <w:tcW w:w="1980" w:type="dxa"/>
            <w:vMerge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E65515">
        <w:tc>
          <w:tcPr>
            <w:tcW w:w="1980" w:type="dxa"/>
            <w:vMerge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暂停定期定额投资起始日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10" w:name="t_3_1_1_2800_a1_fm2210"/>
            <w:bookmarkEnd w:id="10"/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E65515">
        <w:tc>
          <w:tcPr>
            <w:tcW w:w="1980" w:type="dxa"/>
            <w:vMerge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限制申购金额（单位：人民币元）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5,000,000.00</w:t>
            </w:r>
          </w:p>
        </w:tc>
      </w:tr>
      <w:tr w:rsidR="00E65515">
        <w:tc>
          <w:tcPr>
            <w:tcW w:w="1980" w:type="dxa"/>
            <w:vMerge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限制转换转入金额（单位：人民币元）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5,000,000.00</w:t>
            </w:r>
          </w:p>
        </w:tc>
      </w:tr>
      <w:tr w:rsidR="00E65515">
        <w:tc>
          <w:tcPr>
            <w:tcW w:w="1980" w:type="dxa"/>
            <w:vMerge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限制定期定额投资金额（单位：人民币元）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5,000,000.00</w:t>
            </w:r>
          </w:p>
        </w:tc>
      </w:tr>
      <w:tr w:rsidR="00E65515">
        <w:tc>
          <w:tcPr>
            <w:tcW w:w="1980" w:type="dxa"/>
            <w:vMerge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11" w:name="t_3_1_3_fj_table"/>
            <w:bookmarkEnd w:id="11"/>
            <w:r>
              <w:rPr>
                <w:rFonts w:ascii="宋体" w:hAnsi="宋体" w:hint="eastAsia"/>
                <w:szCs w:val="21"/>
              </w:rPr>
              <w:t>暂停大额申购、转换转入、定期定额投资的原因说明</w:t>
            </w:r>
          </w:p>
        </w:tc>
        <w:tc>
          <w:tcPr>
            <w:tcW w:w="4284" w:type="dxa"/>
            <w:vAlign w:val="center"/>
          </w:tcPr>
          <w:p w:rsidR="00E65515" w:rsidRDefault="00E65515">
            <w:pPr>
              <w:rPr>
                <w:rFonts w:ascii="宋体" w:hAnsi="宋体" w:hint="eastAsia"/>
                <w:szCs w:val="21"/>
              </w:rPr>
            </w:pPr>
            <w:bookmarkStart w:id="12" w:name="t_3_1_3_fj_2805_a1_fm1"/>
            <w:bookmarkEnd w:id="12"/>
            <w:r>
              <w:rPr>
                <w:rFonts w:ascii="宋体" w:hAnsi="宋体" w:hint="eastAsia"/>
                <w:szCs w:val="21"/>
              </w:rPr>
              <w:t>为了保证基金的平稳运作，保护基金持有人的利益</w:t>
            </w:r>
          </w:p>
        </w:tc>
        <w:bookmarkStart w:id="13" w:name="t_3_1_4_fj_table"/>
        <w:bookmarkStart w:id="14" w:name="t_3_1_4_fj_2803_a1_fm1"/>
      </w:tr>
      <w:bookmarkEnd w:id="4"/>
      <w:bookmarkEnd w:id="13"/>
      <w:bookmarkEnd w:id="14"/>
    </w:tbl>
    <w:p w:rsidR="00E65515" w:rsidRDefault="00E65515">
      <w:pPr>
        <w:spacing w:line="360" w:lineRule="auto"/>
        <w:jc w:val="left"/>
        <w:rPr>
          <w:rFonts w:ascii="宋体" w:hAnsi="宋体" w:hint="eastAsia"/>
          <w:szCs w:val="21"/>
        </w:rPr>
      </w:pPr>
    </w:p>
    <w:bookmarkEnd w:id="3"/>
    <w:p w:rsidR="00E65515" w:rsidRDefault="00E65515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bookmarkStart w:id="15" w:name="t_3_2_table"/>
      <w:bookmarkEnd w:id="15"/>
      <w:r>
        <w:rPr>
          <w:rFonts w:ascii="宋体" w:eastAsia="宋体" w:hAnsi="宋体" w:hint="eastAsia"/>
          <w:sz w:val="24"/>
        </w:rPr>
        <w:t>其他需要提示的事项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6" w:name="t_3_2_2646_a1_fm1"/>
      <w:bookmarkEnd w:id="16"/>
      <w:r>
        <w:rPr>
          <w:rFonts w:ascii="宋体" w:hAnsi="宋体" w:hint="eastAsia"/>
          <w:szCs w:val="21"/>
        </w:rPr>
        <w:t>本基金的所有代销机构及本基金的直销网点自2024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>13</w:t>
      </w:r>
      <w:r>
        <w:rPr>
          <w:rFonts w:ascii="宋体" w:hAnsi="宋体"/>
          <w:szCs w:val="21"/>
        </w:rPr>
        <w:t>日起，暂停接受单个基金账户对本基金日累计金额5,000,000.00元以上（</w:t>
      </w:r>
      <w:r>
        <w:rPr>
          <w:rFonts w:ascii="宋体" w:hAnsi="宋体" w:hint="eastAsia"/>
          <w:szCs w:val="21"/>
        </w:rPr>
        <w:t>不</w:t>
      </w:r>
      <w:r>
        <w:rPr>
          <w:rFonts w:ascii="宋体" w:hAnsi="宋体"/>
          <w:szCs w:val="21"/>
        </w:rPr>
        <w:t>含5,000,000.00元）的申购、定投、转换转入业务申请，如单日单个基金账户累计的申购、定期定额投资、转换转入本基金金额超过人民币5,000,000.00元以上（</w:t>
      </w:r>
      <w:r>
        <w:rPr>
          <w:rFonts w:ascii="宋体" w:hAnsi="宋体" w:hint="eastAsia"/>
          <w:szCs w:val="21"/>
        </w:rPr>
        <w:t>不</w:t>
      </w:r>
      <w:r>
        <w:rPr>
          <w:rFonts w:ascii="宋体" w:hAnsi="宋体"/>
          <w:szCs w:val="21"/>
        </w:rPr>
        <w:t>含5,000,000.00元），本基金管理人有权拒绝。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除另有公告外，在暂停本基金的大额申购、定投和转换转入业务期间，本基金的赎回、转换转出等其它业务正常办理。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基金的申购和定投及转换转入限额安排后续如有调整，请以本公司最新公告为准。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如有疑问，请拨打客户服务热线：</w:t>
      </w:r>
      <w:r>
        <w:rPr>
          <w:rFonts w:ascii="宋体" w:hAnsi="宋体"/>
          <w:szCs w:val="21"/>
        </w:rPr>
        <w:t>400-700-8001或登</w:t>
      </w:r>
      <w:r>
        <w:rPr>
          <w:rFonts w:ascii="宋体" w:hAnsi="宋体" w:hint="eastAsia"/>
          <w:szCs w:val="21"/>
        </w:rPr>
        <w:t>录</w:t>
      </w:r>
      <w:r>
        <w:rPr>
          <w:rFonts w:ascii="宋体" w:hAnsi="宋体"/>
          <w:szCs w:val="21"/>
        </w:rPr>
        <w:t xml:space="preserve">网站www.hffund.com获取相关信息。  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本公告的解释权归本基金管理人。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风险提示：本公司承诺以诚实信用、勤勉尽责的原则管理和运用基金资产，但不保证基金一定盈利，也不保证最低收益。投资者投资基金之前应认真阅读各基金的《基金合同》、《招募说明书》、《基金产品资料概要》等文件。敬请投资者留意投资风险</w:t>
      </w:r>
      <w:r>
        <w:rPr>
          <w:rFonts w:ascii="宋体" w:hAnsi="宋体" w:hint="eastAsia"/>
          <w:szCs w:val="21"/>
        </w:rPr>
        <w:t>。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特此公告。</w:t>
      </w: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E65515" w:rsidRDefault="00E65515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E65515" w:rsidRDefault="00E65515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华富基金管理有限公司</w:t>
      </w:r>
    </w:p>
    <w:p w:rsidR="00E65515" w:rsidRDefault="00E65515">
      <w:pPr>
        <w:spacing w:line="360" w:lineRule="auto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30"/>
        </w:rPr>
        <w:t>2024</w:t>
      </w:r>
      <w:r>
        <w:rPr>
          <w:rFonts w:ascii="宋体" w:hAnsi="宋体"/>
          <w:sz w:val="24"/>
          <w:szCs w:val="30"/>
        </w:rPr>
        <w:t>年</w:t>
      </w:r>
      <w:r>
        <w:rPr>
          <w:rFonts w:ascii="宋体" w:hAnsi="宋体" w:hint="eastAsia"/>
          <w:sz w:val="24"/>
          <w:szCs w:val="30"/>
        </w:rPr>
        <w:t>11</w:t>
      </w:r>
      <w:r>
        <w:rPr>
          <w:rFonts w:ascii="宋体" w:hAnsi="宋体"/>
          <w:sz w:val="24"/>
          <w:szCs w:val="30"/>
        </w:rPr>
        <w:t>月</w:t>
      </w:r>
      <w:r>
        <w:rPr>
          <w:rFonts w:ascii="宋体" w:hAnsi="宋体" w:hint="eastAsia"/>
          <w:sz w:val="24"/>
          <w:szCs w:val="30"/>
        </w:rPr>
        <w:t>12</w:t>
      </w:r>
      <w:r>
        <w:rPr>
          <w:rFonts w:ascii="宋体" w:hAnsi="宋体"/>
          <w:sz w:val="24"/>
          <w:szCs w:val="30"/>
        </w:rPr>
        <w:t>日</w:t>
      </w:r>
    </w:p>
    <w:sectPr w:rsidR="00E65515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15" w:rsidRDefault="00E65515">
      <w:r>
        <w:separator/>
      </w:r>
    </w:p>
  </w:endnote>
  <w:endnote w:type="continuationSeparator" w:id="0">
    <w:p w:rsidR="00E65515" w:rsidRDefault="00E6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15" w:rsidRDefault="00E65515">
    <w:pPr>
      <w:pStyle w:val="a8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A10116" w:rsidRPr="00A10116">
        <w:rPr>
          <w:noProof/>
          <w:lang w:val="en-US" w:eastAsia="zh-CN"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A10116" w:rsidRPr="00A10116">
        <w:rPr>
          <w:noProof/>
          <w:lang w:val="en-US" w:eastAsia="zh-CN"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15" w:rsidRDefault="00E65515">
      <w:r>
        <w:separator/>
      </w:r>
    </w:p>
  </w:footnote>
  <w:footnote w:type="continuationSeparator" w:id="0">
    <w:p w:rsidR="00E65515" w:rsidRDefault="00E6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15" w:rsidRDefault="00E65515">
    <w:pPr>
      <w:pStyle w:val="aa"/>
      <w:tabs>
        <w:tab w:val="left" w:pos="2977"/>
      </w:tabs>
      <w:jc w:val="right"/>
    </w:pPr>
    <w:r>
      <w:rPr>
        <w:rFonts w:hint="eastAsia"/>
      </w:rPr>
      <w:t>关于华富强化回报债券型证券投资基金暂停大额申购、定投及转换转入业务的公告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628"/>
    <w:multiLevelType w:val="multilevel"/>
    <w:tmpl w:val="215276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zNGNjNmNhZjE2MzM2YmQwZTY5MWMzYzAzZjdmZDMifQ=="/>
  </w:docVars>
  <w:rsids>
    <w:rsidRoot w:val="00172A27"/>
    <w:rsid w:val="00085791"/>
    <w:rsid w:val="000A6794"/>
    <w:rsid w:val="000C5958"/>
    <w:rsid w:val="000E5666"/>
    <w:rsid w:val="000F6B7C"/>
    <w:rsid w:val="00101E14"/>
    <w:rsid w:val="00191564"/>
    <w:rsid w:val="001B2C98"/>
    <w:rsid w:val="002412EC"/>
    <w:rsid w:val="00257602"/>
    <w:rsid w:val="00291063"/>
    <w:rsid w:val="002B54E0"/>
    <w:rsid w:val="002C34F6"/>
    <w:rsid w:val="002C7B81"/>
    <w:rsid w:val="002D5EF4"/>
    <w:rsid w:val="002E54CC"/>
    <w:rsid w:val="002E57B2"/>
    <w:rsid w:val="00317192"/>
    <w:rsid w:val="00331FCD"/>
    <w:rsid w:val="003D46C1"/>
    <w:rsid w:val="003E7628"/>
    <w:rsid w:val="004118CE"/>
    <w:rsid w:val="00422153"/>
    <w:rsid w:val="004465E2"/>
    <w:rsid w:val="00457D97"/>
    <w:rsid w:val="004B5BB8"/>
    <w:rsid w:val="00574B33"/>
    <w:rsid w:val="006720EA"/>
    <w:rsid w:val="0069411E"/>
    <w:rsid w:val="007D0B2F"/>
    <w:rsid w:val="00802D35"/>
    <w:rsid w:val="0083110A"/>
    <w:rsid w:val="00837706"/>
    <w:rsid w:val="0085004C"/>
    <w:rsid w:val="008661DC"/>
    <w:rsid w:val="0087056B"/>
    <w:rsid w:val="008975D3"/>
    <w:rsid w:val="008A712C"/>
    <w:rsid w:val="008C2D02"/>
    <w:rsid w:val="008C3225"/>
    <w:rsid w:val="008D2EFC"/>
    <w:rsid w:val="00900A4C"/>
    <w:rsid w:val="009158EE"/>
    <w:rsid w:val="0096461E"/>
    <w:rsid w:val="009733C7"/>
    <w:rsid w:val="0098135A"/>
    <w:rsid w:val="009872A3"/>
    <w:rsid w:val="009935E9"/>
    <w:rsid w:val="00995212"/>
    <w:rsid w:val="009A0355"/>
    <w:rsid w:val="009A7683"/>
    <w:rsid w:val="009B3592"/>
    <w:rsid w:val="00A10116"/>
    <w:rsid w:val="00A110C2"/>
    <w:rsid w:val="00A5529E"/>
    <w:rsid w:val="00A870F7"/>
    <w:rsid w:val="00AB09D4"/>
    <w:rsid w:val="00AC125E"/>
    <w:rsid w:val="00AD10E6"/>
    <w:rsid w:val="00AF4274"/>
    <w:rsid w:val="00B26202"/>
    <w:rsid w:val="00B56E24"/>
    <w:rsid w:val="00B753CE"/>
    <w:rsid w:val="00B803E4"/>
    <w:rsid w:val="00C56181"/>
    <w:rsid w:val="00CE04B8"/>
    <w:rsid w:val="00D31973"/>
    <w:rsid w:val="00E01E05"/>
    <w:rsid w:val="00E65515"/>
    <w:rsid w:val="00E75C2E"/>
    <w:rsid w:val="00EA4DDA"/>
    <w:rsid w:val="00EB3A25"/>
    <w:rsid w:val="00EE73E2"/>
    <w:rsid w:val="00F2795B"/>
    <w:rsid w:val="00F5500B"/>
    <w:rsid w:val="00F572B3"/>
    <w:rsid w:val="00F57E35"/>
    <w:rsid w:val="00F835A8"/>
    <w:rsid w:val="00F85778"/>
    <w:rsid w:val="00FA1314"/>
    <w:rsid w:val="00FA1572"/>
    <w:rsid w:val="00FB1A62"/>
    <w:rsid w:val="00FB611F"/>
    <w:rsid w:val="00FE2F17"/>
    <w:rsid w:val="04F1084B"/>
    <w:rsid w:val="0502586A"/>
    <w:rsid w:val="0C120557"/>
    <w:rsid w:val="0C580ED2"/>
    <w:rsid w:val="0DF04D08"/>
    <w:rsid w:val="11BF78F7"/>
    <w:rsid w:val="13806B2E"/>
    <w:rsid w:val="15F0598A"/>
    <w:rsid w:val="15FD6214"/>
    <w:rsid w:val="18D11506"/>
    <w:rsid w:val="1AFF6057"/>
    <w:rsid w:val="1D366584"/>
    <w:rsid w:val="1D540E0F"/>
    <w:rsid w:val="1DAC4D8C"/>
    <w:rsid w:val="1E60026B"/>
    <w:rsid w:val="234E1A6D"/>
    <w:rsid w:val="298A3315"/>
    <w:rsid w:val="2A0D6C0A"/>
    <w:rsid w:val="2B9B22FF"/>
    <w:rsid w:val="2E821554"/>
    <w:rsid w:val="31472320"/>
    <w:rsid w:val="32305D46"/>
    <w:rsid w:val="32A221C5"/>
    <w:rsid w:val="33B223AE"/>
    <w:rsid w:val="33C833FA"/>
    <w:rsid w:val="354F79CA"/>
    <w:rsid w:val="365C1CED"/>
    <w:rsid w:val="37F260DB"/>
    <w:rsid w:val="382054C5"/>
    <w:rsid w:val="39C36BFE"/>
    <w:rsid w:val="3BE02CAF"/>
    <w:rsid w:val="3E693CBC"/>
    <w:rsid w:val="41EE4ADF"/>
    <w:rsid w:val="422F4FF5"/>
    <w:rsid w:val="445E00E7"/>
    <w:rsid w:val="47B2292F"/>
    <w:rsid w:val="48D3628A"/>
    <w:rsid w:val="49A85EBB"/>
    <w:rsid w:val="4D1E5994"/>
    <w:rsid w:val="4F665936"/>
    <w:rsid w:val="5BAC677E"/>
    <w:rsid w:val="5CAF1043"/>
    <w:rsid w:val="5FF81C8B"/>
    <w:rsid w:val="63041F5D"/>
    <w:rsid w:val="65240694"/>
    <w:rsid w:val="661549FF"/>
    <w:rsid w:val="6B1E583E"/>
    <w:rsid w:val="6D57641A"/>
    <w:rsid w:val="6D991CDC"/>
    <w:rsid w:val="6F062E8D"/>
    <w:rsid w:val="72386E2B"/>
    <w:rsid w:val="724265FE"/>
    <w:rsid w:val="7285473C"/>
    <w:rsid w:val="7B2E771F"/>
    <w:rsid w:val="7C9932BE"/>
    <w:rsid w:val="7D3C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kern w:val="2"/>
      <w:sz w:val="32"/>
    </w:rPr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批注文字 字符"/>
    <w:link w:val="a4"/>
    <w:uiPriority w:val="99"/>
    <w:semiHidden/>
    <w:rPr>
      <w:kern w:val="2"/>
      <w:sz w:val="21"/>
    </w:rPr>
  </w:style>
  <w:style w:type="paragraph" w:styleId="a6">
    <w:name w:val="Balloon Text"/>
    <w:basedOn w:val="a"/>
    <w:link w:val="a7"/>
    <w:uiPriority w:val="99"/>
    <w:unhideWhenUsed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link w:val="a8"/>
    <w:rPr>
      <w:kern w:val="2"/>
      <w:sz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b">
    <w:name w:val="页眉 字符"/>
    <w:link w:val="aa"/>
    <w:rPr>
      <w:kern w:val="2"/>
      <w:sz w:val="18"/>
    </w:rPr>
  </w:style>
  <w:style w:type="paragraph" w:styleId="ac">
    <w:name w:val="footnote text"/>
    <w:basedOn w:val="a"/>
    <w:link w:val="ad"/>
    <w:pPr>
      <w:snapToGrid w:val="0"/>
      <w:jc w:val="left"/>
    </w:pPr>
    <w:rPr>
      <w:rFonts w:ascii="Times New Roman" w:hAnsi="Times New Roman"/>
      <w:sz w:val="18"/>
    </w:rPr>
  </w:style>
  <w:style w:type="character" w:customStyle="1" w:styleId="ad">
    <w:name w:val="脚注文本 字符"/>
    <w:link w:val="ac"/>
    <w:rPr>
      <w:rFonts w:ascii="Times New Roman" w:hAnsi="Times New Roman"/>
      <w:kern w:val="2"/>
      <w:sz w:val="18"/>
    </w:rPr>
  </w:style>
  <w:style w:type="paragraph" w:styleId="ae">
    <w:name w:val="annotation subject"/>
    <w:basedOn w:val="a4"/>
    <w:next w:val="a4"/>
    <w:link w:val="af"/>
    <w:uiPriority w:val="99"/>
    <w:unhideWhenUsed/>
    <w:rPr>
      <w:b/>
      <w:bCs/>
    </w:rPr>
  </w:style>
  <w:style w:type="character" w:customStyle="1" w:styleId="af">
    <w:name w:val="批注主题 字符"/>
    <w:link w:val="ae"/>
    <w:uiPriority w:val="99"/>
    <w:semiHidden/>
    <w:rPr>
      <w:b/>
      <w:bCs/>
      <w:kern w:val="2"/>
      <w:sz w:val="21"/>
    </w:rPr>
  </w:style>
  <w:style w:type="character" w:styleId="af0">
    <w:name w:val="annotation reference"/>
    <w:uiPriority w:val="99"/>
    <w:unhideWhenUsed/>
    <w:rPr>
      <w:sz w:val="21"/>
      <w:szCs w:val="21"/>
    </w:rPr>
  </w:style>
  <w:style w:type="character" w:styleId="af1">
    <w:name w:val="footnote reference"/>
    <w:rPr>
      <w:vertAlign w:val="superscript"/>
    </w:rPr>
  </w:style>
  <w:style w:type="paragraph" w:customStyle="1" w:styleId="Char">
    <w:name w:val=" Char"/>
    <w:basedOn w:val="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</dc:creator>
  <cp:keywords/>
  <cp:lastModifiedBy>ZHONGM</cp:lastModifiedBy>
  <cp:revision>2</cp:revision>
  <cp:lastPrinted>2021-09-28T07:39:00Z</cp:lastPrinted>
  <dcterms:created xsi:type="dcterms:W3CDTF">2024-11-11T16:01:00Z</dcterms:created>
  <dcterms:modified xsi:type="dcterms:W3CDTF">2024-11-11T16:01:00Z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D2E709748ADA4B9BAFED0DD0CE38B8DD_13</vt:lpwstr>
  </property>
</Properties>
</file>