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80" w:rsidRPr="00365CE6" w:rsidRDefault="009824AF" w:rsidP="00365CE6">
      <w:pPr>
        <w:spacing w:line="540" w:lineRule="exact"/>
        <w:jc w:val="center"/>
        <w:rPr>
          <w:rFonts w:asciiTheme="minorEastAsia" w:hAnsiTheme="minorEastAsia" w:cs="Arial"/>
          <w:color w:val="2B2B2B"/>
          <w:kern w:val="0"/>
          <w:szCs w:val="21"/>
        </w:rPr>
      </w:pPr>
      <w:r w:rsidRPr="009824AF">
        <w:rPr>
          <w:rFonts w:asciiTheme="majorEastAsia" w:eastAsiaTheme="majorEastAsia" w:hAnsiTheme="majorEastAsia" w:cs="Arial" w:hint="eastAsia"/>
          <w:b/>
          <w:color w:val="FF0000"/>
          <w:kern w:val="0"/>
          <w:sz w:val="28"/>
          <w:szCs w:val="24"/>
        </w:rPr>
        <w:t>关于</w:t>
      </w:r>
      <w:r w:rsidR="00770F37">
        <w:rPr>
          <w:rFonts w:asciiTheme="majorEastAsia" w:eastAsiaTheme="majorEastAsia" w:hAnsiTheme="majorEastAsia" w:cs="Arial" w:hint="eastAsia"/>
          <w:b/>
          <w:color w:val="FF0000"/>
          <w:kern w:val="0"/>
          <w:sz w:val="28"/>
          <w:szCs w:val="24"/>
        </w:rPr>
        <w:t>嘉实中证A500交易型开放式指数证券投资基金联接基金</w:t>
      </w:r>
      <w:r>
        <w:rPr>
          <w:rFonts w:asciiTheme="majorEastAsia" w:eastAsiaTheme="majorEastAsia" w:hAnsiTheme="majorEastAsia" w:cs="Arial"/>
          <w:b/>
          <w:color w:val="FF0000"/>
          <w:kern w:val="0"/>
          <w:sz w:val="28"/>
          <w:szCs w:val="24"/>
        </w:rPr>
        <w:br/>
      </w:r>
      <w:r w:rsidR="00884EE4">
        <w:rPr>
          <w:rFonts w:asciiTheme="majorEastAsia" w:eastAsiaTheme="majorEastAsia" w:hAnsiTheme="majorEastAsia" w:cs="Arial" w:hint="eastAsia"/>
          <w:b/>
          <w:color w:val="FF0000"/>
          <w:kern w:val="0"/>
          <w:sz w:val="28"/>
          <w:szCs w:val="24"/>
        </w:rPr>
        <w:t>认购申请确认比例结果的</w:t>
      </w:r>
      <w:r w:rsidRPr="009824AF">
        <w:rPr>
          <w:rFonts w:asciiTheme="majorEastAsia" w:eastAsiaTheme="majorEastAsia" w:hAnsiTheme="majorEastAsia" w:cs="Arial" w:hint="eastAsia"/>
          <w:b/>
          <w:color w:val="FF0000"/>
          <w:kern w:val="0"/>
          <w:sz w:val="28"/>
          <w:szCs w:val="24"/>
        </w:rPr>
        <w:t>公告</w:t>
      </w:r>
    </w:p>
    <w:p w:rsidR="009824AF" w:rsidRDefault="00770F37" w:rsidP="00770F37">
      <w:pPr>
        <w:spacing w:line="540" w:lineRule="exact"/>
        <w:ind w:firstLineChars="200" w:firstLine="420"/>
        <w:rPr>
          <w:rFonts w:asciiTheme="minorEastAsia" w:hAnsiTheme="minorEastAsia" w:cs="Arial"/>
          <w:color w:val="2B2B2B"/>
          <w:kern w:val="0"/>
          <w:szCs w:val="21"/>
        </w:rPr>
      </w:pPr>
      <w:r>
        <w:rPr>
          <w:rFonts w:asciiTheme="minorEastAsia" w:hAnsiTheme="minorEastAsia" w:cs="Arial" w:hint="eastAsia"/>
          <w:color w:val="2B2B2B"/>
          <w:kern w:val="0"/>
          <w:szCs w:val="21"/>
        </w:rPr>
        <w:t>嘉实中证A500交易型开放式指数证券投资基金联接基金</w:t>
      </w:r>
      <w:r w:rsidR="009824AF" w:rsidRPr="009824AF">
        <w:rPr>
          <w:rFonts w:asciiTheme="minorEastAsia" w:hAnsiTheme="minorEastAsia" w:cs="Arial" w:hint="eastAsia"/>
          <w:color w:val="2B2B2B"/>
          <w:kern w:val="0"/>
          <w:szCs w:val="21"/>
        </w:rPr>
        <w:t>（</w:t>
      </w:r>
      <w:r w:rsidR="00884EE4">
        <w:rPr>
          <w:rFonts w:asciiTheme="minorEastAsia" w:hAnsiTheme="minorEastAsia" w:cs="Arial" w:hint="eastAsia"/>
          <w:color w:val="2B2B2B"/>
          <w:kern w:val="0"/>
          <w:szCs w:val="21"/>
        </w:rPr>
        <w:t>以下简称“本基金”）</w:t>
      </w:r>
      <w:r>
        <w:rPr>
          <w:rFonts w:asciiTheme="minorEastAsia" w:hAnsiTheme="minorEastAsia" w:cs="Arial" w:hint="eastAsia"/>
          <w:color w:val="2B2B2B"/>
          <w:kern w:val="0"/>
          <w:szCs w:val="21"/>
        </w:rPr>
        <w:t>已于20</w:t>
      </w:r>
      <w:r>
        <w:rPr>
          <w:rFonts w:asciiTheme="minorEastAsia" w:hAnsiTheme="minorEastAsia" w:cs="Arial"/>
          <w:color w:val="2B2B2B"/>
          <w:kern w:val="0"/>
          <w:szCs w:val="21"/>
        </w:rPr>
        <w:t>24</w:t>
      </w:r>
      <w:r>
        <w:rPr>
          <w:rFonts w:asciiTheme="minorEastAsia" w:hAnsiTheme="minorEastAsia" w:cs="Arial" w:hint="eastAsia"/>
          <w:color w:val="2B2B2B"/>
          <w:kern w:val="0"/>
          <w:szCs w:val="21"/>
        </w:rPr>
        <w:t>年11月8日结束募集</w:t>
      </w:r>
      <w:r w:rsidR="009824AF" w:rsidRPr="009824AF">
        <w:rPr>
          <w:rFonts w:asciiTheme="minorEastAsia" w:hAnsiTheme="minorEastAsia" w:cs="Arial" w:hint="eastAsia"/>
          <w:color w:val="2B2B2B"/>
          <w:kern w:val="0"/>
          <w:szCs w:val="21"/>
        </w:rPr>
        <w:t>。</w:t>
      </w:r>
      <w:r w:rsidRPr="00770F37">
        <w:rPr>
          <w:rFonts w:asciiTheme="minorEastAsia" w:hAnsiTheme="minorEastAsia" w:cs="Arial" w:hint="eastAsia"/>
          <w:color w:val="2B2B2B"/>
          <w:kern w:val="0"/>
          <w:szCs w:val="21"/>
        </w:rPr>
        <w:t>截至2024年11月8日，本基金有效认购申请金额（不包括募集期利息）超过本基金募集规模上限50亿元人民币，</w:t>
      </w:r>
      <w:r w:rsidR="00884EE4" w:rsidRPr="009824AF">
        <w:rPr>
          <w:rFonts w:asciiTheme="minorEastAsia" w:hAnsiTheme="minorEastAsia" w:cs="Arial" w:hint="eastAsia"/>
          <w:color w:val="2B2B2B"/>
          <w:kern w:val="0"/>
          <w:szCs w:val="21"/>
        </w:rPr>
        <w:t>根据《</w:t>
      </w:r>
      <w:r>
        <w:rPr>
          <w:rFonts w:asciiTheme="minorEastAsia" w:hAnsiTheme="minorEastAsia" w:cs="Arial" w:hint="eastAsia"/>
          <w:color w:val="2B2B2B"/>
          <w:kern w:val="0"/>
          <w:szCs w:val="21"/>
        </w:rPr>
        <w:t>嘉实中证A500交易型开放式指数证券投资基金联接基金</w:t>
      </w:r>
      <w:r w:rsidR="00884EE4" w:rsidRPr="009824AF">
        <w:rPr>
          <w:rFonts w:asciiTheme="minorEastAsia" w:hAnsiTheme="minorEastAsia" w:cs="Arial" w:hint="eastAsia"/>
          <w:color w:val="2B2B2B"/>
          <w:kern w:val="0"/>
          <w:szCs w:val="21"/>
        </w:rPr>
        <w:t>基金份额发售公告》</w:t>
      </w:r>
      <w:r w:rsidR="00884EE4">
        <w:rPr>
          <w:rFonts w:asciiTheme="minorEastAsia" w:hAnsiTheme="minorEastAsia" w:cs="Arial" w:hint="eastAsia"/>
          <w:color w:val="2B2B2B"/>
          <w:kern w:val="0"/>
          <w:szCs w:val="21"/>
        </w:rPr>
        <w:t>的有关规定</w:t>
      </w:r>
      <w:r w:rsidR="00884EE4" w:rsidRPr="009824AF">
        <w:rPr>
          <w:rFonts w:asciiTheme="minorEastAsia" w:hAnsiTheme="minorEastAsia" w:cs="Arial" w:hint="eastAsia"/>
          <w:color w:val="2B2B2B"/>
          <w:kern w:val="0"/>
          <w:szCs w:val="21"/>
        </w:rPr>
        <w:t>，</w:t>
      </w:r>
      <w:r w:rsidR="009721BB">
        <w:rPr>
          <w:rFonts w:asciiTheme="minorEastAsia" w:hAnsiTheme="minorEastAsia" w:cs="Arial" w:hint="eastAsia"/>
          <w:color w:val="2B2B2B"/>
          <w:kern w:val="0"/>
          <w:szCs w:val="21"/>
        </w:rPr>
        <w:t>本基金管理人</w:t>
      </w:r>
      <w:r w:rsidR="005E2F7E">
        <w:rPr>
          <w:rFonts w:asciiTheme="minorEastAsia" w:hAnsiTheme="minorEastAsia" w:cs="Arial" w:hint="eastAsia"/>
          <w:color w:val="2B2B2B"/>
          <w:kern w:val="0"/>
          <w:szCs w:val="21"/>
        </w:rPr>
        <w:t>嘉实基金管理有限公司</w:t>
      </w:r>
      <w:r w:rsidRPr="00770F37">
        <w:rPr>
          <w:rFonts w:asciiTheme="minorEastAsia" w:hAnsiTheme="minorEastAsia" w:cs="Arial" w:hint="eastAsia"/>
          <w:color w:val="2B2B2B"/>
          <w:kern w:val="0"/>
          <w:szCs w:val="21"/>
        </w:rPr>
        <w:t>对本基金202</w:t>
      </w:r>
      <w:r>
        <w:rPr>
          <w:rFonts w:asciiTheme="minorEastAsia" w:hAnsiTheme="minorEastAsia" w:cs="Arial"/>
          <w:color w:val="2B2B2B"/>
          <w:kern w:val="0"/>
          <w:szCs w:val="21"/>
        </w:rPr>
        <w:t>4</w:t>
      </w:r>
      <w:r w:rsidRPr="00770F37">
        <w:rPr>
          <w:rFonts w:asciiTheme="minorEastAsia" w:hAnsiTheme="minorEastAsia" w:cs="Arial" w:hint="eastAsia"/>
          <w:color w:val="2B2B2B"/>
          <w:kern w:val="0"/>
          <w:szCs w:val="21"/>
        </w:rPr>
        <w:t>年</w:t>
      </w:r>
      <w:r>
        <w:rPr>
          <w:rFonts w:asciiTheme="minorEastAsia" w:hAnsiTheme="minorEastAsia" w:cs="Arial"/>
          <w:color w:val="2B2B2B"/>
          <w:kern w:val="0"/>
          <w:szCs w:val="21"/>
        </w:rPr>
        <w:t>11</w:t>
      </w:r>
      <w:r w:rsidRPr="00770F37">
        <w:rPr>
          <w:rFonts w:asciiTheme="minorEastAsia" w:hAnsiTheme="minorEastAsia" w:cs="Arial" w:hint="eastAsia"/>
          <w:color w:val="2B2B2B"/>
          <w:kern w:val="0"/>
          <w:szCs w:val="21"/>
        </w:rPr>
        <w:t>月</w:t>
      </w:r>
      <w:r>
        <w:rPr>
          <w:rFonts w:asciiTheme="minorEastAsia" w:hAnsiTheme="minorEastAsia" w:cs="Arial"/>
          <w:color w:val="2B2B2B"/>
          <w:kern w:val="0"/>
          <w:szCs w:val="21"/>
        </w:rPr>
        <w:t>8</w:t>
      </w:r>
      <w:r w:rsidRPr="00770F37">
        <w:rPr>
          <w:rFonts w:asciiTheme="minorEastAsia" w:hAnsiTheme="minorEastAsia" w:cs="Arial" w:hint="eastAsia"/>
          <w:color w:val="2B2B2B"/>
          <w:kern w:val="0"/>
          <w:szCs w:val="21"/>
        </w:rPr>
        <w:t>日的有效认购申请</w:t>
      </w:r>
      <w:r w:rsidR="009721BB">
        <w:rPr>
          <w:rFonts w:asciiTheme="minorEastAsia" w:hAnsiTheme="minorEastAsia" w:cs="Arial" w:hint="eastAsia"/>
          <w:color w:val="2B2B2B"/>
          <w:kern w:val="0"/>
          <w:szCs w:val="21"/>
        </w:rPr>
        <w:t>按照</w:t>
      </w:r>
      <w:r w:rsidRPr="00770F37">
        <w:rPr>
          <w:rFonts w:asciiTheme="minorEastAsia" w:hAnsiTheme="minorEastAsia" w:cs="Arial" w:hint="eastAsia"/>
          <w:color w:val="2B2B2B"/>
          <w:kern w:val="0"/>
          <w:szCs w:val="21"/>
        </w:rPr>
        <w:t>“末日比例确认”的原则进行</w:t>
      </w:r>
      <w:r w:rsidR="009721BB">
        <w:rPr>
          <w:rFonts w:asciiTheme="minorEastAsia" w:hAnsiTheme="minorEastAsia" w:cs="Arial" w:hint="eastAsia"/>
          <w:color w:val="2B2B2B"/>
          <w:kern w:val="0"/>
          <w:szCs w:val="21"/>
        </w:rPr>
        <w:t>部分</w:t>
      </w:r>
      <w:r w:rsidRPr="00770F37">
        <w:rPr>
          <w:rFonts w:asciiTheme="minorEastAsia" w:hAnsiTheme="minorEastAsia" w:cs="Arial" w:hint="eastAsia"/>
          <w:color w:val="2B2B2B"/>
          <w:kern w:val="0"/>
          <w:szCs w:val="21"/>
        </w:rPr>
        <w:t>确认</w:t>
      </w:r>
      <w:r w:rsidR="009721BB">
        <w:rPr>
          <w:rFonts w:asciiTheme="minorEastAsia" w:hAnsiTheme="minorEastAsia" w:cs="Arial" w:hint="eastAsia"/>
          <w:color w:val="2B2B2B"/>
          <w:kern w:val="0"/>
          <w:szCs w:val="21"/>
        </w:rPr>
        <w:t>处理</w:t>
      </w:r>
      <w:r w:rsidRPr="00770F37">
        <w:rPr>
          <w:rFonts w:asciiTheme="minorEastAsia" w:hAnsiTheme="minorEastAsia" w:cs="Arial" w:hint="eastAsia"/>
          <w:color w:val="2B2B2B"/>
          <w:kern w:val="0"/>
          <w:szCs w:val="21"/>
        </w:rPr>
        <w:t>，本基金202</w:t>
      </w:r>
      <w:r>
        <w:rPr>
          <w:rFonts w:asciiTheme="minorEastAsia" w:hAnsiTheme="minorEastAsia" w:cs="Arial"/>
          <w:color w:val="2B2B2B"/>
          <w:kern w:val="0"/>
          <w:szCs w:val="21"/>
        </w:rPr>
        <w:t>4</w:t>
      </w:r>
      <w:r w:rsidRPr="00770F37">
        <w:rPr>
          <w:rFonts w:asciiTheme="minorEastAsia" w:hAnsiTheme="minorEastAsia" w:cs="Arial" w:hint="eastAsia"/>
          <w:color w:val="2B2B2B"/>
          <w:kern w:val="0"/>
          <w:szCs w:val="21"/>
        </w:rPr>
        <w:t>年</w:t>
      </w:r>
      <w:r>
        <w:rPr>
          <w:rFonts w:asciiTheme="minorEastAsia" w:hAnsiTheme="minorEastAsia" w:cs="Arial"/>
          <w:color w:val="2B2B2B"/>
          <w:kern w:val="0"/>
          <w:szCs w:val="21"/>
        </w:rPr>
        <w:t>11</w:t>
      </w:r>
      <w:r w:rsidRPr="00770F37">
        <w:rPr>
          <w:rFonts w:asciiTheme="minorEastAsia" w:hAnsiTheme="minorEastAsia" w:cs="Arial" w:hint="eastAsia"/>
          <w:color w:val="2B2B2B"/>
          <w:kern w:val="0"/>
          <w:szCs w:val="21"/>
        </w:rPr>
        <w:t>月</w:t>
      </w:r>
      <w:r>
        <w:rPr>
          <w:rFonts w:asciiTheme="minorEastAsia" w:hAnsiTheme="minorEastAsia" w:cs="Arial" w:hint="eastAsia"/>
          <w:color w:val="2B2B2B"/>
          <w:kern w:val="0"/>
          <w:szCs w:val="21"/>
        </w:rPr>
        <w:t>8</w:t>
      </w:r>
      <w:r w:rsidRPr="00770F37">
        <w:rPr>
          <w:rFonts w:asciiTheme="minorEastAsia" w:hAnsiTheme="minorEastAsia" w:cs="Arial" w:hint="eastAsia"/>
          <w:color w:val="2B2B2B"/>
          <w:kern w:val="0"/>
          <w:szCs w:val="21"/>
        </w:rPr>
        <w:t>日的有效认购申请确认比例为</w:t>
      </w:r>
      <w:r w:rsidR="009422CE" w:rsidRPr="009422CE">
        <w:rPr>
          <w:rFonts w:asciiTheme="minorEastAsia" w:hAnsiTheme="minorEastAsia" w:cs="Arial"/>
          <w:color w:val="2B2B2B"/>
          <w:kern w:val="0"/>
          <w:szCs w:val="21"/>
        </w:rPr>
        <w:t>47</w:t>
      </w:r>
      <w:r w:rsidR="009422CE">
        <w:rPr>
          <w:rFonts w:asciiTheme="minorEastAsia" w:hAnsiTheme="minorEastAsia" w:cs="Arial"/>
          <w:color w:val="2B2B2B"/>
          <w:kern w:val="0"/>
          <w:szCs w:val="21"/>
        </w:rPr>
        <w:t>.</w:t>
      </w:r>
      <w:bookmarkStart w:id="0" w:name="_GoBack"/>
      <w:bookmarkEnd w:id="0"/>
      <w:r w:rsidR="009422CE" w:rsidRPr="009422CE">
        <w:rPr>
          <w:rFonts w:asciiTheme="minorEastAsia" w:hAnsiTheme="minorEastAsia" w:cs="Arial"/>
          <w:color w:val="2B2B2B"/>
          <w:kern w:val="0"/>
          <w:szCs w:val="21"/>
        </w:rPr>
        <w:t>319749</w:t>
      </w:r>
      <w:r w:rsidRPr="00770F37">
        <w:rPr>
          <w:rFonts w:asciiTheme="minorEastAsia" w:hAnsiTheme="minorEastAsia" w:cs="Arial" w:hint="eastAsia"/>
          <w:color w:val="2B2B2B"/>
          <w:kern w:val="0"/>
          <w:szCs w:val="21"/>
        </w:rPr>
        <w:t>%。</w:t>
      </w:r>
    </w:p>
    <w:p w:rsidR="009721BB" w:rsidRDefault="009721BB" w:rsidP="009721BB">
      <w:pPr>
        <w:spacing w:line="540" w:lineRule="exact"/>
        <w:ind w:firstLine="420"/>
        <w:rPr>
          <w:rFonts w:asciiTheme="minorEastAsia" w:hAnsiTheme="minorEastAsia" w:cs="Arial"/>
          <w:color w:val="2B2B2B"/>
          <w:kern w:val="0"/>
          <w:szCs w:val="21"/>
        </w:rPr>
      </w:pPr>
      <w:r>
        <w:rPr>
          <w:rFonts w:asciiTheme="minorEastAsia" w:hAnsiTheme="minorEastAsia" w:cs="Arial" w:hint="eastAsia"/>
          <w:color w:val="2B2B2B"/>
          <w:kern w:val="0"/>
          <w:szCs w:val="21"/>
        </w:rPr>
        <w:t>部分确认的计算方法如下：</w:t>
      </w:r>
    </w:p>
    <w:p w:rsidR="00517A3E" w:rsidRDefault="009721BB" w:rsidP="009721BB">
      <w:pPr>
        <w:spacing w:line="540" w:lineRule="exact"/>
        <w:ind w:firstLine="420"/>
        <w:rPr>
          <w:rFonts w:asciiTheme="minorEastAsia" w:hAnsiTheme="minorEastAsia" w:cs="Arial"/>
          <w:color w:val="2B2B2B"/>
          <w:kern w:val="0"/>
          <w:szCs w:val="21"/>
        </w:rPr>
      </w:pPr>
      <w:r>
        <w:rPr>
          <w:rFonts w:asciiTheme="minorEastAsia" w:hAnsiTheme="minorEastAsia" w:cs="Arial"/>
          <w:color w:val="2B2B2B"/>
          <w:kern w:val="0"/>
          <w:szCs w:val="21"/>
        </w:rPr>
        <w:t>2024</w:t>
      </w:r>
      <w:r w:rsidRPr="009721BB">
        <w:rPr>
          <w:rFonts w:asciiTheme="minorEastAsia" w:hAnsiTheme="minorEastAsia" w:cs="Arial" w:hint="eastAsia"/>
          <w:color w:val="2B2B2B"/>
          <w:kern w:val="0"/>
          <w:szCs w:val="21"/>
        </w:rPr>
        <w:t>年</w:t>
      </w:r>
      <w:r>
        <w:rPr>
          <w:rFonts w:asciiTheme="minorEastAsia" w:hAnsiTheme="minorEastAsia" w:cs="Arial"/>
          <w:color w:val="2B2B2B"/>
          <w:kern w:val="0"/>
          <w:szCs w:val="21"/>
        </w:rPr>
        <w:t>11</w:t>
      </w:r>
      <w:r w:rsidRPr="009721BB">
        <w:rPr>
          <w:rFonts w:asciiTheme="minorEastAsia" w:hAnsiTheme="minorEastAsia" w:cs="Arial" w:hint="eastAsia"/>
          <w:color w:val="2B2B2B"/>
          <w:kern w:val="0"/>
          <w:szCs w:val="21"/>
        </w:rPr>
        <w:t>月</w:t>
      </w:r>
      <w:r>
        <w:rPr>
          <w:rFonts w:asciiTheme="minorEastAsia" w:hAnsiTheme="minorEastAsia" w:cs="Arial"/>
          <w:color w:val="2B2B2B"/>
          <w:kern w:val="0"/>
          <w:szCs w:val="21"/>
        </w:rPr>
        <w:t>8</w:t>
      </w:r>
      <w:r w:rsidRPr="009721BB">
        <w:rPr>
          <w:rFonts w:asciiTheme="minorEastAsia" w:hAnsiTheme="minorEastAsia" w:cs="Arial" w:hint="eastAsia"/>
          <w:color w:val="2B2B2B"/>
          <w:kern w:val="0"/>
          <w:szCs w:val="21"/>
        </w:rPr>
        <w:t>日投资者认购申请确认金额</w:t>
      </w:r>
      <w:r>
        <w:rPr>
          <w:rFonts w:asciiTheme="minorEastAsia" w:hAnsiTheme="minorEastAsia" w:cs="Arial" w:hint="eastAsia"/>
          <w:color w:val="2B2B2B"/>
          <w:kern w:val="0"/>
          <w:szCs w:val="21"/>
        </w:rPr>
        <w:t>＝</w:t>
      </w:r>
      <w:r w:rsidRPr="009721BB">
        <w:rPr>
          <w:rFonts w:asciiTheme="minorEastAsia" w:hAnsiTheme="minorEastAsia" w:cs="Arial" w:hint="eastAsia"/>
          <w:color w:val="2B2B2B"/>
          <w:kern w:val="0"/>
          <w:szCs w:val="21"/>
        </w:rPr>
        <w:t>202</w:t>
      </w:r>
      <w:r>
        <w:rPr>
          <w:rFonts w:asciiTheme="minorEastAsia" w:hAnsiTheme="minorEastAsia" w:cs="Arial"/>
          <w:color w:val="2B2B2B"/>
          <w:kern w:val="0"/>
          <w:szCs w:val="21"/>
        </w:rPr>
        <w:t>4</w:t>
      </w:r>
      <w:r w:rsidRPr="009721BB">
        <w:rPr>
          <w:rFonts w:asciiTheme="minorEastAsia" w:hAnsiTheme="minorEastAsia" w:cs="Arial" w:hint="eastAsia"/>
          <w:color w:val="2B2B2B"/>
          <w:kern w:val="0"/>
          <w:szCs w:val="21"/>
        </w:rPr>
        <w:t>年</w:t>
      </w:r>
      <w:r>
        <w:rPr>
          <w:rFonts w:asciiTheme="minorEastAsia" w:hAnsiTheme="minorEastAsia" w:cs="Arial"/>
          <w:color w:val="2B2B2B"/>
          <w:kern w:val="0"/>
          <w:szCs w:val="21"/>
        </w:rPr>
        <w:t>11</w:t>
      </w:r>
      <w:r w:rsidRPr="009721BB">
        <w:rPr>
          <w:rFonts w:asciiTheme="minorEastAsia" w:hAnsiTheme="minorEastAsia" w:cs="Arial" w:hint="eastAsia"/>
          <w:color w:val="2B2B2B"/>
          <w:kern w:val="0"/>
          <w:szCs w:val="21"/>
        </w:rPr>
        <w:t>月</w:t>
      </w:r>
      <w:r>
        <w:rPr>
          <w:rFonts w:asciiTheme="minorEastAsia" w:hAnsiTheme="minorEastAsia" w:cs="Arial"/>
          <w:color w:val="2B2B2B"/>
          <w:kern w:val="0"/>
          <w:szCs w:val="21"/>
        </w:rPr>
        <w:t>8</w:t>
      </w:r>
      <w:r w:rsidRPr="009721BB">
        <w:rPr>
          <w:rFonts w:asciiTheme="minorEastAsia" w:hAnsiTheme="minorEastAsia" w:cs="Arial" w:hint="eastAsia"/>
          <w:color w:val="2B2B2B"/>
          <w:kern w:val="0"/>
          <w:szCs w:val="21"/>
        </w:rPr>
        <w:t>日提交的有效认购申请金额×认购申请确认比例</w:t>
      </w:r>
    </w:p>
    <w:p w:rsidR="009721BB" w:rsidRDefault="009721BB" w:rsidP="00884EE4">
      <w:pPr>
        <w:widowControl/>
        <w:spacing w:line="360" w:lineRule="auto"/>
        <w:ind w:firstLine="420"/>
        <w:rPr>
          <w:rFonts w:asciiTheme="minorEastAsia" w:hAnsiTheme="minorEastAsia" w:cs="Arial"/>
          <w:color w:val="2B2B2B"/>
          <w:kern w:val="0"/>
          <w:szCs w:val="21"/>
        </w:rPr>
      </w:pPr>
      <w:r w:rsidRPr="009721BB">
        <w:rPr>
          <w:rFonts w:asciiTheme="minorEastAsia" w:hAnsiTheme="minorEastAsia" w:cs="Arial" w:hint="eastAsia"/>
          <w:color w:val="2B2B2B"/>
          <w:kern w:val="0"/>
          <w:szCs w:val="21"/>
        </w:rPr>
        <w:t>当发生部分确认时，投资者认购费率按照认购申请确认金额所对应的费率计算，而且认购申请确认金额不受认购最低限额的限制。最终认购申请确认结果以本基金登记结算机构的计算并确认的结果为准。未确认部分的认购款项将在募集期结束后退还给投资者，请投资者留意资金到账情况。</w:t>
      </w:r>
    </w:p>
    <w:p w:rsidR="00884EE4" w:rsidRPr="005C7C64" w:rsidRDefault="00884EE4" w:rsidP="00884EE4">
      <w:pPr>
        <w:widowControl/>
        <w:spacing w:line="360" w:lineRule="auto"/>
        <w:ind w:firstLine="420"/>
        <w:rPr>
          <w:rFonts w:asciiTheme="minorEastAsia" w:hAnsiTheme="minorEastAsia" w:cs="Arial"/>
          <w:color w:val="2B2B2B"/>
          <w:kern w:val="0"/>
          <w:szCs w:val="21"/>
        </w:rPr>
      </w:pPr>
      <w:r w:rsidRPr="005C7C64">
        <w:rPr>
          <w:rFonts w:asciiTheme="minorEastAsia" w:hAnsiTheme="minorEastAsia" w:cs="Arial" w:hint="eastAsia"/>
          <w:color w:val="2B2B2B"/>
          <w:kern w:val="0"/>
          <w:szCs w:val="21"/>
        </w:rPr>
        <w:t>投资者可登录本基金管理人网站(www.jsfund.cn)或拨打本基金管理人的客户服务电话 400-600-8800 （免长途话费）</w:t>
      </w:r>
      <w:r w:rsidR="009721BB">
        <w:rPr>
          <w:rFonts w:asciiTheme="minorEastAsia" w:hAnsiTheme="minorEastAsia" w:cs="Arial" w:hint="eastAsia"/>
          <w:color w:val="2B2B2B"/>
          <w:kern w:val="0"/>
          <w:szCs w:val="21"/>
        </w:rPr>
        <w:t>，</w:t>
      </w:r>
      <w:r w:rsidRPr="005C7C64">
        <w:rPr>
          <w:rFonts w:asciiTheme="minorEastAsia" w:hAnsiTheme="minorEastAsia" w:cs="Arial" w:hint="eastAsia"/>
          <w:color w:val="2B2B2B"/>
          <w:kern w:val="0"/>
          <w:szCs w:val="21"/>
        </w:rPr>
        <w:t>咨询有关详情。</w:t>
      </w:r>
    </w:p>
    <w:p w:rsidR="00884EE4" w:rsidRPr="005C7C64" w:rsidRDefault="00884EE4" w:rsidP="00884EE4">
      <w:pPr>
        <w:widowControl/>
        <w:spacing w:line="360" w:lineRule="auto"/>
        <w:ind w:firstLine="420"/>
        <w:rPr>
          <w:rFonts w:asciiTheme="minorEastAsia" w:hAnsiTheme="minorEastAsia" w:cs="Arial"/>
          <w:color w:val="2B2B2B"/>
          <w:kern w:val="0"/>
          <w:szCs w:val="21"/>
        </w:rPr>
      </w:pPr>
      <w:r w:rsidRPr="005C7C64">
        <w:rPr>
          <w:rFonts w:asciiTheme="minorEastAsia" w:hAnsiTheme="minorEastAsia" w:cs="Arial" w:hint="eastAsia"/>
          <w:color w:val="2B2B2B"/>
          <w:kern w:val="0"/>
          <w:szCs w:val="21"/>
        </w:rPr>
        <w:t>特此公告。</w:t>
      </w:r>
    </w:p>
    <w:p w:rsidR="00884EE4" w:rsidRPr="00D871FB" w:rsidRDefault="00884EE4" w:rsidP="00365CE6">
      <w:pPr>
        <w:spacing w:line="540" w:lineRule="exact"/>
        <w:ind w:firstLineChars="200" w:firstLine="420"/>
        <w:rPr>
          <w:rFonts w:asciiTheme="minorEastAsia" w:hAnsiTheme="minorEastAsia" w:cs="Arial"/>
          <w:color w:val="2B2B2B"/>
          <w:kern w:val="0"/>
          <w:szCs w:val="21"/>
        </w:rPr>
      </w:pPr>
    </w:p>
    <w:p w:rsidR="00105741" w:rsidRPr="00D871FB" w:rsidRDefault="00105741" w:rsidP="00365CE6">
      <w:pPr>
        <w:spacing w:line="540" w:lineRule="exact"/>
        <w:jc w:val="right"/>
        <w:rPr>
          <w:rFonts w:asciiTheme="minorEastAsia" w:hAnsiTheme="minorEastAsia" w:cs="Arial"/>
          <w:color w:val="2B2B2B"/>
          <w:kern w:val="0"/>
          <w:szCs w:val="21"/>
        </w:rPr>
      </w:pPr>
      <w:r w:rsidRPr="00D871FB">
        <w:rPr>
          <w:rFonts w:asciiTheme="minorEastAsia" w:hAnsiTheme="minorEastAsia" w:cs="Arial" w:hint="eastAsia"/>
          <w:color w:val="2B2B2B"/>
          <w:kern w:val="0"/>
          <w:szCs w:val="21"/>
        </w:rPr>
        <w:t>嘉实基金管理有限公司</w:t>
      </w:r>
    </w:p>
    <w:p w:rsidR="005010CD" w:rsidRPr="00D871FB" w:rsidRDefault="009721BB" w:rsidP="00365CE6">
      <w:pPr>
        <w:spacing w:line="540" w:lineRule="exact"/>
        <w:jc w:val="right"/>
        <w:rPr>
          <w:rFonts w:asciiTheme="minorEastAsia" w:hAnsiTheme="minorEastAsia" w:cs="Arial"/>
          <w:color w:val="2B2B2B"/>
          <w:kern w:val="0"/>
          <w:szCs w:val="21"/>
        </w:rPr>
      </w:pPr>
      <w:r w:rsidRPr="00D871FB">
        <w:rPr>
          <w:rFonts w:asciiTheme="minorEastAsia" w:hAnsiTheme="minorEastAsia" w:cs="Arial"/>
          <w:color w:val="2B2B2B"/>
          <w:kern w:val="0"/>
          <w:szCs w:val="21"/>
        </w:rPr>
        <w:t>202</w:t>
      </w:r>
      <w:r>
        <w:rPr>
          <w:rFonts w:asciiTheme="minorEastAsia" w:hAnsiTheme="minorEastAsia" w:cs="Arial"/>
          <w:color w:val="2B2B2B"/>
          <w:kern w:val="0"/>
          <w:szCs w:val="21"/>
        </w:rPr>
        <w:t>4</w:t>
      </w:r>
      <w:r w:rsidR="00A55419" w:rsidRPr="00D871FB">
        <w:rPr>
          <w:rFonts w:asciiTheme="minorEastAsia" w:hAnsiTheme="minorEastAsia" w:cs="Arial" w:hint="eastAsia"/>
          <w:color w:val="2B2B2B"/>
          <w:kern w:val="0"/>
          <w:szCs w:val="21"/>
        </w:rPr>
        <w:t>年</w:t>
      </w:r>
      <w:r>
        <w:rPr>
          <w:rFonts w:asciiTheme="minorEastAsia" w:hAnsiTheme="minorEastAsia" w:cs="Arial"/>
          <w:color w:val="2B2B2B"/>
          <w:kern w:val="0"/>
          <w:szCs w:val="21"/>
        </w:rPr>
        <w:t>11</w:t>
      </w:r>
      <w:r w:rsidR="00A55419" w:rsidRPr="00D871FB">
        <w:rPr>
          <w:rFonts w:asciiTheme="minorEastAsia" w:hAnsiTheme="minorEastAsia" w:cs="Arial" w:hint="eastAsia"/>
          <w:color w:val="2B2B2B"/>
          <w:kern w:val="0"/>
          <w:szCs w:val="21"/>
        </w:rPr>
        <w:t>月</w:t>
      </w:r>
      <w:r>
        <w:rPr>
          <w:rFonts w:asciiTheme="minorEastAsia" w:hAnsiTheme="minorEastAsia" w:cs="Arial"/>
          <w:color w:val="2B2B2B"/>
          <w:kern w:val="0"/>
          <w:szCs w:val="21"/>
        </w:rPr>
        <w:t>11</w:t>
      </w:r>
      <w:r w:rsidR="00105741" w:rsidRPr="00D871FB">
        <w:rPr>
          <w:rFonts w:asciiTheme="minorEastAsia" w:hAnsiTheme="minorEastAsia" w:cs="Arial" w:hint="eastAsia"/>
          <w:color w:val="2B2B2B"/>
          <w:kern w:val="0"/>
          <w:szCs w:val="21"/>
        </w:rPr>
        <w:t>日</w:t>
      </w:r>
    </w:p>
    <w:sectPr w:rsidR="005010CD" w:rsidRPr="00D871FB" w:rsidSect="00473E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A24" w:rsidRDefault="00CD3A24" w:rsidP="002316E0">
      <w:r>
        <w:separator/>
      </w:r>
    </w:p>
  </w:endnote>
  <w:endnote w:type="continuationSeparator" w:id="0">
    <w:p w:rsidR="00CD3A24" w:rsidRDefault="00CD3A24" w:rsidP="00231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A24" w:rsidRDefault="00CD3A24" w:rsidP="002316E0">
      <w:r>
        <w:separator/>
      </w:r>
    </w:p>
  </w:footnote>
  <w:footnote w:type="continuationSeparator" w:id="0">
    <w:p w:rsidR="00CD3A24" w:rsidRDefault="00CD3A24" w:rsidP="002316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5741"/>
    <w:rsid w:val="0002083B"/>
    <w:rsid w:val="00026118"/>
    <w:rsid w:val="000359D4"/>
    <w:rsid w:val="00045F00"/>
    <w:rsid w:val="000855B3"/>
    <w:rsid w:val="000A7498"/>
    <w:rsid w:val="000C3970"/>
    <w:rsid w:val="000D1BA3"/>
    <w:rsid w:val="000F214F"/>
    <w:rsid w:val="00105741"/>
    <w:rsid w:val="001344EB"/>
    <w:rsid w:val="00135C8C"/>
    <w:rsid w:val="001A0344"/>
    <w:rsid w:val="001B7E95"/>
    <w:rsid w:val="001C5136"/>
    <w:rsid w:val="00204A18"/>
    <w:rsid w:val="00224D93"/>
    <w:rsid w:val="00227DDF"/>
    <w:rsid w:val="002316E0"/>
    <w:rsid w:val="00232D13"/>
    <w:rsid w:val="002621F3"/>
    <w:rsid w:val="0027473F"/>
    <w:rsid w:val="00281BE6"/>
    <w:rsid w:val="002A55E6"/>
    <w:rsid w:val="002A64C9"/>
    <w:rsid w:val="002E198C"/>
    <w:rsid w:val="00301A1C"/>
    <w:rsid w:val="00313855"/>
    <w:rsid w:val="00335D56"/>
    <w:rsid w:val="00346FB8"/>
    <w:rsid w:val="00352158"/>
    <w:rsid w:val="00365CE6"/>
    <w:rsid w:val="003801BF"/>
    <w:rsid w:val="003864C2"/>
    <w:rsid w:val="00396256"/>
    <w:rsid w:val="003A12C3"/>
    <w:rsid w:val="003B296F"/>
    <w:rsid w:val="003D37F5"/>
    <w:rsid w:val="003D52CC"/>
    <w:rsid w:val="003F26E3"/>
    <w:rsid w:val="0042580C"/>
    <w:rsid w:val="00444A8F"/>
    <w:rsid w:val="00473EAE"/>
    <w:rsid w:val="0048285C"/>
    <w:rsid w:val="00484636"/>
    <w:rsid w:val="004A51E2"/>
    <w:rsid w:val="005010CD"/>
    <w:rsid w:val="00517A3E"/>
    <w:rsid w:val="005237E4"/>
    <w:rsid w:val="005413AE"/>
    <w:rsid w:val="005475E9"/>
    <w:rsid w:val="00562BED"/>
    <w:rsid w:val="00581050"/>
    <w:rsid w:val="005C4144"/>
    <w:rsid w:val="005D1808"/>
    <w:rsid w:val="005E1065"/>
    <w:rsid w:val="005E1E7A"/>
    <w:rsid w:val="005E2F7E"/>
    <w:rsid w:val="005E7D6C"/>
    <w:rsid w:val="0064378B"/>
    <w:rsid w:val="006B15FE"/>
    <w:rsid w:val="006B7E20"/>
    <w:rsid w:val="006C3145"/>
    <w:rsid w:val="006F7D8B"/>
    <w:rsid w:val="007663E3"/>
    <w:rsid w:val="00770F37"/>
    <w:rsid w:val="0079693C"/>
    <w:rsid w:val="007A65B6"/>
    <w:rsid w:val="007B1FCE"/>
    <w:rsid w:val="007B29AC"/>
    <w:rsid w:val="007D00C2"/>
    <w:rsid w:val="007E78FF"/>
    <w:rsid w:val="0081779A"/>
    <w:rsid w:val="00870E46"/>
    <w:rsid w:val="00884EE4"/>
    <w:rsid w:val="00890DA4"/>
    <w:rsid w:val="008A0BFE"/>
    <w:rsid w:val="008C128B"/>
    <w:rsid w:val="008C1B55"/>
    <w:rsid w:val="008C29A9"/>
    <w:rsid w:val="009422CE"/>
    <w:rsid w:val="00943133"/>
    <w:rsid w:val="00970C55"/>
    <w:rsid w:val="009721BB"/>
    <w:rsid w:val="009824AF"/>
    <w:rsid w:val="009A5D6E"/>
    <w:rsid w:val="009A6382"/>
    <w:rsid w:val="009B0A8D"/>
    <w:rsid w:val="009C38F4"/>
    <w:rsid w:val="009C6BDF"/>
    <w:rsid w:val="009F75EC"/>
    <w:rsid w:val="00A16162"/>
    <w:rsid w:val="00A32CA1"/>
    <w:rsid w:val="00A378B8"/>
    <w:rsid w:val="00A55419"/>
    <w:rsid w:val="00A657C7"/>
    <w:rsid w:val="00A75B8C"/>
    <w:rsid w:val="00A969D6"/>
    <w:rsid w:val="00AA066E"/>
    <w:rsid w:val="00AA5EAA"/>
    <w:rsid w:val="00B17427"/>
    <w:rsid w:val="00B3626E"/>
    <w:rsid w:val="00B468A5"/>
    <w:rsid w:val="00B50758"/>
    <w:rsid w:val="00B53326"/>
    <w:rsid w:val="00BA1959"/>
    <w:rsid w:val="00BB3796"/>
    <w:rsid w:val="00BC2018"/>
    <w:rsid w:val="00BC4F97"/>
    <w:rsid w:val="00BC669B"/>
    <w:rsid w:val="00C07534"/>
    <w:rsid w:val="00C07A28"/>
    <w:rsid w:val="00C10C96"/>
    <w:rsid w:val="00C14CDB"/>
    <w:rsid w:val="00C26749"/>
    <w:rsid w:val="00C554CA"/>
    <w:rsid w:val="00C60480"/>
    <w:rsid w:val="00C66D3D"/>
    <w:rsid w:val="00C6759A"/>
    <w:rsid w:val="00C91F7D"/>
    <w:rsid w:val="00CB0F0C"/>
    <w:rsid w:val="00CD3A24"/>
    <w:rsid w:val="00CF1A63"/>
    <w:rsid w:val="00D06AA6"/>
    <w:rsid w:val="00D37256"/>
    <w:rsid w:val="00D66BA3"/>
    <w:rsid w:val="00D871FB"/>
    <w:rsid w:val="00D96C0F"/>
    <w:rsid w:val="00DA6C91"/>
    <w:rsid w:val="00DD0DDC"/>
    <w:rsid w:val="00DD708A"/>
    <w:rsid w:val="00DF7D8C"/>
    <w:rsid w:val="00E704A5"/>
    <w:rsid w:val="00E72292"/>
    <w:rsid w:val="00E87BB6"/>
    <w:rsid w:val="00E91B8E"/>
    <w:rsid w:val="00EC423E"/>
    <w:rsid w:val="00F20BDC"/>
    <w:rsid w:val="00F30AA9"/>
    <w:rsid w:val="00F41976"/>
    <w:rsid w:val="00F443A1"/>
    <w:rsid w:val="00F44CF4"/>
    <w:rsid w:val="00F70539"/>
    <w:rsid w:val="00FA22F9"/>
    <w:rsid w:val="00FB0412"/>
    <w:rsid w:val="00FB2566"/>
    <w:rsid w:val="00FB4AF6"/>
    <w:rsid w:val="00FF6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3626E"/>
    <w:rPr>
      <w:sz w:val="21"/>
      <w:szCs w:val="21"/>
    </w:rPr>
  </w:style>
  <w:style w:type="paragraph" w:styleId="a4">
    <w:name w:val="annotation text"/>
    <w:basedOn w:val="a"/>
    <w:link w:val="Char"/>
    <w:uiPriority w:val="99"/>
    <w:semiHidden/>
    <w:unhideWhenUsed/>
    <w:rsid w:val="00B3626E"/>
    <w:pPr>
      <w:jc w:val="left"/>
    </w:pPr>
  </w:style>
  <w:style w:type="character" w:customStyle="1" w:styleId="Char">
    <w:name w:val="批注文字 Char"/>
    <w:basedOn w:val="a0"/>
    <w:link w:val="a4"/>
    <w:uiPriority w:val="99"/>
    <w:semiHidden/>
    <w:rsid w:val="00B3626E"/>
  </w:style>
  <w:style w:type="paragraph" w:styleId="a5">
    <w:name w:val="annotation subject"/>
    <w:basedOn w:val="a4"/>
    <w:next w:val="a4"/>
    <w:link w:val="Char0"/>
    <w:uiPriority w:val="99"/>
    <w:semiHidden/>
    <w:unhideWhenUsed/>
    <w:rsid w:val="00B3626E"/>
    <w:rPr>
      <w:b/>
      <w:bCs/>
    </w:rPr>
  </w:style>
  <w:style w:type="character" w:customStyle="1" w:styleId="Char0">
    <w:name w:val="批注主题 Char"/>
    <w:basedOn w:val="Char"/>
    <w:link w:val="a5"/>
    <w:uiPriority w:val="99"/>
    <w:semiHidden/>
    <w:rsid w:val="00B3626E"/>
    <w:rPr>
      <w:b/>
      <w:bCs/>
    </w:rPr>
  </w:style>
  <w:style w:type="paragraph" w:styleId="a6">
    <w:name w:val="Balloon Text"/>
    <w:basedOn w:val="a"/>
    <w:link w:val="Char1"/>
    <w:uiPriority w:val="99"/>
    <w:semiHidden/>
    <w:unhideWhenUsed/>
    <w:rsid w:val="00B3626E"/>
    <w:rPr>
      <w:sz w:val="18"/>
      <w:szCs w:val="18"/>
    </w:rPr>
  </w:style>
  <w:style w:type="character" w:customStyle="1" w:styleId="Char1">
    <w:name w:val="批注框文本 Char"/>
    <w:basedOn w:val="a0"/>
    <w:link w:val="a6"/>
    <w:uiPriority w:val="99"/>
    <w:semiHidden/>
    <w:rsid w:val="00B3626E"/>
    <w:rPr>
      <w:sz w:val="18"/>
      <w:szCs w:val="18"/>
    </w:rPr>
  </w:style>
  <w:style w:type="paragraph" w:styleId="a7">
    <w:name w:val="header"/>
    <w:basedOn w:val="a"/>
    <w:link w:val="Char2"/>
    <w:uiPriority w:val="99"/>
    <w:unhideWhenUsed/>
    <w:rsid w:val="002316E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2316E0"/>
    <w:rPr>
      <w:sz w:val="18"/>
      <w:szCs w:val="18"/>
    </w:rPr>
  </w:style>
  <w:style w:type="paragraph" w:styleId="a8">
    <w:name w:val="footer"/>
    <w:basedOn w:val="a"/>
    <w:link w:val="Char3"/>
    <w:uiPriority w:val="99"/>
    <w:unhideWhenUsed/>
    <w:rsid w:val="002316E0"/>
    <w:pPr>
      <w:tabs>
        <w:tab w:val="center" w:pos="4153"/>
        <w:tab w:val="right" w:pos="8306"/>
      </w:tabs>
      <w:snapToGrid w:val="0"/>
      <w:jc w:val="left"/>
    </w:pPr>
    <w:rPr>
      <w:sz w:val="18"/>
      <w:szCs w:val="18"/>
    </w:rPr>
  </w:style>
  <w:style w:type="character" w:customStyle="1" w:styleId="Char3">
    <w:name w:val="页脚 Char"/>
    <w:basedOn w:val="a0"/>
    <w:link w:val="a8"/>
    <w:uiPriority w:val="99"/>
    <w:rsid w:val="002316E0"/>
    <w:rPr>
      <w:sz w:val="18"/>
      <w:szCs w:val="18"/>
    </w:rPr>
  </w:style>
  <w:style w:type="character" w:styleId="a9">
    <w:name w:val="Placeholder Text"/>
    <w:basedOn w:val="a0"/>
    <w:uiPriority w:val="99"/>
    <w:semiHidden/>
    <w:rsid w:val="00517A3E"/>
    <w:rPr>
      <w:color w:val="808080"/>
    </w:rPr>
  </w:style>
</w:styles>
</file>

<file path=word/webSettings.xml><?xml version="1.0" encoding="utf-8"?>
<w:webSettings xmlns:r="http://schemas.openxmlformats.org/officeDocument/2006/relationships" xmlns:w="http://schemas.openxmlformats.org/wordprocessingml/2006/main">
  <w:divs>
    <w:div w:id="93093843">
      <w:bodyDiv w:val="1"/>
      <w:marLeft w:val="0"/>
      <w:marRight w:val="0"/>
      <w:marTop w:val="0"/>
      <w:marBottom w:val="0"/>
      <w:divBdr>
        <w:top w:val="none" w:sz="0" w:space="0" w:color="auto"/>
        <w:left w:val="none" w:sz="0" w:space="0" w:color="auto"/>
        <w:bottom w:val="none" w:sz="0" w:space="0" w:color="auto"/>
        <w:right w:val="none" w:sz="0" w:space="0" w:color="auto"/>
      </w:divBdr>
      <w:divsChild>
        <w:div w:id="1340694601">
          <w:marLeft w:val="0"/>
          <w:marRight w:val="0"/>
          <w:marTop w:val="0"/>
          <w:marBottom w:val="0"/>
          <w:divBdr>
            <w:top w:val="none" w:sz="0" w:space="0" w:color="auto"/>
            <w:left w:val="none" w:sz="0" w:space="0" w:color="auto"/>
            <w:bottom w:val="none" w:sz="0" w:space="0" w:color="auto"/>
            <w:right w:val="none" w:sz="0" w:space="0" w:color="auto"/>
          </w:divBdr>
        </w:div>
        <w:div w:id="2113016502">
          <w:marLeft w:val="0"/>
          <w:marRight w:val="0"/>
          <w:marTop w:val="0"/>
          <w:marBottom w:val="0"/>
          <w:divBdr>
            <w:top w:val="none" w:sz="0" w:space="0" w:color="auto"/>
            <w:left w:val="none" w:sz="0" w:space="0" w:color="auto"/>
            <w:bottom w:val="none" w:sz="0" w:space="0" w:color="auto"/>
            <w:right w:val="none" w:sz="0" w:space="0" w:color="auto"/>
          </w:divBdr>
        </w:div>
        <w:div w:id="1423381365">
          <w:marLeft w:val="0"/>
          <w:marRight w:val="0"/>
          <w:marTop w:val="0"/>
          <w:marBottom w:val="0"/>
          <w:divBdr>
            <w:top w:val="none" w:sz="0" w:space="0" w:color="auto"/>
            <w:left w:val="none" w:sz="0" w:space="0" w:color="auto"/>
            <w:bottom w:val="none" w:sz="0" w:space="0" w:color="auto"/>
            <w:right w:val="none" w:sz="0" w:space="0" w:color="auto"/>
          </w:divBdr>
        </w:div>
        <w:div w:id="2124421112">
          <w:marLeft w:val="0"/>
          <w:marRight w:val="0"/>
          <w:marTop w:val="0"/>
          <w:marBottom w:val="0"/>
          <w:divBdr>
            <w:top w:val="none" w:sz="0" w:space="0" w:color="auto"/>
            <w:left w:val="none" w:sz="0" w:space="0" w:color="auto"/>
            <w:bottom w:val="none" w:sz="0" w:space="0" w:color="auto"/>
            <w:right w:val="none" w:sz="0" w:space="0" w:color="auto"/>
          </w:divBdr>
        </w:div>
        <w:div w:id="421801369">
          <w:marLeft w:val="0"/>
          <w:marRight w:val="0"/>
          <w:marTop w:val="0"/>
          <w:marBottom w:val="0"/>
          <w:divBdr>
            <w:top w:val="none" w:sz="0" w:space="0" w:color="auto"/>
            <w:left w:val="none" w:sz="0" w:space="0" w:color="auto"/>
            <w:bottom w:val="none" w:sz="0" w:space="0" w:color="auto"/>
            <w:right w:val="none" w:sz="0" w:space="0" w:color="auto"/>
          </w:divBdr>
        </w:div>
        <w:div w:id="1458765845">
          <w:marLeft w:val="0"/>
          <w:marRight w:val="0"/>
          <w:marTop w:val="0"/>
          <w:marBottom w:val="0"/>
          <w:divBdr>
            <w:top w:val="none" w:sz="0" w:space="0" w:color="auto"/>
            <w:left w:val="none" w:sz="0" w:space="0" w:color="auto"/>
            <w:bottom w:val="none" w:sz="0" w:space="0" w:color="auto"/>
            <w:right w:val="none" w:sz="0" w:space="0" w:color="auto"/>
          </w:divBdr>
        </w:div>
        <w:div w:id="909266043">
          <w:marLeft w:val="0"/>
          <w:marRight w:val="0"/>
          <w:marTop w:val="0"/>
          <w:marBottom w:val="0"/>
          <w:divBdr>
            <w:top w:val="none" w:sz="0" w:space="0" w:color="auto"/>
            <w:left w:val="none" w:sz="0" w:space="0" w:color="auto"/>
            <w:bottom w:val="none" w:sz="0" w:space="0" w:color="auto"/>
            <w:right w:val="none" w:sz="0" w:space="0" w:color="auto"/>
          </w:divBdr>
        </w:div>
        <w:div w:id="779490859">
          <w:marLeft w:val="0"/>
          <w:marRight w:val="0"/>
          <w:marTop w:val="0"/>
          <w:marBottom w:val="0"/>
          <w:divBdr>
            <w:top w:val="none" w:sz="0" w:space="0" w:color="auto"/>
            <w:left w:val="none" w:sz="0" w:space="0" w:color="auto"/>
            <w:bottom w:val="none" w:sz="0" w:space="0" w:color="auto"/>
            <w:right w:val="none" w:sz="0" w:space="0" w:color="auto"/>
          </w:divBdr>
        </w:div>
        <w:div w:id="10646021">
          <w:marLeft w:val="0"/>
          <w:marRight w:val="0"/>
          <w:marTop w:val="0"/>
          <w:marBottom w:val="0"/>
          <w:divBdr>
            <w:top w:val="none" w:sz="0" w:space="0" w:color="auto"/>
            <w:left w:val="none" w:sz="0" w:space="0" w:color="auto"/>
            <w:bottom w:val="none" w:sz="0" w:space="0" w:color="auto"/>
            <w:right w:val="none" w:sz="0" w:space="0" w:color="auto"/>
          </w:divBdr>
        </w:div>
        <w:div w:id="1442215590">
          <w:marLeft w:val="0"/>
          <w:marRight w:val="0"/>
          <w:marTop w:val="0"/>
          <w:marBottom w:val="0"/>
          <w:divBdr>
            <w:top w:val="none" w:sz="0" w:space="0" w:color="auto"/>
            <w:left w:val="none" w:sz="0" w:space="0" w:color="auto"/>
            <w:bottom w:val="none" w:sz="0" w:space="0" w:color="auto"/>
            <w:right w:val="none" w:sz="0" w:space="0" w:color="auto"/>
          </w:divBdr>
        </w:div>
        <w:div w:id="2070298996">
          <w:marLeft w:val="0"/>
          <w:marRight w:val="0"/>
          <w:marTop w:val="0"/>
          <w:marBottom w:val="0"/>
          <w:divBdr>
            <w:top w:val="none" w:sz="0" w:space="0" w:color="auto"/>
            <w:left w:val="none" w:sz="0" w:space="0" w:color="auto"/>
            <w:bottom w:val="none" w:sz="0" w:space="0" w:color="auto"/>
            <w:right w:val="none" w:sz="0" w:space="0" w:color="auto"/>
          </w:divBdr>
        </w:div>
        <w:div w:id="345133221">
          <w:marLeft w:val="0"/>
          <w:marRight w:val="0"/>
          <w:marTop w:val="0"/>
          <w:marBottom w:val="0"/>
          <w:divBdr>
            <w:top w:val="none" w:sz="0" w:space="0" w:color="auto"/>
            <w:left w:val="none" w:sz="0" w:space="0" w:color="auto"/>
            <w:bottom w:val="none" w:sz="0" w:space="0" w:color="auto"/>
            <w:right w:val="none" w:sz="0" w:space="0" w:color="auto"/>
          </w:divBdr>
        </w:div>
        <w:div w:id="2064522188">
          <w:marLeft w:val="0"/>
          <w:marRight w:val="0"/>
          <w:marTop w:val="0"/>
          <w:marBottom w:val="0"/>
          <w:divBdr>
            <w:top w:val="none" w:sz="0" w:space="0" w:color="auto"/>
            <w:left w:val="none" w:sz="0" w:space="0" w:color="auto"/>
            <w:bottom w:val="none" w:sz="0" w:space="0" w:color="auto"/>
            <w:right w:val="none" w:sz="0" w:space="0" w:color="auto"/>
          </w:divBdr>
        </w:div>
        <w:div w:id="1691836348">
          <w:marLeft w:val="0"/>
          <w:marRight w:val="0"/>
          <w:marTop w:val="0"/>
          <w:marBottom w:val="0"/>
          <w:divBdr>
            <w:top w:val="none" w:sz="0" w:space="0" w:color="auto"/>
            <w:left w:val="none" w:sz="0" w:space="0" w:color="auto"/>
            <w:bottom w:val="none" w:sz="0" w:space="0" w:color="auto"/>
            <w:right w:val="none" w:sz="0" w:space="0" w:color="auto"/>
          </w:divBdr>
        </w:div>
        <w:div w:id="1092507406">
          <w:marLeft w:val="0"/>
          <w:marRight w:val="0"/>
          <w:marTop w:val="0"/>
          <w:marBottom w:val="0"/>
          <w:divBdr>
            <w:top w:val="none" w:sz="0" w:space="0" w:color="auto"/>
            <w:left w:val="none" w:sz="0" w:space="0" w:color="auto"/>
            <w:bottom w:val="none" w:sz="0" w:space="0" w:color="auto"/>
            <w:right w:val="none" w:sz="0" w:space="0" w:color="auto"/>
          </w:divBdr>
        </w:div>
        <w:div w:id="1292512186">
          <w:marLeft w:val="0"/>
          <w:marRight w:val="0"/>
          <w:marTop w:val="0"/>
          <w:marBottom w:val="0"/>
          <w:divBdr>
            <w:top w:val="none" w:sz="0" w:space="0" w:color="auto"/>
            <w:left w:val="none" w:sz="0" w:space="0" w:color="auto"/>
            <w:bottom w:val="none" w:sz="0" w:space="0" w:color="auto"/>
            <w:right w:val="none" w:sz="0" w:space="0" w:color="auto"/>
          </w:divBdr>
        </w:div>
        <w:div w:id="37708845">
          <w:marLeft w:val="0"/>
          <w:marRight w:val="0"/>
          <w:marTop w:val="0"/>
          <w:marBottom w:val="0"/>
          <w:divBdr>
            <w:top w:val="none" w:sz="0" w:space="0" w:color="auto"/>
            <w:left w:val="none" w:sz="0" w:space="0" w:color="auto"/>
            <w:bottom w:val="none" w:sz="0" w:space="0" w:color="auto"/>
            <w:right w:val="none" w:sz="0" w:space="0" w:color="auto"/>
          </w:divBdr>
        </w:div>
        <w:div w:id="992224860">
          <w:marLeft w:val="0"/>
          <w:marRight w:val="0"/>
          <w:marTop w:val="0"/>
          <w:marBottom w:val="0"/>
          <w:divBdr>
            <w:top w:val="none" w:sz="0" w:space="0" w:color="auto"/>
            <w:left w:val="none" w:sz="0" w:space="0" w:color="auto"/>
            <w:bottom w:val="none" w:sz="0" w:space="0" w:color="auto"/>
            <w:right w:val="none" w:sz="0" w:space="0" w:color="auto"/>
          </w:divBdr>
        </w:div>
        <w:div w:id="632061026">
          <w:marLeft w:val="0"/>
          <w:marRight w:val="0"/>
          <w:marTop w:val="0"/>
          <w:marBottom w:val="0"/>
          <w:divBdr>
            <w:top w:val="none" w:sz="0" w:space="0" w:color="auto"/>
            <w:left w:val="none" w:sz="0" w:space="0" w:color="auto"/>
            <w:bottom w:val="none" w:sz="0" w:space="0" w:color="auto"/>
            <w:right w:val="none" w:sz="0" w:space="0" w:color="auto"/>
          </w:divBdr>
        </w:div>
        <w:div w:id="1577129274">
          <w:marLeft w:val="0"/>
          <w:marRight w:val="0"/>
          <w:marTop w:val="0"/>
          <w:marBottom w:val="0"/>
          <w:divBdr>
            <w:top w:val="none" w:sz="0" w:space="0" w:color="auto"/>
            <w:left w:val="none" w:sz="0" w:space="0" w:color="auto"/>
            <w:bottom w:val="none" w:sz="0" w:space="0" w:color="auto"/>
            <w:right w:val="none" w:sz="0" w:space="0" w:color="auto"/>
          </w:divBdr>
        </w:div>
        <w:div w:id="1415085860">
          <w:marLeft w:val="0"/>
          <w:marRight w:val="0"/>
          <w:marTop w:val="0"/>
          <w:marBottom w:val="0"/>
          <w:divBdr>
            <w:top w:val="none" w:sz="0" w:space="0" w:color="auto"/>
            <w:left w:val="none" w:sz="0" w:space="0" w:color="auto"/>
            <w:bottom w:val="none" w:sz="0" w:space="0" w:color="auto"/>
            <w:right w:val="none" w:sz="0" w:space="0" w:color="auto"/>
          </w:divBdr>
        </w:div>
        <w:div w:id="628705707">
          <w:marLeft w:val="0"/>
          <w:marRight w:val="0"/>
          <w:marTop w:val="0"/>
          <w:marBottom w:val="0"/>
          <w:divBdr>
            <w:top w:val="none" w:sz="0" w:space="0" w:color="auto"/>
            <w:left w:val="none" w:sz="0" w:space="0" w:color="auto"/>
            <w:bottom w:val="none" w:sz="0" w:space="0" w:color="auto"/>
            <w:right w:val="none" w:sz="0" w:space="0" w:color="auto"/>
          </w:divBdr>
        </w:div>
        <w:div w:id="1170679826">
          <w:marLeft w:val="0"/>
          <w:marRight w:val="0"/>
          <w:marTop w:val="0"/>
          <w:marBottom w:val="0"/>
          <w:divBdr>
            <w:top w:val="none" w:sz="0" w:space="0" w:color="auto"/>
            <w:left w:val="none" w:sz="0" w:space="0" w:color="auto"/>
            <w:bottom w:val="none" w:sz="0" w:space="0" w:color="auto"/>
            <w:right w:val="none" w:sz="0" w:space="0" w:color="auto"/>
          </w:divBdr>
        </w:div>
        <w:div w:id="1472753468">
          <w:marLeft w:val="0"/>
          <w:marRight w:val="0"/>
          <w:marTop w:val="0"/>
          <w:marBottom w:val="0"/>
          <w:divBdr>
            <w:top w:val="none" w:sz="0" w:space="0" w:color="auto"/>
            <w:left w:val="none" w:sz="0" w:space="0" w:color="auto"/>
            <w:bottom w:val="none" w:sz="0" w:space="0" w:color="auto"/>
            <w:right w:val="none" w:sz="0" w:space="0" w:color="auto"/>
          </w:divBdr>
        </w:div>
        <w:div w:id="2003270211">
          <w:marLeft w:val="0"/>
          <w:marRight w:val="0"/>
          <w:marTop w:val="0"/>
          <w:marBottom w:val="0"/>
          <w:divBdr>
            <w:top w:val="none" w:sz="0" w:space="0" w:color="auto"/>
            <w:left w:val="none" w:sz="0" w:space="0" w:color="auto"/>
            <w:bottom w:val="none" w:sz="0" w:space="0" w:color="auto"/>
            <w:right w:val="none" w:sz="0" w:space="0" w:color="auto"/>
          </w:divBdr>
        </w:div>
      </w:divsChild>
    </w:div>
    <w:div w:id="317422657">
      <w:bodyDiv w:val="1"/>
      <w:marLeft w:val="0"/>
      <w:marRight w:val="0"/>
      <w:marTop w:val="0"/>
      <w:marBottom w:val="0"/>
      <w:divBdr>
        <w:top w:val="none" w:sz="0" w:space="0" w:color="auto"/>
        <w:left w:val="none" w:sz="0" w:space="0" w:color="auto"/>
        <w:bottom w:val="none" w:sz="0" w:space="0" w:color="auto"/>
        <w:right w:val="none" w:sz="0" w:space="0" w:color="auto"/>
      </w:divBdr>
    </w:div>
    <w:div w:id="697898468">
      <w:bodyDiv w:val="1"/>
      <w:marLeft w:val="0"/>
      <w:marRight w:val="0"/>
      <w:marTop w:val="0"/>
      <w:marBottom w:val="0"/>
      <w:divBdr>
        <w:top w:val="none" w:sz="0" w:space="0" w:color="auto"/>
        <w:left w:val="none" w:sz="0" w:space="0" w:color="auto"/>
        <w:bottom w:val="none" w:sz="0" w:space="0" w:color="auto"/>
        <w:right w:val="none" w:sz="0" w:space="0" w:color="auto"/>
      </w:divBdr>
    </w:div>
    <w:div w:id="966935324">
      <w:bodyDiv w:val="1"/>
      <w:marLeft w:val="0"/>
      <w:marRight w:val="0"/>
      <w:marTop w:val="0"/>
      <w:marBottom w:val="0"/>
      <w:divBdr>
        <w:top w:val="none" w:sz="0" w:space="0" w:color="auto"/>
        <w:left w:val="none" w:sz="0" w:space="0" w:color="auto"/>
        <w:bottom w:val="none" w:sz="0" w:space="0" w:color="auto"/>
        <w:right w:val="none" w:sz="0" w:space="0" w:color="auto"/>
      </w:divBdr>
      <w:divsChild>
        <w:div w:id="2028562314">
          <w:marLeft w:val="0"/>
          <w:marRight w:val="0"/>
          <w:marTop w:val="0"/>
          <w:marBottom w:val="0"/>
          <w:divBdr>
            <w:top w:val="none" w:sz="0" w:space="0" w:color="auto"/>
            <w:left w:val="none" w:sz="0" w:space="0" w:color="auto"/>
            <w:bottom w:val="none" w:sz="0" w:space="0" w:color="auto"/>
            <w:right w:val="none" w:sz="0" w:space="0" w:color="auto"/>
          </w:divBdr>
          <w:divsChild>
            <w:div w:id="690834834">
              <w:marLeft w:val="0"/>
              <w:marRight w:val="0"/>
              <w:marTop w:val="0"/>
              <w:marBottom w:val="0"/>
              <w:divBdr>
                <w:top w:val="none" w:sz="0" w:space="0" w:color="auto"/>
                <w:left w:val="none" w:sz="0" w:space="0" w:color="auto"/>
                <w:bottom w:val="none" w:sz="0" w:space="0" w:color="auto"/>
                <w:right w:val="none" w:sz="0" w:space="0" w:color="auto"/>
              </w:divBdr>
              <w:divsChild>
                <w:div w:id="1311211510">
                  <w:marLeft w:val="0"/>
                  <w:marRight w:val="0"/>
                  <w:marTop w:val="0"/>
                  <w:marBottom w:val="0"/>
                  <w:divBdr>
                    <w:top w:val="none" w:sz="0" w:space="0" w:color="auto"/>
                    <w:left w:val="none" w:sz="0" w:space="0" w:color="auto"/>
                    <w:bottom w:val="none" w:sz="0" w:space="0" w:color="auto"/>
                    <w:right w:val="none" w:sz="0" w:space="0" w:color="auto"/>
                  </w:divBdr>
                  <w:divsChild>
                    <w:div w:id="1241135360">
                      <w:marLeft w:val="0"/>
                      <w:marRight w:val="0"/>
                      <w:marTop w:val="0"/>
                      <w:marBottom w:val="0"/>
                      <w:divBdr>
                        <w:top w:val="none" w:sz="0" w:space="0" w:color="auto"/>
                        <w:left w:val="none" w:sz="0" w:space="0" w:color="auto"/>
                        <w:bottom w:val="none" w:sz="0" w:space="0" w:color="auto"/>
                        <w:right w:val="none" w:sz="0" w:space="0" w:color="auto"/>
                      </w:divBdr>
                      <w:divsChild>
                        <w:div w:id="7794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25209">
      <w:bodyDiv w:val="1"/>
      <w:marLeft w:val="0"/>
      <w:marRight w:val="0"/>
      <w:marTop w:val="0"/>
      <w:marBottom w:val="0"/>
      <w:divBdr>
        <w:top w:val="none" w:sz="0" w:space="0" w:color="auto"/>
        <w:left w:val="none" w:sz="0" w:space="0" w:color="auto"/>
        <w:bottom w:val="none" w:sz="0" w:space="0" w:color="auto"/>
        <w:right w:val="none" w:sz="0" w:space="0" w:color="auto"/>
      </w:divBdr>
      <w:divsChild>
        <w:div w:id="693649702">
          <w:marLeft w:val="0"/>
          <w:marRight w:val="0"/>
          <w:marTop w:val="150"/>
          <w:marBottom w:val="0"/>
          <w:divBdr>
            <w:top w:val="none" w:sz="0" w:space="0" w:color="auto"/>
            <w:left w:val="none" w:sz="0" w:space="0" w:color="auto"/>
            <w:bottom w:val="none" w:sz="0" w:space="0" w:color="auto"/>
            <w:right w:val="none" w:sz="0" w:space="0" w:color="auto"/>
          </w:divBdr>
          <w:divsChild>
            <w:div w:id="1794593869">
              <w:marLeft w:val="0"/>
              <w:marRight w:val="0"/>
              <w:marTop w:val="0"/>
              <w:marBottom w:val="0"/>
              <w:divBdr>
                <w:top w:val="single" w:sz="24" w:space="0" w:color="DCDCDC"/>
                <w:left w:val="none" w:sz="0" w:space="0" w:color="auto"/>
                <w:bottom w:val="none" w:sz="0" w:space="0" w:color="auto"/>
                <w:right w:val="none" w:sz="0" w:space="0" w:color="auto"/>
              </w:divBdr>
              <w:divsChild>
                <w:div w:id="945232337">
                  <w:marLeft w:val="0"/>
                  <w:marRight w:val="0"/>
                  <w:marTop w:val="0"/>
                  <w:marBottom w:val="0"/>
                  <w:divBdr>
                    <w:top w:val="none" w:sz="0" w:space="0" w:color="auto"/>
                    <w:left w:val="none" w:sz="0" w:space="0" w:color="auto"/>
                    <w:bottom w:val="none" w:sz="0" w:space="0" w:color="auto"/>
                    <w:right w:val="none" w:sz="0" w:space="0" w:color="auto"/>
                  </w:divBdr>
                  <w:divsChild>
                    <w:div w:id="760105030">
                      <w:marLeft w:val="0"/>
                      <w:marRight w:val="0"/>
                      <w:marTop w:val="0"/>
                      <w:marBottom w:val="0"/>
                      <w:divBdr>
                        <w:top w:val="none" w:sz="0" w:space="0" w:color="auto"/>
                        <w:left w:val="none" w:sz="0" w:space="0" w:color="auto"/>
                        <w:bottom w:val="none" w:sz="0" w:space="0" w:color="auto"/>
                        <w:right w:val="none" w:sz="0" w:space="0" w:color="auto"/>
                      </w:divBdr>
                      <w:divsChild>
                        <w:div w:id="1164976069">
                          <w:marLeft w:val="0"/>
                          <w:marRight w:val="0"/>
                          <w:marTop w:val="0"/>
                          <w:marBottom w:val="0"/>
                          <w:divBdr>
                            <w:top w:val="none" w:sz="0" w:space="0" w:color="auto"/>
                            <w:left w:val="none" w:sz="0" w:space="0" w:color="auto"/>
                            <w:bottom w:val="none" w:sz="0" w:space="0" w:color="auto"/>
                            <w:right w:val="none" w:sz="0" w:space="0" w:color="auto"/>
                          </w:divBdr>
                        </w:div>
                        <w:div w:id="1675641244">
                          <w:marLeft w:val="0"/>
                          <w:marRight w:val="0"/>
                          <w:marTop w:val="0"/>
                          <w:marBottom w:val="0"/>
                          <w:divBdr>
                            <w:top w:val="none" w:sz="0" w:space="0" w:color="auto"/>
                            <w:left w:val="none" w:sz="0" w:space="0" w:color="auto"/>
                            <w:bottom w:val="none" w:sz="0" w:space="0" w:color="auto"/>
                            <w:right w:val="none" w:sz="0" w:space="0" w:color="auto"/>
                          </w:divBdr>
                        </w:div>
                        <w:div w:id="230819524">
                          <w:marLeft w:val="0"/>
                          <w:marRight w:val="0"/>
                          <w:marTop w:val="0"/>
                          <w:marBottom w:val="0"/>
                          <w:divBdr>
                            <w:top w:val="none" w:sz="0" w:space="0" w:color="auto"/>
                            <w:left w:val="none" w:sz="0" w:space="0" w:color="auto"/>
                            <w:bottom w:val="none" w:sz="0" w:space="0" w:color="auto"/>
                            <w:right w:val="none" w:sz="0" w:space="0" w:color="auto"/>
                          </w:divBdr>
                        </w:div>
                        <w:div w:id="132410098">
                          <w:marLeft w:val="0"/>
                          <w:marRight w:val="0"/>
                          <w:marTop w:val="0"/>
                          <w:marBottom w:val="0"/>
                          <w:divBdr>
                            <w:top w:val="none" w:sz="0" w:space="0" w:color="auto"/>
                            <w:left w:val="none" w:sz="0" w:space="0" w:color="auto"/>
                            <w:bottom w:val="none" w:sz="0" w:space="0" w:color="auto"/>
                            <w:right w:val="none" w:sz="0" w:space="0" w:color="auto"/>
                          </w:divBdr>
                        </w:div>
                        <w:div w:id="17466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82415">
      <w:bodyDiv w:val="1"/>
      <w:marLeft w:val="0"/>
      <w:marRight w:val="0"/>
      <w:marTop w:val="0"/>
      <w:marBottom w:val="0"/>
      <w:divBdr>
        <w:top w:val="none" w:sz="0" w:space="0" w:color="auto"/>
        <w:left w:val="none" w:sz="0" w:space="0" w:color="auto"/>
        <w:bottom w:val="none" w:sz="0" w:space="0" w:color="auto"/>
        <w:right w:val="none" w:sz="0" w:space="0" w:color="auto"/>
      </w:divBdr>
      <w:divsChild>
        <w:div w:id="1825120364">
          <w:marLeft w:val="0"/>
          <w:marRight w:val="0"/>
          <w:marTop w:val="150"/>
          <w:marBottom w:val="0"/>
          <w:divBdr>
            <w:top w:val="none" w:sz="0" w:space="0" w:color="auto"/>
            <w:left w:val="none" w:sz="0" w:space="0" w:color="auto"/>
            <w:bottom w:val="none" w:sz="0" w:space="0" w:color="auto"/>
            <w:right w:val="none" w:sz="0" w:space="0" w:color="auto"/>
          </w:divBdr>
          <w:divsChild>
            <w:div w:id="1156148144">
              <w:marLeft w:val="0"/>
              <w:marRight w:val="0"/>
              <w:marTop w:val="0"/>
              <w:marBottom w:val="0"/>
              <w:divBdr>
                <w:top w:val="single" w:sz="24" w:space="0" w:color="DCDCDC"/>
                <w:left w:val="none" w:sz="0" w:space="0" w:color="auto"/>
                <w:bottom w:val="none" w:sz="0" w:space="0" w:color="auto"/>
                <w:right w:val="none" w:sz="0" w:space="0" w:color="auto"/>
              </w:divBdr>
            </w:div>
          </w:divsChild>
        </w:div>
      </w:divsChild>
    </w:div>
    <w:div w:id="208641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4</DocSecurity>
  <Lines>4</Lines>
  <Paragraphs>1</Paragraphs>
  <ScaleCrop>false</ScaleCrop>
  <Company>Microsoft</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2024-11-10T16:01:00Z</dcterms:created>
  <dcterms:modified xsi:type="dcterms:W3CDTF">2024-11-10T16:01:00Z</dcterms:modified>
</cp:coreProperties>
</file>