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95" w:rsidRDefault="00360495" w:rsidP="00360495">
      <w:pPr>
        <w:jc w:val="center"/>
        <w:rPr>
          <w:rFonts w:ascii="黑体" w:eastAsia="黑体" w:hAnsi="黑体" w:cstheme="minorBidi"/>
          <w:b/>
          <w:sz w:val="30"/>
          <w:szCs w:val="30"/>
        </w:rPr>
      </w:pPr>
      <w:bookmarkStart w:id="0" w:name="_GoBack"/>
      <w:bookmarkEnd w:id="0"/>
      <w:r>
        <w:rPr>
          <w:rFonts w:ascii="黑体" w:eastAsia="黑体" w:hAnsi="黑体" w:cstheme="minorBidi" w:hint="eastAsia"/>
          <w:b/>
          <w:sz w:val="30"/>
          <w:szCs w:val="30"/>
        </w:rPr>
        <w:t>天弘基金管理有限公司关于</w:t>
      </w:r>
      <w:r w:rsidR="00687B2A">
        <w:rPr>
          <w:rFonts w:ascii="黑体" w:eastAsia="黑体" w:hAnsi="黑体" w:cstheme="minorBidi" w:hint="eastAsia"/>
          <w:b/>
          <w:sz w:val="30"/>
          <w:szCs w:val="30"/>
        </w:rPr>
        <w:t>天弘纳斯达克</w:t>
      </w:r>
      <w:r w:rsidR="00687B2A">
        <w:rPr>
          <w:rFonts w:ascii="黑体" w:eastAsia="黑体" w:hAnsi="黑体" w:cstheme="minorBidi"/>
          <w:b/>
          <w:sz w:val="30"/>
          <w:szCs w:val="30"/>
        </w:rPr>
        <w:t>100指数型发起式证券投资基金（QDII）</w:t>
      </w:r>
      <w:r>
        <w:rPr>
          <w:rFonts w:ascii="黑体" w:eastAsia="黑体" w:hAnsi="黑体" w:cstheme="minorBidi" w:hint="eastAsia"/>
          <w:b/>
          <w:sz w:val="30"/>
          <w:szCs w:val="30"/>
        </w:rPr>
        <w:t>调整大额</w:t>
      </w:r>
      <w:r w:rsidR="00687B2A">
        <w:rPr>
          <w:rFonts w:ascii="黑体" w:eastAsia="黑体" w:hAnsi="黑体" w:cstheme="minorBidi" w:hint="eastAsia"/>
          <w:b/>
          <w:sz w:val="30"/>
          <w:szCs w:val="30"/>
        </w:rPr>
        <w:t>申购、定期定额投资</w:t>
      </w:r>
      <w:r>
        <w:rPr>
          <w:rFonts w:ascii="黑体" w:eastAsia="黑体" w:hAnsi="黑体" w:cstheme="minorBidi" w:hint="eastAsia"/>
          <w:b/>
          <w:sz w:val="30"/>
          <w:szCs w:val="30"/>
        </w:rPr>
        <w:t>业务的公告</w:t>
      </w:r>
    </w:p>
    <w:p w:rsidR="00360495" w:rsidRDefault="00360495" w:rsidP="00360495">
      <w:pPr>
        <w:widowControl/>
        <w:wordWrap w:val="0"/>
        <w:spacing w:line="560" w:lineRule="atLeast"/>
        <w:jc w:val="center"/>
        <w:rPr>
          <w:rFonts w:ascii="仿宋_GB2312" w:hAnsi="inherit" w:cs="宋体"/>
          <w:b/>
          <w:kern w:val="0"/>
          <w:sz w:val="24"/>
        </w:rPr>
      </w:pPr>
      <w:r>
        <w:rPr>
          <w:rFonts w:ascii="仿宋_GB2312" w:hAnsi="inherit" w:cs="宋体" w:hint="eastAsia"/>
          <w:b/>
          <w:kern w:val="0"/>
          <w:sz w:val="24"/>
        </w:rPr>
        <w:t>公告送出日期：</w:t>
      </w:r>
      <w:bookmarkStart w:id="1" w:name="PO_inscribe_date_head"/>
      <w:r w:rsidR="00687B2A">
        <w:rPr>
          <w:rFonts w:ascii="仿宋_GB2312" w:hAnsi="inherit" w:cs="宋体" w:hint="eastAsia"/>
          <w:b/>
          <w:kern w:val="0"/>
          <w:sz w:val="24"/>
        </w:rPr>
        <w:t>2024年11月11日</w:t>
      </w:r>
      <w:bookmarkEnd w:id="1"/>
    </w:p>
    <w:p w:rsidR="00360495" w:rsidRDefault="00360495" w:rsidP="00360495">
      <w:pPr>
        <w:widowControl/>
        <w:wordWrap w:val="0"/>
        <w:spacing w:line="560" w:lineRule="atLeast"/>
        <w:jc w:val="center"/>
        <w:rPr>
          <w:rFonts w:ascii="仿宋_GB2312" w:hAnsi="inherit" w:cs="宋体"/>
          <w:b/>
          <w:kern w:val="0"/>
          <w:sz w:val="24"/>
        </w:rPr>
      </w:pPr>
    </w:p>
    <w:p w:rsidR="00360495" w:rsidRDefault="00360495" w:rsidP="00360495">
      <w:pPr>
        <w:pStyle w:val="3"/>
        <w:ind w:firstLine="482"/>
        <w:rPr>
          <w:color w:val="333333"/>
        </w:rPr>
      </w:pPr>
      <w:bookmarkStart w:id="2" w:name="_Toc517881249"/>
      <w:r>
        <w:rPr>
          <w:bdr w:val="none" w:sz="0" w:space="0" w:color="auto" w:frame="1"/>
        </w:rPr>
        <w:t>1</w:t>
      </w:r>
      <w:r>
        <w:rPr>
          <w:rFonts w:hint="eastAsia"/>
          <w:bdr w:val="none" w:sz="0" w:space="0" w:color="auto" w:frame="1"/>
        </w:rPr>
        <w:t>、</w:t>
      </w:r>
      <w:r>
        <w:rPr>
          <w:rFonts w:hint="eastAsia"/>
        </w:rPr>
        <w:t>公告基本信息</w:t>
      </w:r>
      <w:bookmarkEnd w:id="2"/>
    </w:p>
    <w:tbl>
      <w:tblPr>
        <w:tblW w:w="8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989"/>
        <w:gridCol w:w="2556"/>
        <w:gridCol w:w="1783"/>
        <w:gridCol w:w="1783"/>
        <w:gridCol w:w="1783"/>
      </w:tblGrid>
      <w:tr w:rsidR="00360495" w:rsidTr="00687B2A">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spacing w:line="276" w:lineRule="auto"/>
              <w:jc w:val="left"/>
              <w:rPr>
                <w:rFonts w:ascii="仿宋_GB2312" w:hAnsi="inherit" w:cs="宋体"/>
                <w:color w:val="333333"/>
                <w:kern w:val="0"/>
                <w:sz w:val="24"/>
              </w:rPr>
            </w:pPr>
            <w:bookmarkStart w:id="3" w:name="PO_base_info_table"/>
            <w:r>
              <w:rPr>
                <w:rFonts w:ascii="仿宋_GB2312" w:hAnsi="inherit" w:cs="宋体" w:hint="eastAsia"/>
                <w:color w:val="000000"/>
                <w:kern w:val="0"/>
                <w:sz w:val="24"/>
              </w:rPr>
              <w:t>基金名称</w:t>
            </w:r>
          </w:p>
        </w:tc>
        <w:tc>
          <w:tcPr>
            <w:tcW w:w="5349" w:type="dxa"/>
            <w:gridSpan w:val="3"/>
            <w:shd w:val="clear" w:color="auto" w:fill="auto"/>
            <w:tcMar>
              <w:top w:w="0" w:type="dxa"/>
              <w:left w:w="108" w:type="dxa"/>
              <w:bottom w:w="0" w:type="dxa"/>
              <w:right w:w="108" w:type="dxa"/>
            </w:tcMar>
            <w:hideMark/>
          </w:tcPr>
          <w:p w:rsidR="00360495" w:rsidRDefault="00687B2A">
            <w:pPr>
              <w:widowControl/>
              <w:spacing w:line="360" w:lineRule="auto"/>
              <w:jc w:val="left"/>
              <w:rPr>
                <w:rFonts w:ascii="宋体" w:eastAsia="宋体" w:hAnsi="宋体" w:cs="宋体"/>
                <w:color w:val="666666"/>
                <w:kern w:val="0"/>
                <w:sz w:val="18"/>
                <w:szCs w:val="18"/>
              </w:rPr>
            </w:pPr>
            <w:r>
              <w:rPr>
                <w:rFonts w:ascii="仿宋_GB2312" w:hAnsi="inherit" w:cs="宋体" w:hint="eastAsia"/>
                <w:kern w:val="0"/>
                <w:sz w:val="24"/>
              </w:rPr>
              <w:t>天弘纳斯达克100指数型发起式证券投资基金（QDII）</w:t>
            </w:r>
          </w:p>
        </w:tc>
      </w:tr>
      <w:tr w:rsidR="00360495" w:rsidTr="00687B2A">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基金简称</w:t>
            </w:r>
          </w:p>
        </w:tc>
        <w:tc>
          <w:tcPr>
            <w:tcW w:w="5349" w:type="dxa"/>
            <w:gridSpan w:val="3"/>
            <w:shd w:val="clear" w:color="auto" w:fill="auto"/>
            <w:tcMar>
              <w:top w:w="0" w:type="dxa"/>
              <w:left w:w="108" w:type="dxa"/>
              <w:bottom w:w="0" w:type="dxa"/>
              <w:right w:w="108" w:type="dxa"/>
            </w:tcMar>
          </w:tcPr>
          <w:p w:rsidR="00360495" w:rsidRDefault="00687B2A">
            <w:pPr>
              <w:widowControl/>
              <w:spacing w:line="360" w:lineRule="auto"/>
              <w:jc w:val="left"/>
              <w:rPr>
                <w:rFonts w:ascii="仿宋_GB2312" w:hAnsi="inherit" w:cs="宋体"/>
                <w:color w:val="000000"/>
                <w:kern w:val="0"/>
                <w:sz w:val="24"/>
              </w:rPr>
            </w:pPr>
            <w:r>
              <w:rPr>
                <w:rFonts w:ascii="仿宋_GB2312" w:hAnsi="inherit" w:cs="宋体" w:hint="eastAsia"/>
                <w:color w:val="000000"/>
                <w:kern w:val="0"/>
                <w:sz w:val="24"/>
              </w:rPr>
              <w:t>天弘纳斯达克100指数发起（QDII）</w:t>
            </w:r>
          </w:p>
        </w:tc>
      </w:tr>
      <w:tr w:rsidR="00360495" w:rsidTr="00687B2A">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基金主代码</w:t>
            </w:r>
          </w:p>
        </w:tc>
        <w:tc>
          <w:tcPr>
            <w:tcW w:w="5349" w:type="dxa"/>
            <w:gridSpan w:val="3"/>
            <w:shd w:val="clear" w:color="auto" w:fill="auto"/>
            <w:tcMar>
              <w:top w:w="0" w:type="dxa"/>
              <w:left w:w="108" w:type="dxa"/>
              <w:bottom w:w="0" w:type="dxa"/>
              <w:right w:w="108" w:type="dxa"/>
            </w:tcMar>
          </w:tcPr>
          <w:p w:rsidR="00360495" w:rsidRDefault="00687B2A">
            <w:pPr>
              <w:widowControl/>
              <w:spacing w:line="360" w:lineRule="auto"/>
              <w:jc w:val="left"/>
              <w:rPr>
                <w:rFonts w:ascii="仿宋_GB2312" w:hAnsi="inherit" w:cs="宋体"/>
                <w:color w:val="000000"/>
                <w:kern w:val="0"/>
                <w:sz w:val="24"/>
              </w:rPr>
            </w:pPr>
            <w:r>
              <w:rPr>
                <w:rFonts w:ascii="仿宋_GB2312" w:hAnsi="inherit" w:cs="宋体"/>
                <w:color w:val="000000"/>
                <w:kern w:val="0"/>
                <w:sz w:val="24"/>
              </w:rPr>
              <w:t>018043</w:t>
            </w:r>
          </w:p>
        </w:tc>
      </w:tr>
      <w:tr w:rsidR="00360495" w:rsidTr="00687B2A">
        <w:trPr>
          <w:jc w:val="center"/>
        </w:trPr>
        <w:tc>
          <w:tcPr>
            <w:tcW w:w="3545" w:type="dxa"/>
            <w:gridSpan w:val="2"/>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基金管理人名称</w:t>
            </w:r>
          </w:p>
        </w:tc>
        <w:tc>
          <w:tcPr>
            <w:tcW w:w="5349" w:type="dxa"/>
            <w:gridSpan w:val="3"/>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天弘基金管理有限公司</w:t>
            </w:r>
          </w:p>
        </w:tc>
      </w:tr>
      <w:tr w:rsidR="00360495" w:rsidTr="00687B2A">
        <w:trPr>
          <w:jc w:val="center"/>
        </w:trPr>
        <w:tc>
          <w:tcPr>
            <w:tcW w:w="3545" w:type="dxa"/>
            <w:gridSpan w:val="2"/>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公告依据</w:t>
            </w:r>
          </w:p>
        </w:tc>
        <w:tc>
          <w:tcPr>
            <w:tcW w:w="5349" w:type="dxa"/>
            <w:gridSpan w:val="3"/>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根据法律法规及《</w:t>
            </w:r>
            <w:r w:rsidR="00687B2A">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基金合同》、《</w:t>
            </w:r>
            <w:r w:rsidR="00687B2A">
              <w:rPr>
                <w:rFonts w:ascii="仿宋_GB2312" w:hAnsi="inherit" w:cs="宋体" w:hint="eastAsia"/>
                <w:kern w:val="0"/>
                <w:sz w:val="24"/>
              </w:rPr>
              <w:t>天弘纳斯达克100指数型发起式证券投资基金（QDII）</w:t>
            </w:r>
            <w:r>
              <w:rPr>
                <w:rFonts w:ascii="仿宋_GB2312" w:hAnsi="inherit" w:cs="宋体" w:hint="eastAsia"/>
                <w:color w:val="000000"/>
                <w:kern w:val="0"/>
                <w:sz w:val="24"/>
              </w:rPr>
              <w:t>招募说明书》等相关规定</w:t>
            </w:r>
          </w:p>
        </w:tc>
      </w:tr>
      <w:tr w:rsidR="00360495" w:rsidTr="00687B2A">
        <w:trPr>
          <w:jc w:val="center"/>
        </w:trPr>
        <w:tc>
          <w:tcPr>
            <w:tcW w:w="989" w:type="dxa"/>
            <w:vMerge w:val="restart"/>
            <w:shd w:val="clear" w:color="auto" w:fill="auto"/>
            <w:tcMar>
              <w:top w:w="0" w:type="dxa"/>
              <w:left w:w="108" w:type="dxa"/>
              <w:bottom w:w="0" w:type="dxa"/>
              <w:right w:w="108" w:type="dxa"/>
            </w:tcMar>
            <w:vAlign w:val="cente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暂停相关业务的起始日、金额及原因说明</w:t>
            </w: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333333"/>
                <w:kern w:val="0"/>
                <w:sz w:val="24"/>
              </w:rPr>
            </w:pPr>
            <w:r>
              <w:rPr>
                <w:rFonts w:ascii="仿宋_GB2312" w:hAnsi="inherit" w:cs="宋体" w:hint="eastAsia"/>
                <w:color w:val="000000"/>
                <w:kern w:val="0"/>
                <w:sz w:val="24"/>
              </w:rPr>
              <w:t>暂停大额申购起始日</w:t>
            </w:r>
          </w:p>
        </w:tc>
        <w:tc>
          <w:tcPr>
            <w:tcW w:w="5349" w:type="dxa"/>
            <w:gridSpan w:val="3"/>
            <w:shd w:val="clear" w:color="auto" w:fill="auto"/>
            <w:tcMar>
              <w:top w:w="0" w:type="dxa"/>
              <w:left w:w="108" w:type="dxa"/>
              <w:bottom w:w="0" w:type="dxa"/>
              <w:right w:w="108" w:type="dxa"/>
            </w:tcMar>
            <w:hideMark/>
          </w:tcPr>
          <w:p w:rsidR="00360495" w:rsidRDefault="00687B2A">
            <w:pPr>
              <w:widowControl/>
              <w:wordWrap w:val="0"/>
              <w:spacing w:line="276" w:lineRule="auto"/>
              <w:jc w:val="left"/>
              <w:rPr>
                <w:rFonts w:ascii="仿宋_GB2312" w:hAnsi="inherit" w:cs="宋体"/>
                <w:color w:val="000000"/>
                <w:kern w:val="0"/>
                <w:sz w:val="24"/>
              </w:rPr>
            </w:pPr>
            <w:r>
              <w:rPr>
                <w:rFonts w:ascii="仿宋_GB2312" w:hAnsi="inherit" w:cs="宋体" w:hint="eastAsia"/>
                <w:kern w:val="0"/>
                <w:sz w:val="24"/>
              </w:rPr>
              <w:t>2024年11月12日</w:t>
            </w:r>
          </w:p>
        </w:tc>
      </w:tr>
      <w:tr w:rsidR="00360495" w:rsidTr="00687B2A">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暂停大额定期定额投资起始日</w:t>
            </w:r>
          </w:p>
        </w:tc>
        <w:tc>
          <w:tcPr>
            <w:tcW w:w="5349" w:type="dxa"/>
            <w:gridSpan w:val="3"/>
            <w:shd w:val="clear" w:color="auto" w:fill="auto"/>
            <w:tcMar>
              <w:top w:w="0" w:type="dxa"/>
              <w:left w:w="108" w:type="dxa"/>
              <w:bottom w:w="0" w:type="dxa"/>
              <w:right w:w="108" w:type="dxa"/>
            </w:tcMar>
            <w:vAlign w:val="center"/>
            <w:hideMark/>
          </w:tcPr>
          <w:p w:rsidR="00360495" w:rsidRDefault="00687B2A">
            <w:pPr>
              <w:tabs>
                <w:tab w:val="left" w:pos="708"/>
              </w:tabs>
              <w:spacing w:line="276" w:lineRule="auto"/>
              <w:rPr>
                <w:rFonts w:ascii="仿宋_GB2312" w:hAnsi="inherit" w:cs="宋体"/>
                <w:color w:val="000000"/>
                <w:kern w:val="0"/>
                <w:sz w:val="24"/>
              </w:rPr>
            </w:pPr>
            <w:r>
              <w:rPr>
                <w:rFonts w:ascii="仿宋_GB2312" w:hAnsi="inherit" w:cs="宋体" w:hint="eastAsia"/>
                <w:kern w:val="0"/>
                <w:sz w:val="24"/>
              </w:rPr>
              <w:t>2024年11月12日</w:t>
            </w:r>
          </w:p>
        </w:tc>
      </w:tr>
      <w:tr w:rsidR="00360495" w:rsidTr="00687B2A">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限制申购金额（单位：人民币元）</w:t>
            </w:r>
          </w:p>
        </w:tc>
        <w:tc>
          <w:tcPr>
            <w:tcW w:w="5349" w:type="dxa"/>
            <w:gridSpan w:val="3"/>
            <w:shd w:val="clear" w:color="auto" w:fill="auto"/>
            <w:tcMar>
              <w:top w:w="0" w:type="dxa"/>
              <w:left w:w="108" w:type="dxa"/>
              <w:bottom w:w="0" w:type="dxa"/>
              <w:right w:w="108" w:type="dxa"/>
            </w:tcMar>
            <w:vAlign w:val="center"/>
            <w:hideMark/>
          </w:tcPr>
          <w:p w:rsidR="00360495" w:rsidRDefault="00687B2A">
            <w:pPr>
              <w:tabs>
                <w:tab w:val="left" w:pos="708"/>
              </w:tabs>
              <w:spacing w:line="276" w:lineRule="auto"/>
              <w:rPr>
                <w:rFonts w:ascii="仿宋_GB2312" w:hAnsi="inherit" w:cs="宋体"/>
                <w:color w:val="000000"/>
                <w:kern w:val="0"/>
                <w:sz w:val="24"/>
              </w:rPr>
            </w:pPr>
            <w:r>
              <w:rPr>
                <w:rFonts w:ascii="仿宋_GB2312" w:hAnsi="inherit" w:cs="宋体"/>
                <w:kern w:val="0"/>
                <w:sz w:val="24"/>
              </w:rPr>
              <w:t>200,000.00</w:t>
            </w:r>
          </w:p>
        </w:tc>
      </w:tr>
      <w:tr w:rsidR="00360495" w:rsidTr="00687B2A">
        <w:trPr>
          <w:trHeight w:val="469"/>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hideMark/>
          </w:tcPr>
          <w:p w:rsidR="00360495" w:rsidRDefault="00360495">
            <w:pPr>
              <w:widowControl/>
              <w:wordWrap w:val="0"/>
              <w:spacing w:line="276" w:lineRule="auto"/>
              <w:jc w:val="left"/>
              <w:rPr>
                <w:rFonts w:ascii="仿宋_GB2312" w:hAnsi="inherit" w:cs="宋体"/>
                <w:color w:val="000000"/>
                <w:kern w:val="0"/>
                <w:sz w:val="24"/>
              </w:rPr>
            </w:pPr>
            <w:r>
              <w:rPr>
                <w:rFonts w:ascii="仿宋_GB2312" w:hAnsi="inherit" w:cs="宋体" w:hint="eastAsia"/>
                <w:color w:val="000000"/>
                <w:kern w:val="0"/>
                <w:sz w:val="24"/>
              </w:rPr>
              <w:t>限制定期定额投资金额（单位：人民币元）</w:t>
            </w:r>
          </w:p>
        </w:tc>
        <w:tc>
          <w:tcPr>
            <w:tcW w:w="5349" w:type="dxa"/>
            <w:gridSpan w:val="3"/>
            <w:shd w:val="clear" w:color="auto" w:fill="auto"/>
            <w:tcMar>
              <w:top w:w="0" w:type="dxa"/>
              <w:left w:w="108" w:type="dxa"/>
              <w:bottom w:w="0" w:type="dxa"/>
              <w:right w:w="108" w:type="dxa"/>
            </w:tcMar>
            <w:vAlign w:val="center"/>
            <w:hideMark/>
          </w:tcPr>
          <w:p w:rsidR="00360495" w:rsidRDefault="00687B2A">
            <w:pPr>
              <w:tabs>
                <w:tab w:val="left" w:pos="708"/>
              </w:tabs>
              <w:spacing w:line="276" w:lineRule="auto"/>
              <w:rPr>
                <w:rFonts w:ascii="仿宋_GB2312" w:hAnsi="inherit" w:cs="宋体"/>
                <w:color w:val="000000"/>
                <w:kern w:val="0"/>
                <w:sz w:val="24"/>
              </w:rPr>
            </w:pPr>
            <w:r>
              <w:rPr>
                <w:rFonts w:ascii="仿宋_GB2312" w:hAnsi="inherit" w:cs="宋体"/>
                <w:kern w:val="0"/>
                <w:sz w:val="24"/>
              </w:rPr>
              <w:t>200,000.00</w:t>
            </w:r>
          </w:p>
        </w:tc>
      </w:tr>
      <w:tr w:rsidR="00360495" w:rsidTr="00687B2A">
        <w:trPr>
          <w:jc w:val="center"/>
        </w:trPr>
        <w:tc>
          <w:tcPr>
            <w:tcW w:w="0" w:type="auto"/>
            <w:vMerge/>
            <w:shd w:val="clear" w:color="auto" w:fill="auto"/>
            <w:vAlign w:val="center"/>
            <w:hideMark/>
          </w:tcPr>
          <w:p w:rsidR="00360495" w:rsidRDefault="00360495">
            <w:pPr>
              <w:widowControl/>
              <w:jc w:val="left"/>
              <w:rPr>
                <w:rFonts w:ascii="仿宋_GB2312" w:hAnsi="inherit" w:cs="宋体"/>
                <w:color w:val="333333"/>
                <w:kern w:val="0"/>
                <w:sz w:val="24"/>
              </w:rPr>
            </w:pPr>
          </w:p>
        </w:tc>
        <w:tc>
          <w:tcPr>
            <w:tcW w:w="2556" w:type="dxa"/>
            <w:shd w:val="clear" w:color="auto" w:fill="auto"/>
            <w:tcMar>
              <w:top w:w="0" w:type="dxa"/>
              <w:left w:w="108" w:type="dxa"/>
              <w:bottom w:w="0" w:type="dxa"/>
              <w:right w:w="108" w:type="dxa"/>
            </w:tcMar>
            <w:vAlign w:val="center"/>
            <w:hideMark/>
          </w:tcPr>
          <w:p w:rsidR="00360495" w:rsidRDefault="00360495">
            <w:pPr>
              <w:widowControl/>
              <w:wordWrap w:val="0"/>
              <w:spacing w:line="276" w:lineRule="auto"/>
              <w:rPr>
                <w:rFonts w:ascii="仿宋_GB2312" w:hAnsi="inherit" w:cs="宋体"/>
                <w:color w:val="333333"/>
                <w:kern w:val="0"/>
                <w:sz w:val="24"/>
              </w:rPr>
            </w:pPr>
            <w:r>
              <w:rPr>
                <w:rFonts w:ascii="仿宋_GB2312" w:hAnsi="inherit" w:cs="宋体" w:hint="eastAsia"/>
                <w:color w:val="000000"/>
                <w:kern w:val="0"/>
                <w:sz w:val="24"/>
              </w:rPr>
              <w:t>暂停大额申购</w:t>
            </w:r>
            <w:r w:rsidR="00687B2A">
              <w:rPr>
                <w:rFonts w:ascii="仿宋_GB2312" w:hAnsi="inherit" w:cs="宋体" w:hint="eastAsia"/>
                <w:kern w:val="0"/>
                <w:sz w:val="24"/>
              </w:rPr>
              <w:t>（定期定额投资）</w:t>
            </w:r>
            <w:r>
              <w:rPr>
                <w:rFonts w:ascii="仿宋_GB2312" w:hAnsi="inherit" w:cs="宋体" w:hint="eastAsia"/>
                <w:color w:val="000000"/>
                <w:kern w:val="0"/>
                <w:sz w:val="24"/>
              </w:rPr>
              <w:t>的原因说明</w:t>
            </w:r>
          </w:p>
        </w:tc>
        <w:tc>
          <w:tcPr>
            <w:tcW w:w="5349" w:type="dxa"/>
            <w:gridSpan w:val="3"/>
            <w:shd w:val="clear" w:color="auto" w:fill="auto"/>
            <w:tcMar>
              <w:top w:w="0" w:type="dxa"/>
              <w:left w:w="108" w:type="dxa"/>
              <w:bottom w:w="0" w:type="dxa"/>
              <w:right w:w="108" w:type="dxa"/>
            </w:tcMar>
            <w:hideMark/>
          </w:tcPr>
          <w:p w:rsidR="00360495" w:rsidRDefault="00360495">
            <w:pPr>
              <w:tabs>
                <w:tab w:val="left" w:pos="708"/>
              </w:tabs>
              <w:spacing w:line="276" w:lineRule="auto"/>
              <w:rPr>
                <w:rFonts w:ascii="仿宋_GB2312" w:hAnsi="inherit" w:cs="宋体"/>
                <w:color w:val="000000"/>
                <w:kern w:val="0"/>
                <w:sz w:val="24"/>
              </w:rPr>
            </w:pPr>
            <w:r>
              <w:rPr>
                <w:rFonts w:ascii="仿宋_GB2312" w:hAnsi="inherit" w:cs="宋体" w:hint="eastAsia"/>
                <w:color w:val="000000"/>
                <w:kern w:val="0"/>
                <w:sz w:val="24"/>
              </w:rPr>
              <w:t>为了保证基金的平稳运作，保护基金份额持有人利益。</w:t>
            </w:r>
          </w:p>
        </w:tc>
      </w:tr>
      <w:tr w:rsidR="00687B2A" w:rsidTr="00687B2A">
        <w:trPr>
          <w:jc w:val="center"/>
        </w:trPr>
        <w:tc>
          <w:tcPr>
            <w:tcW w:w="989" w:type="dxa"/>
            <w:vMerge w:val="restart"/>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t>下属分级基金信息</w:t>
            </w:r>
          </w:p>
        </w:tc>
        <w:tc>
          <w:tcPr>
            <w:tcW w:w="2556" w:type="dxa"/>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t>下属分级基金的基金简称</w:t>
            </w:r>
          </w:p>
        </w:tc>
        <w:tc>
          <w:tcPr>
            <w:tcW w:w="0" w:type="auto"/>
            <w:shd w:val="clear" w:color="auto" w:fill="auto"/>
            <w:tcMar>
              <w:top w:w="0" w:type="dxa"/>
              <w:left w:w="108" w:type="dxa"/>
              <w:bottom w:w="0" w:type="dxa"/>
              <w:right w:w="108" w:type="dxa"/>
            </w:tcMar>
          </w:tcPr>
          <w:p w:rsidR="00687B2A" w:rsidRDefault="00687B2A">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100指数发起（QDII）A</w:t>
            </w:r>
          </w:p>
        </w:tc>
        <w:tc>
          <w:tcPr>
            <w:tcW w:w="0" w:type="auto"/>
            <w:shd w:val="clear" w:color="auto" w:fill="auto"/>
            <w:tcMar>
              <w:top w:w="0" w:type="dxa"/>
              <w:left w:w="108" w:type="dxa"/>
              <w:bottom w:w="0" w:type="dxa"/>
              <w:right w:w="108" w:type="dxa"/>
            </w:tcMar>
          </w:tcPr>
          <w:p w:rsidR="00687B2A" w:rsidRDefault="00687B2A">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100指数发起（QDII）C</w:t>
            </w:r>
          </w:p>
        </w:tc>
        <w:tc>
          <w:tcPr>
            <w:tcW w:w="0" w:type="auto"/>
            <w:shd w:val="clear" w:color="auto" w:fill="auto"/>
            <w:tcMar>
              <w:top w:w="0" w:type="dxa"/>
              <w:left w:w="108" w:type="dxa"/>
              <w:bottom w:w="0" w:type="dxa"/>
              <w:right w:w="108" w:type="dxa"/>
            </w:tcMar>
          </w:tcPr>
          <w:p w:rsidR="00687B2A" w:rsidRDefault="00687B2A">
            <w:pPr>
              <w:spacing w:line="500" w:lineRule="exact"/>
              <w:rPr>
                <w:rFonts w:ascii="仿宋_GB2312" w:hAnsi="宋体"/>
                <w:sz w:val="24"/>
              </w:rPr>
            </w:pPr>
            <w:r>
              <w:rPr>
                <w:rFonts w:ascii="仿宋_GB2312" w:hAnsi="宋体" w:hint="eastAsia"/>
                <w:sz w:val="24"/>
              </w:rPr>
              <w:t>天弘纳斯达克</w:t>
            </w:r>
            <w:r>
              <w:rPr>
                <w:rFonts w:ascii="仿宋_GB2312" w:hAnsi="宋体"/>
                <w:sz w:val="24"/>
              </w:rPr>
              <w:t>100指数发起（QDII）D</w:t>
            </w:r>
          </w:p>
        </w:tc>
      </w:tr>
      <w:tr w:rsidR="00687B2A" w:rsidTr="004D0D6D">
        <w:trPr>
          <w:jc w:val="center"/>
        </w:trPr>
        <w:tc>
          <w:tcPr>
            <w:tcW w:w="0" w:type="auto"/>
            <w:vMerge/>
            <w:shd w:val="clear" w:color="auto" w:fill="auto"/>
            <w:vAlign w:val="center"/>
            <w:hideMark/>
          </w:tcPr>
          <w:p w:rsidR="00687B2A" w:rsidRDefault="00687B2A">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t>下属分级基金的交易代码</w:t>
            </w:r>
          </w:p>
        </w:tc>
        <w:tc>
          <w:tcPr>
            <w:tcW w:w="0" w:type="auto"/>
            <w:shd w:val="clear" w:color="auto" w:fill="auto"/>
            <w:tcMar>
              <w:top w:w="0" w:type="dxa"/>
              <w:left w:w="108" w:type="dxa"/>
              <w:bottom w:w="0" w:type="dxa"/>
              <w:right w:w="108" w:type="dxa"/>
            </w:tcMar>
          </w:tcPr>
          <w:p w:rsidR="00687B2A" w:rsidRDefault="00687B2A">
            <w:pPr>
              <w:spacing w:line="500" w:lineRule="exact"/>
              <w:rPr>
                <w:rFonts w:ascii="仿宋_GB2312" w:hAnsi="宋体"/>
                <w:sz w:val="24"/>
              </w:rPr>
            </w:pPr>
            <w:r>
              <w:rPr>
                <w:rFonts w:ascii="仿宋_GB2312" w:hAnsi="宋体"/>
                <w:sz w:val="24"/>
              </w:rPr>
              <w:t>018043</w:t>
            </w:r>
          </w:p>
        </w:tc>
        <w:tc>
          <w:tcPr>
            <w:tcW w:w="0" w:type="auto"/>
            <w:shd w:val="clear" w:color="auto" w:fill="auto"/>
            <w:tcMar>
              <w:top w:w="0" w:type="dxa"/>
              <w:left w:w="108" w:type="dxa"/>
              <w:bottom w:w="0" w:type="dxa"/>
              <w:right w:w="108" w:type="dxa"/>
            </w:tcMar>
          </w:tcPr>
          <w:p w:rsidR="00687B2A" w:rsidRDefault="00687B2A">
            <w:pPr>
              <w:spacing w:line="500" w:lineRule="exact"/>
              <w:rPr>
                <w:rFonts w:ascii="仿宋_GB2312" w:hAnsi="宋体"/>
                <w:sz w:val="24"/>
              </w:rPr>
            </w:pPr>
            <w:r>
              <w:rPr>
                <w:rFonts w:ascii="仿宋_GB2312" w:hAnsi="宋体"/>
                <w:sz w:val="24"/>
              </w:rPr>
              <w:t>018044</w:t>
            </w:r>
          </w:p>
        </w:tc>
        <w:tc>
          <w:tcPr>
            <w:tcW w:w="0" w:type="auto"/>
            <w:shd w:val="clear" w:color="auto" w:fill="auto"/>
            <w:tcMar>
              <w:top w:w="0" w:type="dxa"/>
              <w:left w:w="108" w:type="dxa"/>
              <w:bottom w:w="0" w:type="dxa"/>
              <w:right w:w="108" w:type="dxa"/>
            </w:tcMar>
          </w:tcPr>
          <w:p w:rsidR="00687B2A" w:rsidRDefault="00687B2A">
            <w:pPr>
              <w:spacing w:line="500" w:lineRule="exact"/>
              <w:rPr>
                <w:rFonts w:ascii="仿宋_GB2312" w:hAnsi="宋体"/>
                <w:sz w:val="24"/>
              </w:rPr>
            </w:pPr>
            <w:r>
              <w:rPr>
                <w:rFonts w:ascii="仿宋_GB2312" w:hAnsi="宋体"/>
                <w:sz w:val="24"/>
              </w:rPr>
              <w:t>022525</w:t>
            </w:r>
          </w:p>
        </w:tc>
      </w:tr>
      <w:tr w:rsidR="00687B2A" w:rsidTr="006F04A5">
        <w:trPr>
          <w:trHeight w:val="674"/>
          <w:jc w:val="center"/>
        </w:trPr>
        <w:tc>
          <w:tcPr>
            <w:tcW w:w="0" w:type="auto"/>
            <w:vMerge/>
            <w:shd w:val="clear" w:color="auto" w:fill="auto"/>
            <w:vAlign w:val="center"/>
            <w:hideMark/>
          </w:tcPr>
          <w:p w:rsidR="00687B2A" w:rsidRDefault="00687B2A">
            <w:pPr>
              <w:widowControl/>
              <w:jc w:val="left"/>
              <w:rPr>
                <w:rFonts w:ascii="仿宋_GB2312" w:hAnsi="宋体"/>
                <w:sz w:val="24"/>
              </w:rPr>
            </w:pPr>
          </w:p>
        </w:tc>
        <w:tc>
          <w:tcPr>
            <w:tcW w:w="2556" w:type="dxa"/>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t>该分级基金是否暂停大额申购</w:t>
            </w:r>
            <w:r>
              <w:rPr>
                <w:rFonts w:ascii="仿宋_GB2312" w:hAnsi="inherit" w:cs="宋体" w:hint="eastAsia"/>
                <w:kern w:val="0"/>
                <w:sz w:val="24"/>
              </w:rPr>
              <w:t>（定期定额投</w:t>
            </w:r>
            <w:r>
              <w:rPr>
                <w:rFonts w:ascii="仿宋_GB2312" w:hAnsi="inherit" w:cs="宋体" w:hint="eastAsia"/>
                <w:kern w:val="0"/>
                <w:sz w:val="24"/>
              </w:rPr>
              <w:lastRenderedPageBreak/>
              <w:t xml:space="preserve">资） </w:t>
            </w:r>
            <w:r>
              <w:rPr>
                <w:rFonts w:ascii="仿宋_GB2312" w:hAnsi="宋体" w:hint="eastAsia"/>
                <w:sz w:val="24"/>
              </w:rPr>
              <w:t xml:space="preserve"> </w:t>
            </w:r>
          </w:p>
        </w:tc>
        <w:tc>
          <w:tcPr>
            <w:tcW w:w="0" w:type="auto"/>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lastRenderedPageBreak/>
              <w:t>是</w:t>
            </w:r>
          </w:p>
        </w:tc>
        <w:tc>
          <w:tcPr>
            <w:tcW w:w="0" w:type="auto"/>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t>是</w:t>
            </w:r>
          </w:p>
        </w:tc>
        <w:tc>
          <w:tcPr>
            <w:tcW w:w="0" w:type="auto"/>
            <w:shd w:val="clear" w:color="auto" w:fill="auto"/>
            <w:tcMar>
              <w:top w:w="0" w:type="dxa"/>
              <w:left w:w="108" w:type="dxa"/>
              <w:bottom w:w="0" w:type="dxa"/>
              <w:right w:w="108" w:type="dxa"/>
            </w:tcMar>
            <w:hideMark/>
          </w:tcPr>
          <w:p w:rsidR="00687B2A" w:rsidRDefault="00687B2A">
            <w:pPr>
              <w:spacing w:line="500" w:lineRule="exact"/>
              <w:rPr>
                <w:rFonts w:ascii="仿宋_GB2312" w:hAnsi="宋体"/>
                <w:sz w:val="24"/>
              </w:rPr>
            </w:pPr>
            <w:r>
              <w:rPr>
                <w:rFonts w:ascii="仿宋_GB2312" w:hAnsi="宋体" w:hint="eastAsia"/>
                <w:sz w:val="24"/>
              </w:rPr>
              <w:t>是</w:t>
            </w:r>
          </w:p>
        </w:tc>
      </w:tr>
    </w:tbl>
    <w:p w:rsidR="00360495" w:rsidRDefault="00360495" w:rsidP="00360495">
      <w:pPr>
        <w:pStyle w:val="3"/>
        <w:ind w:firstLine="482"/>
        <w:rPr>
          <w:color w:val="333333"/>
        </w:rPr>
      </w:pPr>
      <w:bookmarkStart w:id="4" w:name="_Toc517881250"/>
      <w:bookmarkEnd w:id="3"/>
      <w:r>
        <w:rPr>
          <w:bdr w:val="none" w:sz="0" w:space="0" w:color="auto" w:frame="1"/>
        </w:rPr>
        <w:lastRenderedPageBreak/>
        <w:t>2</w:t>
      </w:r>
      <w:r>
        <w:rPr>
          <w:rFonts w:hint="eastAsia"/>
          <w:bdr w:val="none" w:sz="0" w:space="0" w:color="auto" w:frame="1"/>
        </w:rPr>
        <w:t>、</w:t>
      </w:r>
      <w:r>
        <w:rPr>
          <w:rFonts w:hint="eastAsia"/>
        </w:rPr>
        <w:t>其他需要提示的事项</w:t>
      </w:r>
      <w:bookmarkEnd w:id="4"/>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（1）本公司决定自</w:t>
      </w:r>
      <w:r w:rsidR="00687B2A">
        <w:rPr>
          <w:rFonts w:ascii="仿宋_GB2312" w:hAnsi="inherit" w:cs="宋体" w:hint="eastAsia"/>
          <w:color w:val="000000"/>
          <w:kern w:val="0"/>
          <w:sz w:val="24"/>
        </w:rPr>
        <w:t>2024年11月12日</w:t>
      </w:r>
      <w:r>
        <w:rPr>
          <w:rFonts w:ascii="仿宋_GB2312" w:hAnsi="inherit" w:cs="宋体" w:hint="eastAsia"/>
          <w:color w:val="000000"/>
          <w:kern w:val="0"/>
          <w:sz w:val="24"/>
        </w:rPr>
        <w:t>起，调整</w:t>
      </w:r>
      <w:r w:rsidR="00687B2A">
        <w:rPr>
          <w:rFonts w:ascii="仿宋_GB2312" w:hAnsi="inherit" w:cs="宋体" w:hint="eastAsia"/>
          <w:color w:val="000000"/>
          <w:kern w:val="0"/>
          <w:sz w:val="24"/>
        </w:rPr>
        <w:t>天弘纳斯达克100指数型发起式证券投资基金（QDII）</w:t>
      </w:r>
      <w:r>
        <w:rPr>
          <w:rFonts w:ascii="仿宋_GB2312" w:hAnsi="inherit" w:cs="宋体" w:hint="eastAsia"/>
          <w:color w:val="000000"/>
          <w:kern w:val="0"/>
          <w:sz w:val="24"/>
        </w:rPr>
        <w:t>（以下简称“本基金”）大额申购</w:t>
      </w:r>
      <w:r w:rsidR="00687B2A">
        <w:rPr>
          <w:rFonts w:ascii="仿宋_GB2312" w:hAnsi="inherit" w:cs="宋体" w:hint="eastAsia"/>
          <w:color w:val="000000"/>
          <w:kern w:val="0"/>
          <w:sz w:val="24"/>
        </w:rPr>
        <w:t>（含定期定额投资）</w:t>
      </w:r>
      <w:r>
        <w:rPr>
          <w:rFonts w:ascii="仿宋_GB2312" w:hAnsi="inherit" w:cs="宋体" w:hint="eastAsia"/>
          <w:color w:val="000000"/>
          <w:kern w:val="0"/>
          <w:sz w:val="24"/>
        </w:rPr>
        <w:t>业务金额限制，调整为暂停本基金</w:t>
      </w:r>
      <w:r w:rsidR="00687B2A">
        <w:rPr>
          <w:rFonts w:ascii="仿宋_GB2312" w:hAnsi="inherit" w:cs="宋体" w:hint="eastAsia"/>
          <w:color w:val="000000"/>
          <w:kern w:val="0"/>
          <w:sz w:val="24"/>
        </w:rPr>
        <w:t>单个基金份额</w:t>
      </w:r>
      <w:r>
        <w:rPr>
          <w:rFonts w:ascii="仿宋_GB2312" w:hAnsi="inherit" w:cs="宋体" w:hint="eastAsia"/>
          <w:color w:val="000000"/>
          <w:kern w:val="0"/>
          <w:sz w:val="24"/>
        </w:rPr>
        <w:t>单笔金额</w:t>
      </w:r>
      <w:r w:rsidR="00687B2A">
        <w:rPr>
          <w:rFonts w:ascii="仿宋_GB2312" w:hAnsi="inherit" w:cs="宋体" w:hint="eastAsia"/>
          <w:color w:val="000000"/>
          <w:kern w:val="0"/>
          <w:sz w:val="24"/>
        </w:rPr>
        <w:t>20万元</w:t>
      </w:r>
      <w:r>
        <w:rPr>
          <w:rFonts w:ascii="仿宋_GB2312" w:hAnsi="inherit" w:cs="宋体" w:hint="eastAsia"/>
          <w:color w:val="000000"/>
          <w:kern w:val="0"/>
          <w:sz w:val="24"/>
        </w:rPr>
        <w:t>以上（不含</w:t>
      </w:r>
      <w:r w:rsidR="00687B2A">
        <w:rPr>
          <w:rFonts w:ascii="仿宋_GB2312" w:hAnsi="inherit" w:cs="宋体" w:hint="eastAsia"/>
          <w:color w:val="000000"/>
          <w:kern w:val="0"/>
          <w:sz w:val="24"/>
        </w:rPr>
        <w:t>20万元</w:t>
      </w:r>
      <w:r>
        <w:rPr>
          <w:rFonts w:ascii="仿宋_GB2312" w:hAnsi="inherit" w:cs="宋体" w:hint="eastAsia"/>
          <w:color w:val="000000"/>
          <w:kern w:val="0"/>
          <w:sz w:val="24"/>
        </w:rPr>
        <w:t>）的申购</w:t>
      </w:r>
      <w:r w:rsidR="00687B2A">
        <w:rPr>
          <w:rFonts w:ascii="仿宋_GB2312" w:hAnsi="inherit" w:cs="宋体" w:hint="eastAsia"/>
          <w:color w:val="000000"/>
          <w:kern w:val="0"/>
          <w:sz w:val="24"/>
        </w:rPr>
        <w:t>（含定期定额投资）</w:t>
      </w:r>
      <w:r>
        <w:rPr>
          <w:rFonts w:ascii="仿宋_GB2312" w:hAnsi="inherit" w:cs="宋体" w:hint="eastAsia"/>
          <w:color w:val="000000"/>
          <w:kern w:val="0"/>
          <w:sz w:val="24"/>
        </w:rPr>
        <w:t>业务申请，且单个基金账户单日累计申购</w:t>
      </w:r>
      <w:r w:rsidR="00687B2A">
        <w:rPr>
          <w:rFonts w:ascii="仿宋_GB2312" w:hAnsi="inherit" w:cs="宋体" w:hint="eastAsia"/>
          <w:color w:val="000000"/>
          <w:kern w:val="0"/>
          <w:sz w:val="24"/>
        </w:rPr>
        <w:t>单个基金份额</w:t>
      </w:r>
      <w:r>
        <w:rPr>
          <w:rFonts w:ascii="仿宋_GB2312" w:hAnsi="inherit" w:cs="宋体" w:hint="eastAsia"/>
          <w:color w:val="000000"/>
          <w:kern w:val="0"/>
          <w:sz w:val="24"/>
        </w:rPr>
        <w:t>的金额不得超过</w:t>
      </w:r>
      <w:r w:rsidR="00687B2A">
        <w:rPr>
          <w:rFonts w:ascii="仿宋_GB2312" w:hAnsi="inherit" w:cs="宋体" w:hint="eastAsia"/>
          <w:color w:val="000000"/>
          <w:kern w:val="0"/>
          <w:sz w:val="24"/>
        </w:rPr>
        <w:t>20万元</w:t>
      </w:r>
      <w:r>
        <w:rPr>
          <w:rFonts w:ascii="仿宋_GB2312" w:hAnsi="inherit" w:cs="宋体" w:hint="eastAsia"/>
          <w:color w:val="000000"/>
          <w:kern w:val="0"/>
          <w:sz w:val="24"/>
        </w:rPr>
        <w:t>（不含</w:t>
      </w:r>
      <w:r w:rsidR="00687B2A">
        <w:rPr>
          <w:rFonts w:ascii="仿宋_GB2312" w:hAnsi="inherit" w:cs="宋体" w:hint="eastAsia"/>
          <w:color w:val="000000"/>
          <w:kern w:val="0"/>
          <w:sz w:val="24"/>
        </w:rPr>
        <w:t>20万元</w:t>
      </w:r>
      <w:r>
        <w:rPr>
          <w:rFonts w:ascii="仿宋_GB2312" w:hAnsi="inherit" w:cs="宋体" w:hint="eastAsia"/>
          <w:color w:val="000000"/>
          <w:kern w:val="0"/>
          <w:sz w:val="24"/>
        </w:rPr>
        <w:t>）。如单日累计申购</w:t>
      </w:r>
      <w:r w:rsidR="00687B2A">
        <w:rPr>
          <w:rFonts w:ascii="仿宋_GB2312" w:hAnsi="inherit" w:cs="宋体" w:hint="eastAsia"/>
          <w:color w:val="000000"/>
          <w:kern w:val="0"/>
          <w:sz w:val="24"/>
        </w:rPr>
        <w:t>单个基金份额的</w:t>
      </w:r>
      <w:r>
        <w:rPr>
          <w:rFonts w:ascii="仿宋_GB2312" w:hAnsi="inherit" w:cs="宋体" w:hint="eastAsia"/>
          <w:color w:val="000000"/>
          <w:kern w:val="0"/>
          <w:sz w:val="24"/>
        </w:rPr>
        <w:t>金额超过</w:t>
      </w:r>
      <w:r w:rsidR="00687B2A">
        <w:rPr>
          <w:rFonts w:ascii="仿宋_GB2312" w:hAnsi="inherit" w:cs="宋体" w:hint="eastAsia"/>
          <w:color w:val="000000"/>
          <w:kern w:val="0"/>
          <w:sz w:val="24"/>
        </w:rPr>
        <w:t>20万元</w:t>
      </w:r>
      <w:r>
        <w:rPr>
          <w:rFonts w:ascii="仿宋_GB2312" w:hAnsi="inherit" w:cs="宋体" w:hint="eastAsia"/>
          <w:color w:val="000000"/>
          <w:kern w:val="0"/>
          <w:sz w:val="24"/>
        </w:rPr>
        <w:t>，本公司有权拒绝。</w:t>
      </w:r>
    </w:p>
    <w:p w:rsidR="00360495" w:rsidRDefault="00360495" w:rsidP="00360495">
      <w:pPr>
        <w:widowControl/>
        <w:wordWrap w:val="0"/>
        <w:spacing w:line="360" w:lineRule="auto"/>
        <w:ind w:firstLine="240"/>
        <w:rPr>
          <w:rFonts w:ascii="仿宋_GB2312" w:hAnsi="inherit" w:cs="宋体"/>
          <w:color w:val="FF0000"/>
          <w:kern w:val="0"/>
          <w:sz w:val="24"/>
        </w:rPr>
      </w:pPr>
      <w:r>
        <w:rPr>
          <w:rFonts w:ascii="仿宋_GB2312" w:hAnsi="inherit" w:cs="宋体" w:hint="eastAsia"/>
          <w:color w:val="000000"/>
          <w:kern w:val="0"/>
          <w:sz w:val="24"/>
        </w:rPr>
        <w:t>（2）在上述期间的交易日，本基金赎回业务等其他业务以及本基金管理人管理的其他开放式基金的各项交易业务仍正常办理；</w:t>
      </w:r>
      <w:r w:rsidR="00020286">
        <w:rPr>
          <w:rFonts w:ascii="仿宋_GB2312" w:hAnsi="inherit" w:cs="宋体" w:hint="eastAsia"/>
          <w:color w:val="000000"/>
          <w:kern w:val="0"/>
          <w:sz w:val="24"/>
        </w:rPr>
        <w:t>本基金</w:t>
      </w:r>
      <w:r>
        <w:rPr>
          <w:rFonts w:ascii="仿宋_GB2312" w:hAnsi="inherit" w:cs="宋体" w:hint="eastAsia"/>
          <w:color w:val="000000"/>
          <w:kern w:val="0"/>
          <w:sz w:val="24"/>
        </w:rPr>
        <w:t>恢复办理大额</w:t>
      </w:r>
      <w:r>
        <w:rPr>
          <w:rFonts w:ascii="仿宋_GB2312" w:hAnsi="inherit" w:cs="宋体" w:hint="eastAsia"/>
          <w:kern w:val="0"/>
          <w:sz w:val="24"/>
        </w:rPr>
        <w:t>申购</w:t>
      </w:r>
      <w:r w:rsidR="00687B2A">
        <w:rPr>
          <w:rFonts w:ascii="仿宋_GB2312" w:hAnsi="inherit" w:cs="宋体" w:hint="eastAsia"/>
          <w:color w:val="000000"/>
          <w:kern w:val="0"/>
          <w:sz w:val="24"/>
        </w:rPr>
        <w:t>（含定期定额投资）</w:t>
      </w:r>
      <w:r>
        <w:rPr>
          <w:rFonts w:ascii="仿宋_GB2312" w:hAnsi="inherit" w:cs="宋体" w:hint="eastAsia"/>
          <w:color w:val="000000"/>
          <w:kern w:val="0"/>
          <w:sz w:val="24"/>
        </w:rPr>
        <w:t>业务的具体时间，本公司将另行公告。</w:t>
      </w: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（3）投资者可登录本公司网站（www.thfund.com.cn）查询相关信息或拨打客户服务电话（95046）咨询相关事宜。</w:t>
      </w:r>
    </w:p>
    <w:p w:rsidR="00360495" w:rsidRDefault="00360495" w:rsidP="00360495">
      <w:pPr>
        <w:widowControl/>
        <w:wordWrap w:val="0"/>
        <w:spacing w:line="360" w:lineRule="auto"/>
        <w:ind w:firstLine="240"/>
        <w:rPr>
          <w:rFonts w:ascii="仿宋_GB2312" w:hAnsi="inherit" w:cs="宋体"/>
          <w:color w:val="000000"/>
          <w:kern w:val="0"/>
          <w:sz w:val="24"/>
        </w:rPr>
      </w:pPr>
    </w:p>
    <w:p w:rsidR="00360495" w:rsidRDefault="00360495" w:rsidP="00360495">
      <w:pPr>
        <w:widowControl/>
        <w:wordWrap w:val="0"/>
        <w:spacing w:line="360" w:lineRule="auto"/>
        <w:ind w:firstLine="240"/>
        <w:rPr>
          <w:rFonts w:ascii="仿宋_GB2312" w:hAnsi="inherit" w:cs="宋体"/>
          <w:color w:val="000000"/>
          <w:kern w:val="0"/>
          <w:sz w:val="24"/>
        </w:rPr>
      </w:pPr>
      <w:r>
        <w:rPr>
          <w:rFonts w:ascii="仿宋_GB2312" w:hAnsi="inherit" w:cs="宋体" w:hint="eastAsia"/>
          <w:color w:val="000000"/>
          <w:kern w:val="0"/>
          <w:sz w:val="24"/>
        </w:rPr>
        <w:t xml:space="preserve">  风险提示： </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本公司承诺以诚实信用、勤勉尽责的原则管理和运用基金资产，但不保证基金一定盈利，也不保证最低收益。敬请投资者留意投资风险。</w:t>
      </w:r>
    </w:p>
    <w:p w:rsidR="00360495" w:rsidRDefault="00360495" w:rsidP="00360495">
      <w:pPr>
        <w:widowControl/>
        <w:wordWrap w:val="0"/>
        <w:spacing w:line="360" w:lineRule="auto"/>
        <w:ind w:firstLineChars="150" w:firstLine="360"/>
        <w:rPr>
          <w:rFonts w:ascii="仿宋_GB2312" w:hAnsi="inherit" w:cs="宋体"/>
          <w:color w:val="000000"/>
          <w:kern w:val="0"/>
          <w:sz w:val="24"/>
        </w:rPr>
      </w:pPr>
      <w:r>
        <w:rPr>
          <w:rFonts w:ascii="仿宋_GB2312" w:hAnsi="inherit" w:cs="宋体" w:hint="eastAsia"/>
          <w:color w:val="000000"/>
          <w:kern w:val="0"/>
          <w:sz w:val="24"/>
        </w:rPr>
        <w:t>特此公告。</w:t>
      </w:r>
    </w:p>
    <w:p w:rsidR="00360495" w:rsidRDefault="00360495" w:rsidP="00360495">
      <w:pPr>
        <w:widowControl/>
        <w:spacing w:line="480" w:lineRule="atLeast"/>
        <w:ind w:right="480"/>
        <w:rPr>
          <w:rFonts w:ascii="仿宋_GB2312" w:hAnsi="inherit" w:cs="宋体"/>
          <w:color w:val="000000"/>
          <w:kern w:val="0"/>
          <w:sz w:val="24"/>
        </w:rPr>
      </w:pPr>
    </w:p>
    <w:p w:rsidR="00360495" w:rsidRDefault="00360495" w:rsidP="00360495">
      <w:pPr>
        <w:widowControl/>
        <w:spacing w:line="480" w:lineRule="atLeast"/>
        <w:ind w:firstLine="480"/>
        <w:jc w:val="right"/>
        <w:rPr>
          <w:rFonts w:ascii="仿宋_GB2312" w:hAnsi="inherit" w:cs="宋体"/>
          <w:color w:val="000000"/>
          <w:kern w:val="0"/>
          <w:sz w:val="24"/>
        </w:rPr>
      </w:pPr>
      <w:r>
        <w:rPr>
          <w:rFonts w:ascii="仿宋_GB2312" w:hAnsi="inherit" w:cs="宋体" w:hint="eastAsia"/>
          <w:color w:val="000000"/>
          <w:kern w:val="0"/>
          <w:sz w:val="24"/>
        </w:rPr>
        <w:t xml:space="preserve"> 天弘基金管理有限公司</w:t>
      </w:r>
    </w:p>
    <w:p w:rsidR="00360495" w:rsidRDefault="00687B2A" w:rsidP="00360495">
      <w:pPr>
        <w:widowControl/>
        <w:spacing w:line="480" w:lineRule="atLeast"/>
        <w:ind w:firstLine="480"/>
        <w:jc w:val="right"/>
        <w:rPr>
          <w:rFonts w:ascii="仿宋_GB2312" w:hAnsi="inherit" w:cs="宋体"/>
          <w:color w:val="000000"/>
          <w:kern w:val="0"/>
          <w:sz w:val="24"/>
        </w:rPr>
      </w:pPr>
      <w:bookmarkStart w:id="5" w:name="PO_inscribe_date_end"/>
      <w:r>
        <w:rPr>
          <w:rFonts w:ascii="仿宋_GB2312" w:hAnsi="inherit" w:cs="宋体" w:hint="eastAsia"/>
          <w:kern w:val="0"/>
          <w:sz w:val="24"/>
        </w:rPr>
        <w:t>二〇二四年十一月十一日</w:t>
      </w:r>
      <w:bookmarkEnd w:id="5"/>
      <w:r w:rsidR="00360495">
        <w:rPr>
          <w:rFonts w:ascii="仿宋_GB2312" w:hAnsi="inherit" w:cs="宋体" w:hint="eastAsia"/>
          <w:color w:val="000000"/>
          <w:kern w:val="0"/>
          <w:sz w:val="24"/>
        </w:rPr>
        <w:t xml:space="preserve"> </w:t>
      </w:r>
    </w:p>
    <w:p w:rsidR="00360495" w:rsidRDefault="00360495" w:rsidP="00360495">
      <w:pPr>
        <w:widowControl/>
        <w:jc w:val="left"/>
      </w:pPr>
    </w:p>
    <w:p w:rsidR="00360495" w:rsidRDefault="00360495" w:rsidP="00360495"/>
    <w:p w:rsidR="00360495" w:rsidRDefault="00360495" w:rsidP="00360495"/>
    <w:p w:rsidR="00540289" w:rsidRPr="00360495" w:rsidRDefault="00540289" w:rsidP="00360495"/>
    <w:sectPr w:rsidR="00540289" w:rsidRPr="00360495" w:rsidSect="00E922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A4" w:rsidRDefault="00E75AA4" w:rsidP="00D83A33">
      <w:r>
        <w:separator/>
      </w:r>
    </w:p>
  </w:endnote>
  <w:endnote w:type="continuationSeparator" w:id="0">
    <w:p w:rsidR="00E75AA4" w:rsidRDefault="00E75AA4" w:rsidP="00D8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A4" w:rsidRDefault="00E75AA4" w:rsidP="00D83A33">
      <w:r>
        <w:separator/>
      </w:r>
    </w:p>
  </w:footnote>
  <w:footnote w:type="continuationSeparator" w:id="0">
    <w:p w:rsidR="00E75AA4" w:rsidRDefault="00E75AA4" w:rsidP="00D8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4D4"/>
    <w:rsid w:val="000067E0"/>
    <w:rsid w:val="00020286"/>
    <w:rsid w:val="00022A4A"/>
    <w:rsid w:val="00046385"/>
    <w:rsid w:val="000605B3"/>
    <w:rsid w:val="00091D05"/>
    <w:rsid w:val="000A333D"/>
    <w:rsid w:val="000B798D"/>
    <w:rsid w:val="000C6A08"/>
    <w:rsid w:val="000D2113"/>
    <w:rsid w:val="000D22E3"/>
    <w:rsid w:val="000D6A76"/>
    <w:rsid w:val="000E06A1"/>
    <w:rsid w:val="000F00BC"/>
    <w:rsid w:val="000F41AF"/>
    <w:rsid w:val="00101575"/>
    <w:rsid w:val="00177D38"/>
    <w:rsid w:val="00177E30"/>
    <w:rsid w:val="00187424"/>
    <w:rsid w:val="001B14DD"/>
    <w:rsid w:val="001B5135"/>
    <w:rsid w:val="001B6A3D"/>
    <w:rsid w:val="001C20A2"/>
    <w:rsid w:val="001D370A"/>
    <w:rsid w:val="00234E79"/>
    <w:rsid w:val="0023630D"/>
    <w:rsid w:val="002444EE"/>
    <w:rsid w:val="00244509"/>
    <w:rsid w:val="00246716"/>
    <w:rsid w:val="00254778"/>
    <w:rsid w:val="00265547"/>
    <w:rsid w:val="00270D5B"/>
    <w:rsid w:val="0029189C"/>
    <w:rsid w:val="002A2673"/>
    <w:rsid w:val="002C442C"/>
    <w:rsid w:val="002E6614"/>
    <w:rsid w:val="00312430"/>
    <w:rsid w:val="00334127"/>
    <w:rsid w:val="00344D21"/>
    <w:rsid w:val="00353495"/>
    <w:rsid w:val="00360495"/>
    <w:rsid w:val="00373507"/>
    <w:rsid w:val="003769FD"/>
    <w:rsid w:val="0038418E"/>
    <w:rsid w:val="00390DE1"/>
    <w:rsid w:val="003A2424"/>
    <w:rsid w:val="003C4088"/>
    <w:rsid w:val="003E67A6"/>
    <w:rsid w:val="0042699A"/>
    <w:rsid w:val="004401AA"/>
    <w:rsid w:val="00441A75"/>
    <w:rsid w:val="00443970"/>
    <w:rsid w:val="00456642"/>
    <w:rsid w:val="00463062"/>
    <w:rsid w:val="004702C9"/>
    <w:rsid w:val="004819C9"/>
    <w:rsid w:val="004B06FA"/>
    <w:rsid w:val="004F5776"/>
    <w:rsid w:val="004F58F5"/>
    <w:rsid w:val="00507EA1"/>
    <w:rsid w:val="0051209B"/>
    <w:rsid w:val="0052236C"/>
    <w:rsid w:val="00523661"/>
    <w:rsid w:val="00540289"/>
    <w:rsid w:val="0054649D"/>
    <w:rsid w:val="0054755C"/>
    <w:rsid w:val="005576D1"/>
    <w:rsid w:val="005640AB"/>
    <w:rsid w:val="00572C54"/>
    <w:rsid w:val="005944ED"/>
    <w:rsid w:val="005D71DD"/>
    <w:rsid w:val="005E4CD0"/>
    <w:rsid w:val="006069A1"/>
    <w:rsid w:val="00626F00"/>
    <w:rsid w:val="00627E33"/>
    <w:rsid w:val="006359B7"/>
    <w:rsid w:val="006601A5"/>
    <w:rsid w:val="00660ABF"/>
    <w:rsid w:val="006629CE"/>
    <w:rsid w:val="006713F8"/>
    <w:rsid w:val="00672086"/>
    <w:rsid w:val="00672DDB"/>
    <w:rsid w:val="006857BF"/>
    <w:rsid w:val="00687B2A"/>
    <w:rsid w:val="006A14FA"/>
    <w:rsid w:val="006A150D"/>
    <w:rsid w:val="006B1CEF"/>
    <w:rsid w:val="006C31A4"/>
    <w:rsid w:val="006D4EB0"/>
    <w:rsid w:val="006F37C2"/>
    <w:rsid w:val="006F624B"/>
    <w:rsid w:val="007059CB"/>
    <w:rsid w:val="00717437"/>
    <w:rsid w:val="00743B7D"/>
    <w:rsid w:val="00751A06"/>
    <w:rsid w:val="00752517"/>
    <w:rsid w:val="007D543F"/>
    <w:rsid w:val="007E333F"/>
    <w:rsid w:val="007E523D"/>
    <w:rsid w:val="007F1A0A"/>
    <w:rsid w:val="007F2733"/>
    <w:rsid w:val="007F7F98"/>
    <w:rsid w:val="0080588D"/>
    <w:rsid w:val="0082133F"/>
    <w:rsid w:val="008224D4"/>
    <w:rsid w:val="00874A50"/>
    <w:rsid w:val="008768D8"/>
    <w:rsid w:val="008A4909"/>
    <w:rsid w:val="008D5972"/>
    <w:rsid w:val="008E1D70"/>
    <w:rsid w:val="008E7499"/>
    <w:rsid w:val="00912733"/>
    <w:rsid w:val="00926C6A"/>
    <w:rsid w:val="00954CCF"/>
    <w:rsid w:val="0097729B"/>
    <w:rsid w:val="009A416E"/>
    <w:rsid w:val="00A156C7"/>
    <w:rsid w:val="00A408E3"/>
    <w:rsid w:val="00A42E3C"/>
    <w:rsid w:val="00A45D57"/>
    <w:rsid w:val="00A52506"/>
    <w:rsid w:val="00A532D2"/>
    <w:rsid w:val="00A729DF"/>
    <w:rsid w:val="00A90C3D"/>
    <w:rsid w:val="00AA438E"/>
    <w:rsid w:val="00AD2D62"/>
    <w:rsid w:val="00AE0EFE"/>
    <w:rsid w:val="00B23F62"/>
    <w:rsid w:val="00B40C52"/>
    <w:rsid w:val="00B43F33"/>
    <w:rsid w:val="00B54E12"/>
    <w:rsid w:val="00B610F7"/>
    <w:rsid w:val="00B6269F"/>
    <w:rsid w:val="00B64DA0"/>
    <w:rsid w:val="00B66C84"/>
    <w:rsid w:val="00B8404B"/>
    <w:rsid w:val="00B90390"/>
    <w:rsid w:val="00B9075B"/>
    <w:rsid w:val="00BA1991"/>
    <w:rsid w:val="00BA3BC3"/>
    <w:rsid w:val="00BB1CB5"/>
    <w:rsid w:val="00BB6CC1"/>
    <w:rsid w:val="00BB7CE7"/>
    <w:rsid w:val="00BF7782"/>
    <w:rsid w:val="00C00EBB"/>
    <w:rsid w:val="00C04B74"/>
    <w:rsid w:val="00C12B9E"/>
    <w:rsid w:val="00C175AD"/>
    <w:rsid w:val="00C31B62"/>
    <w:rsid w:val="00C452E1"/>
    <w:rsid w:val="00C50E55"/>
    <w:rsid w:val="00C607A3"/>
    <w:rsid w:val="00C60EAF"/>
    <w:rsid w:val="00C639A3"/>
    <w:rsid w:val="00C64130"/>
    <w:rsid w:val="00C64493"/>
    <w:rsid w:val="00C75D50"/>
    <w:rsid w:val="00C868AD"/>
    <w:rsid w:val="00CC0B61"/>
    <w:rsid w:val="00CC3858"/>
    <w:rsid w:val="00D01D36"/>
    <w:rsid w:val="00D06D3C"/>
    <w:rsid w:val="00D07F0F"/>
    <w:rsid w:val="00D756ED"/>
    <w:rsid w:val="00D83A33"/>
    <w:rsid w:val="00D958FD"/>
    <w:rsid w:val="00D973C9"/>
    <w:rsid w:val="00DB5D02"/>
    <w:rsid w:val="00DD0D2B"/>
    <w:rsid w:val="00DD480D"/>
    <w:rsid w:val="00DF2527"/>
    <w:rsid w:val="00E46C56"/>
    <w:rsid w:val="00E72FD8"/>
    <w:rsid w:val="00E74862"/>
    <w:rsid w:val="00E75AA4"/>
    <w:rsid w:val="00E76063"/>
    <w:rsid w:val="00E92236"/>
    <w:rsid w:val="00E966B1"/>
    <w:rsid w:val="00EB2537"/>
    <w:rsid w:val="00EB544B"/>
    <w:rsid w:val="00EC3A3E"/>
    <w:rsid w:val="00EC3FE4"/>
    <w:rsid w:val="00ED39F3"/>
    <w:rsid w:val="00F03165"/>
    <w:rsid w:val="00F0550D"/>
    <w:rsid w:val="00F50831"/>
    <w:rsid w:val="00F51A6F"/>
    <w:rsid w:val="00F52776"/>
    <w:rsid w:val="00F534FC"/>
    <w:rsid w:val="00F818F6"/>
    <w:rsid w:val="00F96DAB"/>
    <w:rsid w:val="00FA70C9"/>
    <w:rsid w:val="00FB36C8"/>
    <w:rsid w:val="00FC36EE"/>
    <w:rsid w:val="00FC562D"/>
    <w:rsid w:val="00FD3B8B"/>
    <w:rsid w:val="00FF3E50"/>
    <w:rsid w:val="00FF6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pPr>
      <w:widowControl w:val="0"/>
      <w:jc w:val="both"/>
    </w:pPr>
    <w:rPr>
      <w:rFonts w:ascii="Times New Roman" w:eastAsia="仿宋_GB2312" w:hAnsi="Times New Roman" w:cs="Times New Roman"/>
      <w:szCs w:val="24"/>
    </w:rPr>
  </w:style>
  <w:style w:type="paragraph" w:styleId="2">
    <w:name w:val="heading 2"/>
    <w:basedOn w:val="a"/>
    <w:next w:val="a"/>
    <w:link w:val="2Char"/>
    <w:uiPriority w:val="9"/>
    <w:unhideWhenUsed/>
    <w:qFormat/>
    <w:rsid w:val="00B840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8404B"/>
    <w:pPr>
      <w:keepNext/>
      <w:keepLines/>
      <w:spacing w:line="500" w:lineRule="exact"/>
      <w:ind w:firstLineChars="200" w:firstLine="200"/>
      <w:jc w:val="left"/>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8404B"/>
    <w:rPr>
      <w:rFonts w:ascii="Times New Roman" w:eastAsia="仿宋_GB2312" w:hAnsi="Times New Roman" w:cs="Times New Roman"/>
      <w:b/>
      <w:bCs/>
      <w:sz w:val="24"/>
      <w:szCs w:val="32"/>
    </w:rPr>
  </w:style>
  <w:style w:type="character" w:customStyle="1" w:styleId="2Char">
    <w:name w:val="标题 2 Char"/>
    <w:basedOn w:val="a0"/>
    <w:link w:val="2"/>
    <w:uiPriority w:val="9"/>
    <w:rsid w:val="00B8404B"/>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234E79"/>
    <w:rPr>
      <w:sz w:val="21"/>
      <w:szCs w:val="21"/>
    </w:rPr>
  </w:style>
  <w:style w:type="paragraph" w:styleId="a4">
    <w:name w:val="annotation text"/>
    <w:basedOn w:val="a"/>
    <w:link w:val="Char"/>
    <w:uiPriority w:val="99"/>
    <w:semiHidden/>
    <w:unhideWhenUsed/>
    <w:rsid w:val="00234E79"/>
    <w:pPr>
      <w:jc w:val="left"/>
    </w:pPr>
  </w:style>
  <w:style w:type="character" w:customStyle="1" w:styleId="Char">
    <w:name w:val="批注文字 Char"/>
    <w:basedOn w:val="a0"/>
    <w:link w:val="a4"/>
    <w:uiPriority w:val="99"/>
    <w:semiHidden/>
    <w:rsid w:val="00234E79"/>
    <w:rPr>
      <w:rFonts w:ascii="Times New Roman" w:eastAsia="仿宋_GB2312" w:hAnsi="Times New Roman" w:cs="Times New Roman"/>
      <w:szCs w:val="24"/>
    </w:rPr>
  </w:style>
  <w:style w:type="paragraph" w:styleId="a5">
    <w:name w:val="annotation subject"/>
    <w:basedOn w:val="a4"/>
    <w:next w:val="a4"/>
    <w:link w:val="Char0"/>
    <w:uiPriority w:val="99"/>
    <w:semiHidden/>
    <w:unhideWhenUsed/>
    <w:rsid w:val="00234E79"/>
    <w:rPr>
      <w:b/>
      <w:bCs/>
    </w:rPr>
  </w:style>
  <w:style w:type="character" w:customStyle="1" w:styleId="Char0">
    <w:name w:val="批注主题 Char"/>
    <w:basedOn w:val="Char"/>
    <w:link w:val="a5"/>
    <w:uiPriority w:val="99"/>
    <w:semiHidden/>
    <w:rsid w:val="00234E79"/>
    <w:rPr>
      <w:rFonts w:ascii="Times New Roman" w:eastAsia="仿宋_GB2312" w:hAnsi="Times New Roman" w:cs="Times New Roman"/>
      <w:b/>
      <w:bCs/>
      <w:szCs w:val="24"/>
    </w:rPr>
  </w:style>
  <w:style w:type="paragraph" w:styleId="a6">
    <w:name w:val="Balloon Text"/>
    <w:basedOn w:val="a"/>
    <w:link w:val="Char1"/>
    <w:uiPriority w:val="99"/>
    <w:semiHidden/>
    <w:unhideWhenUsed/>
    <w:rsid w:val="00234E79"/>
    <w:rPr>
      <w:sz w:val="18"/>
      <w:szCs w:val="18"/>
    </w:rPr>
  </w:style>
  <w:style w:type="character" w:customStyle="1" w:styleId="Char1">
    <w:name w:val="批注框文本 Char"/>
    <w:basedOn w:val="a0"/>
    <w:link w:val="a6"/>
    <w:uiPriority w:val="99"/>
    <w:semiHidden/>
    <w:rsid w:val="00234E79"/>
    <w:rPr>
      <w:rFonts w:ascii="Times New Roman" w:eastAsia="仿宋_GB2312" w:hAnsi="Times New Roman" w:cs="Times New Roman"/>
      <w:sz w:val="18"/>
      <w:szCs w:val="18"/>
    </w:rPr>
  </w:style>
  <w:style w:type="paragraph" w:styleId="a7">
    <w:name w:val="header"/>
    <w:basedOn w:val="a"/>
    <w:link w:val="Char2"/>
    <w:uiPriority w:val="99"/>
    <w:unhideWhenUsed/>
    <w:rsid w:val="00D83A3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83A33"/>
    <w:rPr>
      <w:rFonts w:ascii="Times New Roman" w:eastAsia="仿宋_GB2312" w:hAnsi="Times New Roman" w:cs="Times New Roman"/>
      <w:sz w:val="18"/>
      <w:szCs w:val="18"/>
    </w:rPr>
  </w:style>
  <w:style w:type="paragraph" w:styleId="a8">
    <w:name w:val="footer"/>
    <w:basedOn w:val="a"/>
    <w:link w:val="Char3"/>
    <w:uiPriority w:val="99"/>
    <w:unhideWhenUsed/>
    <w:rsid w:val="00D83A33"/>
    <w:pPr>
      <w:tabs>
        <w:tab w:val="center" w:pos="4153"/>
        <w:tab w:val="right" w:pos="8306"/>
      </w:tabs>
      <w:snapToGrid w:val="0"/>
      <w:jc w:val="left"/>
    </w:pPr>
    <w:rPr>
      <w:sz w:val="18"/>
      <w:szCs w:val="18"/>
    </w:rPr>
  </w:style>
  <w:style w:type="character" w:customStyle="1" w:styleId="Char3">
    <w:name w:val="页脚 Char"/>
    <w:basedOn w:val="a0"/>
    <w:link w:val="a8"/>
    <w:uiPriority w:val="99"/>
    <w:rsid w:val="00D83A33"/>
    <w:rPr>
      <w:rFonts w:ascii="Times New Roman" w:eastAsia="仿宋_GB2312" w:hAnsi="Times New Roman" w:cs="Times New Roman"/>
      <w:sz w:val="18"/>
      <w:szCs w:val="18"/>
    </w:rPr>
  </w:style>
  <w:style w:type="table" w:styleId="a9">
    <w:name w:val="Table Grid"/>
    <w:basedOn w:val="a1"/>
    <w:uiPriority w:val="39"/>
    <w:rsid w:val="0074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9C82-877E-4928-B5CE-D6A0DC36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4</DocSecurity>
  <Lines>7</Lines>
  <Paragraphs>2</Paragraphs>
  <ScaleCrop>false</ScaleCrop>
  <Company>Microsoft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焦国娟</dc:creator>
  <cp:keywords/>
  <dc:description/>
  <cp:lastModifiedBy>ZHONGM</cp:lastModifiedBy>
  <cp:revision>2</cp:revision>
  <dcterms:created xsi:type="dcterms:W3CDTF">2024-11-10T16:01:00Z</dcterms:created>
  <dcterms:modified xsi:type="dcterms:W3CDTF">2024-11-10T16:01:00Z</dcterms:modified>
</cp:coreProperties>
</file>