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80" w:rsidRPr="00365CE6" w:rsidRDefault="009824AF" w:rsidP="00365CE6">
      <w:pPr>
        <w:spacing w:line="540" w:lineRule="exact"/>
        <w:jc w:val="center"/>
        <w:rPr>
          <w:rFonts w:asciiTheme="minorEastAsia" w:hAnsiTheme="minorEastAsia" w:cs="Arial"/>
          <w:color w:val="2B2B2B"/>
          <w:kern w:val="0"/>
          <w:szCs w:val="21"/>
        </w:rPr>
      </w:pPr>
      <w:bookmarkStart w:id="0" w:name="_GoBack"/>
      <w:bookmarkEnd w:id="0"/>
      <w:r w:rsidRPr="009824AF">
        <w:rPr>
          <w:rFonts w:asciiTheme="majorEastAsia" w:eastAsiaTheme="majorEastAsia" w:hAnsiTheme="majorEastAsia" w:cs="Arial" w:hint="eastAsia"/>
          <w:b/>
          <w:color w:val="FF0000"/>
          <w:kern w:val="0"/>
          <w:sz w:val="28"/>
          <w:szCs w:val="24"/>
        </w:rPr>
        <w:t>关于</w:t>
      </w:r>
      <w:r w:rsidR="00335DC6">
        <w:rPr>
          <w:rFonts w:asciiTheme="majorEastAsia" w:eastAsiaTheme="majorEastAsia" w:hAnsiTheme="majorEastAsia" w:cs="Arial" w:hint="eastAsia"/>
          <w:b/>
          <w:color w:val="FF0000"/>
          <w:kern w:val="0"/>
          <w:sz w:val="28"/>
          <w:szCs w:val="24"/>
        </w:rPr>
        <w:t>嘉实中证A500交易型开放式指数证券投资基金联接基金</w:t>
      </w:r>
      <w:r>
        <w:rPr>
          <w:rFonts w:asciiTheme="majorEastAsia" w:eastAsiaTheme="majorEastAsia" w:hAnsiTheme="majorEastAsia" w:cs="Arial"/>
          <w:b/>
          <w:color w:val="FF0000"/>
          <w:kern w:val="0"/>
          <w:sz w:val="28"/>
          <w:szCs w:val="24"/>
        </w:rPr>
        <w:br/>
      </w:r>
      <w:r w:rsidRPr="009824AF">
        <w:rPr>
          <w:rFonts w:asciiTheme="majorEastAsia" w:eastAsiaTheme="majorEastAsia" w:hAnsiTheme="majorEastAsia" w:cs="Arial" w:hint="eastAsia"/>
          <w:b/>
          <w:color w:val="FF0000"/>
          <w:kern w:val="0"/>
          <w:sz w:val="28"/>
          <w:szCs w:val="24"/>
        </w:rPr>
        <w:t>进行比例配售的公告</w:t>
      </w:r>
    </w:p>
    <w:p w:rsidR="009824AF" w:rsidRPr="009824AF" w:rsidRDefault="00335DC6" w:rsidP="009824AF">
      <w:pPr>
        <w:spacing w:line="540" w:lineRule="exact"/>
        <w:ind w:firstLineChars="200" w:firstLine="420"/>
        <w:rPr>
          <w:rFonts w:asciiTheme="minorEastAsia" w:hAnsiTheme="minorEastAsia" w:cs="Arial"/>
          <w:color w:val="2B2B2B"/>
          <w:kern w:val="0"/>
          <w:szCs w:val="21"/>
        </w:rPr>
      </w:pPr>
      <w:r>
        <w:rPr>
          <w:rFonts w:asciiTheme="minorEastAsia" w:hAnsiTheme="minorEastAsia" w:cs="Arial" w:hint="eastAsia"/>
          <w:color w:val="2B2B2B"/>
          <w:kern w:val="0"/>
          <w:szCs w:val="21"/>
        </w:rPr>
        <w:t>嘉实中证A500交易型开放式指数证券投资基金联接基金</w:t>
      </w:r>
      <w:r w:rsidR="009824AF" w:rsidRPr="009824AF">
        <w:rPr>
          <w:rFonts w:asciiTheme="minorEastAsia" w:hAnsiTheme="minorEastAsia" w:cs="Arial" w:hint="eastAsia"/>
          <w:color w:val="2B2B2B"/>
          <w:kern w:val="0"/>
          <w:szCs w:val="21"/>
        </w:rPr>
        <w:t>（以下简称“本基金”）</w:t>
      </w:r>
      <w:r w:rsidR="00007FAE">
        <w:rPr>
          <w:rFonts w:asciiTheme="minorEastAsia" w:hAnsiTheme="minorEastAsia" w:cs="Arial" w:hint="eastAsia"/>
          <w:color w:val="2B2B2B"/>
          <w:kern w:val="0"/>
          <w:szCs w:val="21"/>
        </w:rPr>
        <w:t>已</w:t>
      </w:r>
      <w:r w:rsidR="009824AF" w:rsidRPr="009824AF">
        <w:rPr>
          <w:rFonts w:asciiTheme="minorEastAsia" w:hAnsiTheme="minorEastAsia" w:cs="Arial" w:hint="eastAsia"/>
          <w:color w:val="2B2B2B"/>
          <w:kern w:val="0"/>
          <w:szCs w:val="21"/>
        </w:rPr>
        <w:t>于</w:t>
      </w:r>
      <w:r w:rsidRPr="009824AF">
        <w:rPr>
          <w:rFonts w:asciiTheme="minorEastAsia" w:hAnsiTheme="minorEastAsia" w:cs="Arial" w:hint="eastAsia"/>
          <w:color w:val="2B2B2B"/>
          <w:kern w:val="0"/>
          <w:szCs w:val="21"/>
        </w:rPr>
        <w:t>20</w:t>
      </w:r>
      <w:r>
        <w:rPr>
          <w:rFonts w:asciiTheme="minorEastAsia" w:hAnsiTheme="minorEastAsia" w:cs="Arial"/>
          <w:color w:val="2B2B2B"/>
          <w:kern w:val="0"/>
          <w:szCs w:val="21"/>
        </w:rPr>
        <w:t>24</w:t>
      </w:r>
      <w:r w:rsidR="009824AF" w:rsidRPr="009824AF">
        <w:rPr>
          <w:rFonts w:asciiTheme="minorEastAsia" w:hAnsiTheme="minorEastAsia" w:cs="Arial" w:hint="eastAsia"/>
          <w:color w:val="2B2B2B"/>
          <w:kern w:val="0"/>
          <w:szCs w:val="21"/>
        </w:rPr>
        <w:t>年</w:t>
      </w:r>
      <w:r>
        <w:rPr>
          <w:rFonts w:asciiTheme="minorEastAsia" w:hAnsiTheme="minorEastAsia" w:cs="Arial"/>
          <w:color w:val="2B2B2B"/>
          <w:kern w:val="0"/>
          <w:szCs w:val="21"/>
        </w:rPr>
        <w:t>11</w:t>
      </w:r>
      <w:r w:rsidR="009824AF" w:rsidRPr="009824AF">
        <w:rPr>
          <w:rFonts w:asciiTheme="minorEastAsia" w:hAnsiTheme="minorEastAsia" w:cs="Arial" w:hint="eastAsia"/>
          <w:color w:val="2B2B2B"/>
          <w:kern w:val="0"/>
          <w:szCs w:val="21"/>
        </w:rPr>
        <w:t>月</w:t>
      </w:r>
      <w:r>
        <w:rPr>
          <w:rFonts w:asciiTheme="minorEastAsia" w:hAnsiTheme="minorEastAsia" w:cs="Arial"/>
          <w:color w:val="2B2B2B"/>
          <w:kern w:val="0"/>
          <w:szCs w:val="21"/>
        </w:rPr>
        <w:t>8</w:t>
      </w:r>
      <w:r w:rsidR="009824AF" w:rsidRPr="009824AF">
        <w:rPr>
          <w:rFonts w:asciiTheme="minorEastAsia" w:hAnsiTheme="minorEastAsia" w:cs="Arial" w:hint="eastAsia"/>
          <w:color w:val="2B2B2B"/>
          <w:kern w:val="0"/>
          <w:szCs w:val="21"/>
        </w:rPr>
        <w:t>日结束募集。根据《</w:t>
      </w:r>
      <w:r>
        <w:rPr>
          <w:rFonts w:asciiTheme="minorEastAsia" w:hAnsiTheme="minorEastAsia" w:cs="Arial" w:hint="eastAsia"/>
          <w:color w:val="2B2B2B"/>
          <w:kern w:val="0"/>
          <w:szCs w:val="21"/>
        </w:rPr>
        <w:t>嘉实中证A500交易型开放式指数证券投资基金联接基金</w:t>
      </w:r>
      <w:r w:rsidR="009824AF" w:rsidRPr="009824AF">
        <w:rPr>
          <w:rFonts w:asciiTheme="minorEastAsia" w:hAnsiTheme="minorEastAsia" w:cs="Arial" w:hint="eastAsia"/>
          <w:color w:val="2B2B2B"/>
          <w:kern w:val="0"/>
          <w:szCs w:val="21"/>
        </w:rPr>
        <w:t>基金份额发售公告》</w:t>
      </w:r>
      <w:r w:rsidR="00444A8F">
        <w:rPr>
          <w:rFonts w:asciiTheme="minorEastAsia" w:hAnsiTheme="minorEastAsia" w:cs="Arial" w:hint="eastAsia"/>
          <w:color w:val="2B2B2B"/>
          <w:kern w:val="0"/>
          <w:szCs w:val="21"/>
        </w:rPr>
        <w:t>的有关规定</w:t>
      </w:r>
      <w:r w:rsidR="009824AF" w:rsidRPr="009824AF">
        <w:rPr>
          <w:rFonts w:asciiTheme="minorEastAsia" w:hAnsiTheme="minorEastAsia" w:cs="Arial" w:hint="eastAsia"/>
          <w:color w:val="2B2B2B"/>
          <w:kern w:val="0"/>
          <w:szCs w:val="21"/>
        </w:rPr>
        <w:t>，</w:t>
      </w:r>
      <w:r w:rsidR="00444A8F" w:rsidRPr="009824AF">
        <w:rPr>
          <w:rFonts w:asciiTheme="minorEastAsia" w:hAnsiTheme="minorEastAsia" w:cs="Arial" w:hint="eastAsia"/>
          <w:color w:val="2B2B2B"/>
          <w:kern w:val="0"/>
          <w:szCs w:val="21"/>
        </w:rPr>
        <w:t>本基金</w:t>
      </w:r>
      <w:r w:rsidR="009824AF" w:rsidRPr="009824AF">
        <w:rPr>
          <w:rFonts w:asciiTheme="minorEastAsia" w:hAnsiTheme="minorEastAsia" w:cs="Arial" w:hint="eastAsia"/>
          <w:color w:val="2B2B2B"/>
          <w:kern w:val="0"/>
          <w:szCs w:val="21"/>
        </w:rPr>
        <w:t>募集规模上限</w:t>
      </w:r>
      <w:r w:rsidR="00CA023D">
        <w:rPr>
          <w:rFonts w:asciiTheme="minorEastAsia" w:hAnsiTheme="minorEastAsia" w:cs="Arial" w:hint="eastAsia"/>
          <w:color w:val="2B2B2B"/>
          <w:kern w:val="0"/>
          <w:szCs w:val="21"/>
        </w:rPr>
        <w:t>为</w:t>
      </w:r>
      <w:r>
        <w:rPr>
          <w:rFonts w:asciiTheme="minorEastAsia" w:hAnsiTheme="minorEastAsia" w:cs="Arial"/>
          <w:color w:val="2B2B2B"/>
          <w:kern w:val="0"/>
          <w:szCs w:val="21"/>
        </w:rPr>
        <w:t>50</w:t>
      </w:r>
      <w:r w:rsidR="009824AF" w:rsidRPr="009824AF">
        <w:rPr>
          <w:rFonts w:asciiTheme="minorEastAsia" w:hAnsiTheme="minorEastAsia" w:cs="Arial" w:hint="eastAsia"/>
          <w:color w:val="2B2B2B"/>
          <w:kern w:val="0"/>
          <w:szCs w:val="21"/>
        </w:rPr>
        <w:t>亿元人民币（不包括募集期利息）</w:t>
      </w:r>
      <w:r w:rsidR="009824AF">
        <w:rPr>
          <w:rFonts w:asciiTheme="minorEastAsia" w:hAnsiTheme="minorEastAsia" w:cs="Arial" w:hint="eastAsia"/>
          <w:color w:val="2B2B2B"/>
          <w:kern w:val="0"/>
          <w:szCs w:val="21"/>
        </w:rPr>
        <w:t>。</w:t>
      </w:r>
    </w:p>
    <w:p w:rsidR="009824AF" w:rsidRPr="009824AF" w:rsidRDefault="009824AF" w:rsidP="009824AF">
      <w:pPr>
        <w:spacing w:line="540" w:lineRule="exact"/>
        <w:ind w:firstLineChars="200" w:firstLine="420"/>
        <w:rPr>
          <w:rFonts w:asciiTheme="minorEastAsia" w:hAnsiTheme="minorEastAsia" w:cs="Arial"/>
          <w:color w:val="2B2B2B"/>
          <w:kern w:val="0"/>
          <w:szCs w:val="21"/>
        </w:rPr>
      </w:pPr>
      <w:r w:rsidRPr="009824AF">
        <w:rPr>
          <w:rFonts w:asciiTheme="minorEastAsia" w:hAnsiTheme="minorEastAsia" w:cs="Arial" w:hint="eastAsia"/>
          <w:color w:val="2B2B2B"/>
          <w:kern w:val="0"/>
          <w:szCs w:val="21"/>
        </w:rPr>
        <w:t>截至</w:t>
      </w:r>
      <w:r w:rsidR="00335DC6" w:rsidRPr="009824AF">
        <w:rPr>
          <w:rFonts w:asciiTheme="minorEastAsia" w:hAnsiTheme="minorEastAsia" w:cs="Arial" w:hint="eastAsia"/>
          <w:color w:val="2B2B2B"/>
          <w:kern w:val="0"/>
          <w:szCs w:val="21"/>
        </w:rPr>
        <w:t>202</w:t>
      </w:r>
      <w:r w:rsidR="00335DC6">
        <w:rPr>
          <w:rFonts w:asciiTheme="minorEastAsia" w:hAnsiTheme="minorEastAsia" w:cs="Arial"/>
          <w:color w:val="2B2B2B"/>
          <w:kern w:val="0"/>
          <w:szCs w:val="21"/>
        </w:rPr>
        <w:t>4</w:t>
      </w:r>
      <w:r w:rsidRPr="009824AF">
        <w:rPr>
          <w:rFonts w:asciiTheme="minorEastAsia" w:hAnsiTheme="minorEastAsia" w:cs="Arial" w:hint="eastAsia"/>
          <w:color w:val="2B2B2B"/>
          <w:kern w:val="0"/>
          <w:szCs w:val="21"/>
        </w:rPr>
        <w:t>年</w:t>
      </w:r>
      <w:r w:rsidR="00335DC6">
        <w:rPr>
          <w:rFonts w:asciiTheme="minorEastAsia" w:hAnsiTheme="minorEastAsia" w:cs="Arial"/>
          <w:color w:val="2B2B2B"/>
          <w:kern w:val="0"/>
          <w:szCs w:val="21"/>
        </w:rPr>
        <w:t>11</w:t>
      </w:r>
      <w:r w:rsidRPr="009824AF">
        <w:rPr>
          <w:rFonts w:asciiTheme="minorEastAsia" w:hAnsiTheme="minorEastAsia" w:cs="Arial" w:hint="eastAsia"/>
          <w:color w:val="2B2B2B"/>
          <w:kern w:val="0"/>
          <w:szCs w:val="21"/>
        </w:rPr>
        <w:t>月</w:t>
      </w:r>
      <w:r w:rsidR="00335DC6">
        <w:rPr>
          <w:rFonts w:asciiTheme="minorEastAsia" w:hAnsiTheme="minorEastAsia" w:cs="Arial"/>
          <w:color w:val="2B2B2B"/>
          <w:kern w:val="0"/>
          <w:szCs w:val="21"/>
        </w:rPr>
        <w:t>8</w:t>
      </w:r>
      <w:r w:rsidRPr="009824AF">
        <w:rPr>
          <w:rFonts w:asciiTheme="minorEastAsia" w:hAnsiTheme="minorEastAsia" w:cs="Arial" w:hint="eastAsia"/>
          <w:color w:val="2B2B2B"/>
          <w:kern w:val="0"/>
          <w:szCs w:val="21"/>
        </w:rPr>
        <w:t>日，</w:t>
      </w:r>
      <w:r w:rsidR="008B7926" w:rsidRPr="008B7926">
        <w:rPr>
          <w:rFonts w:asciiTheme="minorEastAsia" w:hAnsiTheme="minorEastAsia" w:cs="Arial" w:hint="eastAsia"/>
          <w:color w:val="2B2B2B"/>
          <w:kern w:val="0"/>
          <w:szCs w:val="21"/>
        </w:rPr>
        <w:t>本基金有效认购申请金额（不包括募集期利息）超过本基金募集规模上限</w:t>
      </w:r>
      <w:r w:rsidR="008B7926">
        <w:rPr>
          <w:rFonts w:asciiTheme="minorEastAsia" w:hAnsiTheme="minorEastAsia" w:cs="Arial"/>
          <w:color w:val="2B2B2B"/>
          <w:kern w:val="0"/>
          <w:szCs w:val="21"/>
        </w:rPr>
        <w:t>50</w:t>
      </w:r>
      <w:r w:rsidR="008B7926" w:rsidRPr="008B7926">
        <w:rPr>
          <w:rFonts w:asciiTheme="minorEastAsia" w:hAnsiTheme="minorEastAsia" w:cs="Arial" w:hint="eastAsia"/>
          <w:color w:val="2B2B2B"/>
          <w:kern w:val="0"/>
          <w:szCs w:val="21"/>
        </w:rPr>
        <w:t>亿元人民币</w:t>
      </w:r>
      <w:r w:rsidRPr="009824AF">
        <w:rPr>
          <w:rFonts w:asciiTheme="minorEastAsia" w:hAnsiTheme="minorEastAsia" w:cs="Arial" w:hint="eastAsia"/>
          <w:color w:val="2B2B2B"/>
          <w:kern w:val="0"/>
          <w:szCs w:val="21"/>
        </w:rPr>
        <w:t>，</w:t>
      </w:r>
      <w:r w:rsidR="000F4960">
        <w:rPr>
          <w:rFonts w:asciiTheme="minorEastAsia" w:hAnsiTheme="minorEastAsia" w:cs="Arial" w:hint="eastAsia"/>
          <w:color w:val="2B2B2B"/>
          <w:kern w:val="0"/>
          <w:szCs w:val="21"/>
        </w:rPr>
        <w:t>本基金管理人</w:t>
      </w:r>
      <w:r w:rsidR="002179D5">
        <w:rPr>
          <w:rFonts w:asciiTheme="minorEastAsia" w:hAnsiTheme="minorEastAsia" w:cs="Arial" w:hint="eastAsia"/>
          <w:color w:val="2B2B2B"/>
          <w:kern w:val="0"/>
          <w:szCs w:val="21"/>
        </w:rPr>
        <w:t>嘉实基金管理有限公司</w:t>
      </w:r>
      <w:r w:rsidR="00444A8F" w:rsidRPr="00444A8F">
        <w:rPr>
          <w:rFonts w:asciiTheme="minorEastAsia" w:hAnsiTheme="minorEastAsia" w:cs="Arial" w:hint="eastAsia"/>
          <w:color w:val="2B2B2B"/>
          <w:kern w:val="0"/>
          <w:szCs w:val="21"/>
        </w:rPr>
        <w:t>将</w:t>
      </w:r>
      <w:r w:rsidR="000957AF" w:rsidRPr="000957AF">
        <w:rPr>
          <w:rFonts w:asciiTheme="minorEastAsia" w:hAnsiTheme="minorEastAsia" w:cs="Arial" w:hint="eastAsia"/>
          <w:color w:val="2B2B2B"/>
          <w:kern w:val="0"/>
          <w:szCs w:val="21"/>
        </w:rPr>
        <w:t>采用末日比例确认的方式实现募集规模的有效控制</w:t>
      </w:r>
      <w:r w:rsidR="00444A8F">
        <w:rPr>
          <w:rFonts w:asciiTheme="minorEastAsia" w:hAnsiTheme="minorEastAsia" w:cs="Arial" w:hint="eastAsia"/>
          <w:color w:val="2B2B2B"/>
          <w:kern w:val="0"/>
          <w:szCs w:val="21"/>
        </w:rPr>
        <w:t>，</w:t>
      </w:r>
      <w:r w:rsidR="00444A8F" w:rsidRPr="00444A8F">
        <w:rPr>
          <w:rFonts w:asciiTheme="minorEastAsia" w:hAnsiTheme="minorEastAsia" w:cs="Arial" w:hint="eastAsia"/>
          <w:color w:val="2B2B2B"/>
          <w:kern w:val="0"/>
          <w:szCs w:val="21"/>
        </w:rPr>
        <w:t>最终认购申请确认结果以本基金登记结算机构的记录为准</w:t>
      </w:r>
      <w:r w:rsidR="00444A8F">
        <w:rPr>
          <w:rFonts w:asciiTheme="minorEastAsia" w:hAnsiTheme="minorEastAsia" w:cs="Arial" w:hint="eastAsia"/>
          <w:color w:val="2B2B2B"/>
          <w:kern w:val="0"/>
          <w:szCs w:val="21"/>
        </w:rPr>
        <w:t>。</w:t>
      </w:r>
    </w:p>
    <w:p w:rsidR="00C60480" w:rsidRPr="00D871FB" w:rsidRDefault="009824AF" w:rsidP="009824AF">
      <w:pPr>
        <w:spacing w:line="540" w:lineRule="exact"/>
        <w:ind w:firstLineChars="200" w:firstLine="420"/>
        <w:rPr>
          <w:rFonts w:asciiTheme="minorEastAsia" w:hAnsiTheme="minorEastAsia" w:cs="Arial"/>
          <w:color w:val="2B2B2B"/>
          <w:kern w:val="0"/>
          <w:szCs w:val="21"/>
        </w:rPr>
      </w:pPr>
      <w:r w:rsidRPr="009824AF">
        <w:rPr>
          <w:rFonts w:asciiTheme="minorEastAsia" w:hAnsiTheme="minorEastAsia" w:cs="Arial" w:hint="eastAsia"/>
          <w:color w:val="2B2B2B"/>
          <w:kern w:val="0"/>
          <w:szCs w:val="21"/>
        </w:rPr>
        <w:t>本基金募集期认购申请确认比例结果将另行公告。</w:t>
      </w:r>
      <w:r w:rsidR="00AA5EAA" w:rsidRPr="00AA5EAA">
        <w:rPr>
          <w:rFonts w:asciiTheme="minorEastAsia" w:hAnsiTheme="minorEastAsia" w:cs="Arial" w:hint="eastAsia"/>
          <w:color w:val="2B2B2B"/>
          <w:kern w:val="0"/>
          <w:szCs w:val="21"/>
        </w:rPr>
        <w:t>敬请投资者留意。</w:t>
      </w:r>
    </w:p>
    <w:p w:rsidR="00D871FB" w:rsidRPr="00D871FB" w:rsidRDefault="00562BED" w:rsidP="00365CE6">
      <w:pPr>
        <w:spacing w:line="540" w:lineRule="exact"/>
        <w:ind w:firstLineChars="200" w:firstLine="420"/>
        <w:rPr>
          <w:rFonts w:asciiTheme="minorEastAsia" w:hAnsiTheme="minorEastAsia" w:cs="Arial"/>
          <w:color w:val="2B2B2B"/>
          <w:kern w:val="0"/>
          <w:szCs w:val="21"/>
        </w:rPr>
      </w:pPr>
      <w:r>
        <w:rPr>
          <w:rFonts w:asciiTheme="minorEastAsia" w:hAnsiTheme="minorEastAsia" w:cs="Arial" w:hint="eastAsia"/>
          <w:color w:val="2B2B2B"/>
          <w:kern w:val="0"/>
          <w:szCs w:val="21"/>
        </w:rPr>
        <w:t>重要提示：</w:t>
      </w:r>
    </w:p>
    <w:p w:rsidR="00D871FB" w:rsidRPr="00D871FB" w:rsidRDefault="00D871FB" w:rsidP="00365CE6">
      <w:pPr>
        <w:spacing w:line="540" w:lineRule="exact"/>
        <w:ind w:firstLineChars="200" w:firstLine="420"/>
        <w:rPr>
          <w:rFonts w:asciiTheme="minorEastAsia" w:hAnsiTheme="minorEastAsia" w:cs="Arial"/>
          <w:color w:val="2B2B2B"/>
          <w:kern w:val="0"/>
          <w:szCs w:val="21"/>
        </w:rPr>
      </w:pPr>
      <w:r w:rsidRPr="00D871FB">
        <w:rPr>
          <w:rFonts w:asciiTheme="minorEastAsia" w:hAnsiTheme="minorEastAsia" w:cs="Arial" w:hint="eastAsia"/>
          <w:color w:val="2B2B2B"/>
          <w:kern w:val="0"/>
          <w:szCs w:val="21"/>
        </w:rPr>
        <w:t>1、投资人欲了解本基金及本基金基金份额发售的详细情况，请详细阅读刊登在本公司网站（www.jsfund.cn）和中国证监会基金电子披露网站（http://eid.csrc.gov.cn/fund）上的本基金的招募说明书、基金份额发售公告等。</w:t>
      </w:r>
    </w:p>
    <w:p w:rsidR="00D871FB" w:rsidRPr="00D871FB" w:rsidRDefault="00D871FB" w:rsidP="00365CE6">
      <w:pPr>
        <w:spacing w:line="540" w:lineRule="exact"/>
        <w:ind w:firstLineChars="200" w:firstLine="420"/>
        <w:rPr>
          <w:rFonts w:asciiTheme="minorEastAsia" w:hAnsiTheme="minorEastAsia" w:cs="Arial"/>
          <w:color w:val="2B2B2B"/>
          <w:kern w:val="0"/>
          <w:szCs w:val="21"/>
        </w:rPr>
      </w:pPr>
      <w:r w:rsidRPr="00D871FB">
        <w:rPr>
          <w:rFonts w:asciiTheme="minorEastAsia" w:hAnsiTheme="minorEastAsia" w:cs="Arial" w:hint="eastAsia"/>
          <w:color w:val="2B2B2B"/>
          <w:kern w:val="0"/>
          <w:szCs w:val="21"/>
        </w:rPr>
        <w:t>2、</w:t>
      </w:r>
      <w:r w:rsidR="00007FAE" w:rsidRPr="00007FAE">
        <w:rPr>
          <w:rFonts w:asciiTheme="minorEastAsia" w:hAnsiTheme="minorEastAsia" w:cs="Arial" w:hint="eastAsia"/>
          <w:color w:val="2B2B2B"/>
          <w:kern w:val="0"/>
          <w:szCs w:val="21"/>
        </w:rPr>
        <w:t>投资者可登录本基金管理人网站(www.jsfund.cn)或拨打本基金管理人的客户服务电话 400-600-8800 （免长途话费）</w:t>
      </w:r>
      <w:r w:rsidR="00007FAE">
        <w:rPr>
          <w:rFonts w:asciiTheme="minorEastAsia" w:hAnsiTheme="minorEastAsia" w:cs="Arial" w:hint="eastAsia"/>
          <w:color w:val="2B2B2B"/>
          <w:kern w:val="0"/>
          <w:szCs w:val="21"/>
        </w:rPr>
        <w:t>，</w:t>
      </w:r>
      <w:r w:rsidR="00007FAE" w:rsidRPr="00007FAE">
        <w:rPr>
          <w:rFonts w:asciiTheme="minorEastAsia" w:hAnsiTheme="minorEastAsia" w:cs="Arial" w:hint="eastAsia"/>
          <w:color w:val="2B2B2B"/>
          <w:kern w:val="0"/>
          <w:szCs w:val="21"/>
        </w:rPr>
        <w:t>咨询有关详情。</w:t>
      </w:r>
    </w:p>
    <w:p w:rsidR="00D871FB" w:rsidRPr="00D871FB" w:rsidRDefault="00D871FB" w:rsidP="00365CE6">
      <w:pPr>
        <w:spacing w:line="540" w:lineRule="exact"/>
        <w:ind w:firstLineChars="200" w:firstLine="420"/>
        <w:rPr>
          <w:rFonts w:asciiTheme="minorEastAsia" w:hAnsiTheme="minorEastAsia" w:cs="Arial"/>
          <w:color w:val="2B2B2B"/>
          <w:kern w:val="0"/>
          <w:szCs w:val="21"/>
        </w:rPr>
      </w:pPr>
      <w:r w:rsidRPr="00D871FB">
        <w:rPr>
          <w:rFonts w:asciiTheme="minorEastAsia" w:hAnsiTheme="minorEastAsia" w:cs="Arial" w:hint="eastAsia"/>
          <w:color w:val="2B2B2B"/>
          <w:kern w:val="0"/>
          <w:szCs w:val="21"/>
        </w:rPr>
        <w:t>风险提示：</w:t>
      </w:r>
    </w:p>
    <w:p w:rsidR="00105741" w:rsidRPr="00D871FB" w:rsidRDefault="00D871FB" w:rsidP="00365CE6">
      <w:pPr>
        <w:spacing w:line="540" w:lineRule="exact"/>
        <w:ind w:firstLineChars="200" w:firstLine="420"/>
        <w:rPr>
          <w:rFonts w:asciiTheme="minorEastAsia" w:hAnsiTheme="minorEastAsia" w:cs="Arial"/>
          <w:color w:val="2B2B2B"/>
          <w:kern w:val="0"/>
          <w:szCs w:val="21"/>
        </w:rPr>
      </w:pPr>
      <w:r w:rsidRPr="00D871FB">
        <w:rPr>
          <w:rFonts w:asciiTheme="minorEastAsia" w:hAnsiTheme="minorEastAsia" w:cs="Arial" w:hint="eastAsia"/>
          <w:color w:val="2B2B2B"/>
          <w:kern w:val="0"/>
          <w:szCs w:val="21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及关注基金特有风险，并选择适合自身风险承受能力的投资品种进行投资。</w:t>
      </w:r>
    </w:p>
    <w:p w:rsidR="00105741" w:rsidRPr="00D871FB" w:rsidRDefault="00105741" w:rsidP="00365CE6">
      <w:pPr>
        <w:spacing w:line="540" w:lineRule="exact"/>
        <w:jc w:val="right"/>
        <w:rPr>
          <w:rFonts w:asciiTheme="minorEastAsia" w:hAnsiTheme="minorEastAsia" w:cs="Arial"/>
          <w:color w:val="2B2B2B"/>
          <w:kern w:val="0"/>
          <w:szCs w:val="21"/>
        </w:rPr>
      </w:pPr>
      <w:r w:rsidRPr="00D871FB">
        <w:rPr>
          <w:rFonts w:asciiTheme="minorEastAsia" w:hAnsiTheme="minorEastAsia" w:cs="Arial" w:hint="eastAsia"/>
          <w:color w:val="2B2B2B"/>
          <w:kern w:val="0"/>
          <w:szCs w:val="21"/>
        </w:rPr>
        <w:t>嘉实基金管理有限公司</w:t>
      </w:r>
    </w:p>
    <w:p w:rsidR="005010CD" w:rsidRPr="00D871FB" w:rsidRDefault="00335DC6" w:rsidP="00365CE6">
      <w:pPr>
        <w:spacing w:line="540" w:lineRule="exact"/>
        <w:jc w:val="right"/>
        <w:rPr>
          <w:rFonts w:asciiTheme="minorEastAsia" w:hAnsiTheme="minorEastAsia" w:cs="Arial"/>
          <w:color w:val="2B2B2B"/>
          <w:kern w:val="0"/>
          <w:szCs w:val="21"/>
        </w:rPr>
      </w:pPr>
      <w:r w:rsidRPr="00D871FB">
        <w:rPr>
          <w:rFonts w:asciiTheme="minorEastAsia" w:hAnsiTheme="minorEastAsia" w:cs="Arial"/>
          <w:color w:val="2B2B2B"/>
          <w:kern w:val="0"/>
          <w:szCs w:val="21"/>
        </w:rPr>
        <w:t>202</w:t>
      </w:r>
      <w:r>
        <w:rPr>
          <w:rFonts w:asciiTheme="minorEastAsia" w:hAnsiTheme="minorEastAsia" w:cs="Arial"/>
          <w:color w:val="2B2B2B"/>
          <w:kern w:val="0"/>
          <w:szCs w:val="21"/>
        </w:rPr>
        <w:t>4</w:t>
      </w:r>
      <w:r w:rsidR="00A55419" w:rsidRPr="00D871FB">
        <w:rPr>
          <w:rFonts w:asciiTheme="minorEastAsia" w:hAnsiTheme="minorEastAsia" w:cs="Arial" w:hint="eastAsia"/>
          <w:color w:val="2B2B2B"/>
          <w:kern w:val="0"/>
          <w:szCs w:val="21"/>
        </w:rPr>
        <w:t>年</w:t>
      </w:r>
      <w:r>
        <w:rPr>
          <w:rFonts w:asciiTheme="minorEastAsia" w:hAnsiTheme="minorEastAsia" w:cs="Arial"/>
          <w:color w:val="2B2B2B"/>
          <w:kern w:val="0"/>
          <w:szCs w:val="21"/>
        </w:rPr>
        <w:t>11</w:t>
      </w:r>
      <w:r w:rsidR="00A55419" w:rsidRPr="00D871FB">
        <w:rPr>
          <w:rFonts w:asciiTheme="minorEastAsia" w:hAnsiTheme="minorEastAsia" w:cs="Arial" w:hint="eastAsia"/>
          <w:color w:val="2B2B2B"/>
          <w:kern w:val="0"/>
          <w:szCs w:val="21"/>
        </w:rPr>
        <w:t>月</w:t>
      </w:r>
      <w:r>
        <w:rPr>
          <w:rFonts w:asciiTheme="minorEastAsia" w:hAnsiTheme="minorEastAsia" w:cs="Arial"/>
          <w:color w:val="2B2B2B"/>
          <w:kern w:val="0"/>
          <w:szCs w:val="21"/>
        </w:rPr>
        <w:t>9</w:t>
      </w:r>
      <w:r w:rsidR="00105741" w:rsidRPr="00D871FB">
        <w:rPr>
          <w:rFonts w:asciiTheme="minorEastAsia" w:hAnsiTheme="minorEastAsia" w:cs="Arial" w:hint="eastAsia"/>
          <w:color w:val="2B2B2B"/>
          <w:kern w:val="0"/>
          <w:szCs w:val="21"/>
        </w:rPr>
        <w:t>日</w:t>
      </w:r>
    </w:p>
    <w:sectPr w:rsidR="005010CD" w:rsidRPr="00D871FB" w:rsidSect="00A0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D1" w:rsidRDefault="004777D1" w:rsidP="002316E0">
      <w:r>
        <w:separator/>
      </w:r>
    </w:p>
  </w:endnote>
  <w:endnote w:type="continuationSeparator" w:id="0">
    <w:p w:rsidR="004777D1" w:rsidRDefault="004777D1" w:rsidP="0023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D1" w:rsidRDefault="004777D1" w:rsidP="002316E0">
      <w:r>
        <w:separator/>
      </w:r>
    </w:p>
  </w:footnote>
  <w:footnote w:type="continuationSeparator" w:id="0">
    <w:p w:rsidR="004777D1" w:rsidRDefault="004777D1" w:rsidP="00231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741"/>
    <w:rsid w:val="00007FAE"/>
    <w:rsid w:val="0002083B"/>
    <w:rsid w:val="00026118"/>
    <w:rsid w:val="00045F00"/>
    <w:rsid w:val="000855B3"/>
    <w:rsid w:val="000957AF"/>
    <w:rsid w:val="000A7498"/>
    <w:rsid w:val="000C3970"/>
    <w:rsid w:val="000C502B"/>
    <w:rsid w:val="000D1BA3"/>
    <w:rsid w:val="000F214F"/>
    <w:rsid w:val="000F4960"/>
    <w:rsid w:val="00105741"/>
    <w:rsid w:val="001344EB"/>
    <w:rsid w:val="00135C8C"/>
    <w:rsid w:val="001A0344"/>
    <w:rsid w:val="001B7E95"/>
    <w:rsid w:val="001C5136"/>
    <w:rsid w:val="00204A18"/>
    <w:rsid w:val="002179D5"/>
    <w:rsid w:val="00227DDF"/>
    <w:rsid w:val="002316E0"/>
    <w:rsid w:val="00232D13"/>
    <w:rsid w:val="002621F3"/>
    <w:rsid w:val="0027473F"/>
    <w:rsid w:val="00281BE6"/>
    <w:rsid w:val="002A55E6"/>
    <w:rsid w:val="002A64C9"/>
    <w:rsid w:val="002E198C"/>
    <w:rsid w:val="00313855"/>
    <w:rsid w:val="00335D56"/>
    <w:rsid w:val="00335DC6"/>
    <w:rsid w:val="00346FB8"/>
    <w:rsid w:val="00352158"/>
    <w:rsid w:val="00365CE6"/>
    <w:rsid w:val="003801BF"/>
    <w:rsid w:val="003864C2"/>
    <w:rsid w:val="00396256"/>
    <w:rsid w:val="003A12C3"/>
    <w:rsid w:val="003B296F"/>
    <w:rsid w:val="003B2A6A"/>
    <w:rsid w:val="003D37F5"/>
    <w:rsid w:val="003D52CC"/>
    <w:rsid w:val="003F26E3"/>
    <w:rsid w:val="0042580C"/>
    <w:rsid w:val="00444A8F"/>
    <w:rsid w:val="004777D1"/>
    <w:rsid w:val="0048285C"/>
    <w:rsid w:val="00484636"/>
    <w:rsid w:val="004A51E2"/>
    <w:rsid w:val="005010CD"/>
    <w:rsid w:val="005237E4"/>
    <w:rsid w:val="005413AE"/>
    <w:rsid w:val="005475E9"/>
    <w:rsid w:val="00562BED"/>
    <w:rsid w:val="00581050"/>
    <w:rsid w:val="005D1808"/>
    <w:rsid w:val="005E1065"/>
    <w:rsid w:val="005E1E7A"/>
    <w:rsid w:val="005E7D6C"/>
    <w:rsid w:val="0064378B"/>
    <w:rsid w:val="006875AA"/>
    <w:rsid w:val="006F7D8B"/>
    <w:rsid w:val="007663E3"/>
    <w:rsid w:val="0079693C"/>
    <w:rsid w:val="007A65B6"/>
    <w:rsid w:val="007B1FCE"/>
    <w:rsid w:val="007B29AC"/>
    <w:rsid w:val="007D00C2"/>
    <w:rsid w:val="007E3EA3"/>
    <w:rsid w:val="007E78FF"/>
    <w:rsid w:val="0081779A"/>
    <w:rsid w:val="00817A93"/>
    <w:rsid w:val="00870E46"/>
    <w:rsid w:val="00890DA4"/>
    <w:rsid w:val="008A0BFE"/>
    <w:rsid w:val="008B7926"/>
    <w:rsid w:val="008C128B"/>
    <w:rsid w:val="008C1B55"/>
    <w:rsid w:val="008C29A9"/>
    <w:rsid w:val="00943133"/>
    <w:rsid w:val="00970C55"/>
    <w:rsid w:val="009824AF"/>
    <w:rsid w:val="009A5D6E"/>
    <w:rsid w:val="009A6382"/>
    <w:rsid w:val="009B0A8D"/>
    <w:rsid w:val="009C6BDF"/>
    <w:rsid w:val="009F75EC"/>
    <w:rsid w:val="00A00E28"/>
    <w:rsid w:val="00A16162"/>
    <w:rsid w:val="00A32CA1"/>
    <w:rsid w:val="00A378B8"/>
    <w:rsid w:val="00A55419"/>
    <w:rsid w:val="00A75B8C"/>
    <w:rsid w:val="00A969D6"/>
    <w:rsid w:val="00AA066E"/>
    <w:rsid w:val="00AA5EAA"/>
    <w:rsid w:val="00B17427"/>
    <w:rsid w:val="00B3626E"/>
    <w:rsid w:val="00B468A5"/>
    <w:rsid w:val="00B50758"/>
    <w:rsid w:val="00B53326"/>
    <w:rsid w:val="00B562FF"/>
    <w:rsid w:val="00BB3796"/>
    <w:rsid w:val="00BC2018"/>
    <w:rsid w:val="00BC4F97"/>
    <w:rsid w:val="00BC669B"/>
    <w:rsid w:val="00C07534"/>
    <w:rsid w:val="00C07A28"/>
    <w:rsid w:val="00C10C96"/>
    <w:rsid w:val="00C14CDB"/>
    <w:rsid w:val="00C26749"/>
    <w:rsid w:val="00C554CA"/>
    <w:rsid w:val="00C60480"/>
    <w:rsid w:val="00C66D3D"/>
    <w:rsid w:val="00C6759A"/>
    <w:rsid w:val="00C91F7D"/>
    <w:rsid w:val="00CA023D"/>
    <w:rsid w:val="00CB0F0C"/>
    <w:rsid w:val="00CF1A63"/>
    <w:rsid w:val="00D038A3"/>
    <w:rsid w:val="00D06AA6"/>
    <w:rsid w:val="00D37256"/>
    <w:rsid w:val="00D66BA3"/>
    <w:rsid w:val="00D871FB"/>
    <w:rsid w:val="00D96C0F"/>
    <w:rsid w:val="00DA6C91"/>
    <w:rsid w:val="00E704A5"/>
    <w:rsid w:val="00E72292"/>
    <w:rsid w:val="00E87BB6"/>
    <w:rsid w:val="00E91B8E"/>
    <w:rsid w:val="00EC423E"/>
    <w:rsid w:val="00F20BDC"/>
    <w:rsid w:val="00F30AA9"/>
    <w:rsid w:val="00F41976"/>
    <w:rsid w:val="00F443A1"/>
    <w:rsid w:val="00F44CF4"/>
    <w:rsid w:val="00F70539"/>
    <w:rsid w:val="00FA22F9"/>
    <w:rsid w:val="00FB0412"/>
    <w:rsid w:val="00FB2566"/>
    <w:rsid w:val="00FB4AF6"/>
    <w:rsid w:val="00FF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626E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B3626E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3626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3626E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B3626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362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626E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31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316E0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31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31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869">
              <w:marLeft w:val="0"/>
              <w:marRight w:val="0"/>
              <w:marTop w:val="0"/>
              <w:marBottom w:val="0"/>
              <w:divBdr>
                <w:top w:val="single" w:sz="24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1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144">
              <w:marLeft w:val="0"/>
              <w:marRight w:val="0"/>
              <w:marTop w:val="0"/>
              <w:marBottom w:val="0"/>
              <w:divBdr>
                <w:top w:val="single" w:sz="24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4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2024-11-08T16:01:00Z</dcterms:created>
  <dcterms:modified xsi:type="dcterms:W3CDTF">2024-11-08T16:01:00Z</dcterms:modified>
</cp:coreProperties>
</file>