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bookmarkStart w:id="0" w:name="_GoBack"/>
      <w:bookmarkEnd w:id="0"/>
      <w:r w:rsidRPr="00B679B0">
        <w:rPr>
          <w:rFonts w:ascii="Times New Roman" w:eastAsia="宋体" w:hAnsi="Times New Roman" w:cs="Times New Roman" w:hint="eastAsia"/>
          <w:b/>
          <w:bCs/>
          <w:color w:val="000000"/>
          <w:sz w:val="28"/>
          <w:szCs w:val="28"/>
        </w:rPr>
        <w:t>景顺长城基金管理有限公司关于旗下部分基金新增</w:t>
      </w:r>
      <w:r w:rsidR="00CB0941">
        <w:rPr>
          <w:rFonts w:ascii="Times New Roman" w:eastAsia="宋体" w:hAnsi="Times New Roman" w:cs="Times New Roman" w:hint="eastAsia"/>
          <w:b/>
          <w:bCs/>
          <w:color w:val="000000"/>
          <w:sz w:val="28"/>
          <w:szCs w:val="28"/>
        </w:rPr>
        <w:t>国金证券</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CB0941">
        <w:rPr>
          <w:rFonts w:ascii="宋体" w:eastAsia="宋体" w:hAnsi="宋体" w:cs="Calibri" w:hint="eastAsia"/>
          <w:kern w:val="0"/>
          <w:szCs w:val="21"/>
        </w:rPr>
        <w:t>国金证券</w:t>
      </w:r>
      <w:r w:rsidR="007C4062">
        <w:rPr>
          <w:rFonts w:ascii="宋体" w:eastAsia="宋体" w:hAnsi="宋体" w:cs="Calibri" w:hint="eastAsia"/>
          <w:kern w:val="0"/>
          <w:szCs w:val="21"/>
        </w:rPr>
        <w:t>股份有限公司</w:t>
      </w:r>
      <w:r w:rsidRPr="008B2A21">
        <w:rPr>
          <w:rFonts w:ascii="宋体" w:eastAsia="宋体" w:hAnsi="宋体" w:cs="Calibri" w:hint="eastAsia"/>
          <w:kern w:val="0"/>
          <w:szCs w:val="21"/>
        </w:rPr>
        <w:t>（以下简称“</w:t>
      </w:r>
      <w:r w:rsidR="00CB0941">
        <w:rPr>
          <w:rFonts w:ascii="宋体" w:eastAsia="宋体" w:hAnsi="宋体" w:cs="Calibri" w:hint="eastAsia"/>
          <w:kern w:val="0"/>
          <w:szCs w:val="21"/>
        </w:rPr>
        <w:t>国金证券</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727B89">
        <w:rPr>
          <w:rFonts w:ascii="宋体" w:eastAsia="宋体" w:hAnsi="宋体" w:cs="Arial"/>
          <w:kern w:val="0"/>
          <w:szCs w:val="21"/>
        </w:rPr>
        <w:t>4</w:t>
      </w:r>
      <w:r w:rsidRPr="008B2A21">
        <w:rPr>
          <w:rFonts w:ascii="宋体" w:eastAsia="宋体" w:hAnsi="宋体" w:cs="Calibri" w:hint="eastAsia"/>
          <w:kern w:val="0"/>
          <w:szCs w:val="21"/>
        </w:rPr>
        <w:t>年</w:t>
      </w:r>
      <w:r w:rsidR="00E24F18">
        <w:rPr>
          <w:rFonts w:ascii="宋体" w:eastAsia="宋体" w:hAnsi="宋体" w:cs="Calibri"/>
          <w:kern w:val="0"/>
          <w:szCs w:val="21"/>
        </w:rPr>
        <w:t>11</w:t>
      </w:r>
      <w:r w:rsidRPr="008B2A21">
        <w:rPr>
          <w:rFonts w:ascii="宋体" w:eastAsia="宋体" w:hAnsi="宋体" w:cs="Calibri" w:hint="eastAsia"/>
          <w:kern w:val="0"/>
          <w:szCs w:val="21"/>
        </w:rPr>
        <w:t>月</w:t>
      </w:r>
      <w:r w:rsidR="00E24F18">
        <w:rPr>
          <w:rFonts w:ascii="宋体" w:eastAsia="宋体" w:hAnsi="宋体" w:cs="Calibri"/>
          <w:kern w:val="0"/>
          <w:szCs w:val="21"/>
        </w:rPr>
        <w:t>8</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CB0941">
        <w:rPr>
          <w:rFonts w:ascii="宋体" w:eastAsia="宋体" w:hAnsi="宋体" w:cs="Calibri" w:hint="eastAsia"/>
          <w:kern w:val="0"/>
          <w:szCs w:val="21"/>
        </w:rPr>
        <w:t>国金证券</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CB0941">
        <w:rPr>
          <w:rFonts w:ascii="宋体" w:eastAsia="宋体" w:hAnsi="宋体" w:cs="Calibri" w:hint="eastAsia"/>
          <w:kern w:val="0"/>
          <w:szCs w:val="21"/>
        </w:rPr>
        <w:t>国金证券</w:t>
      </w:r>
      <w:r w:rsidRPr="008B2A21">
        <w:rPr>
          <w:rFonts w:ascii="宋体" w:eastAsia="宋体" w:hAnsi="宋体" w:cs="Calibri" w:hint="eastAsia"/>
          <w:kern w:val="0"/>
          <w:szCs w:val="21"/>
        </w:rPr>
        <w:t>的规定为准。现将相关事项公告如下：</w:t>
      </w:r>
    </w:p>
    <w:p w:rsidR="00C21B09" w:rsidRPr="00CE3F13" w:rsidRDefault="00C21B09" w:rsidP="00CE3F13">
      <w:pPr>
        <w:pStyle w:val="ad"/>
        <w:widowControl/>
        <w:numPr>
          <w:ilvl w:val="0"/>
          <w:numId w:val="1"/>
        </w:numPr>
        <w:spacing w:line="360" w:lineRule="auto"/>
        <w:ind w:firstLineChars="0"/>
        <w:jc w:val="left"/>
        <w:rPr>
          <w:rFonts w:ascii="宋体" w:eastAsia="宋体" w:hAnsi="宋体" w:cs="Arial"/>
          <w:szCs w:val="21"/>
        </w:rPr>
      </w:pPr>
      <w:r w:rsidRPr="00CE3F13">
        <w:rPr>
          <w:rFonts w:ascii="宋体" w:eastAsia="宋体" w:hAnsi="宋体" w:cs="Arial" w:hint="eastAsia"/>
          <w:szCs w:val="21"/>
        </w:rPr>
        <w:t>适用基金及基金业务开通情况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119"/>
        <w:gridCol w:w="992"/>
        <w:gridCol w:w="992"/>
        <w:gridCol w:w="1985"/>
      </w:tblGrid>
      <w:tr w:rsidR="00E24F18" w:rsidRPr="002166DC" w:rsidTr="00E24F18">
        <w:trPr>
          <w:trHeight w:val="444"/>
        </w:trPr>
        <w:tc>
          <w:tcPr>
            <w:tcW w:w="1129" w:type="dxa"/>
            <w:shd w:val="clear" w:color="auto" w:fill="auto"/>
            <w:noWrap/>
            <w:vAlign w:val="bottom"/>
            <w:hideMark/>
          </w:tcPr>
          <w:p w:rsidR="00E24F18" w:rsidRPr="002166DC" w:rsidRDefault="00E24F18" w:rsidP="00E24F18">
            <w:pPr>
              <w:rPr>
                <w:rFonts w:ascii="宋体" w:eastAsia="宋体" w:hAnsi="宋体"/>
                <w:b/>
              </w:rPr>
            </w:pPr>
            <w:r w:rsidRPr="002166DC">
              <w:rPr>
                <w:rFonts w:ascii="宋体" w:eastAsia="宋体" w:hAnsi="宋体" w:hint="eastAsia"/>
                <w:b/>
              </w:rPr>
              <w:t>基金代码</w:t>
            </w:r>
          </w:p>
        </w:tc>
        <w:tc>
          <w:tcPr>
            <w:tcW w:w="3119" w:type="dxa"/>
            <w:shd w:val="clear" w:color="auto" w:fill="auto"/>
            <w:noWrap/>
            <w:vAlign w:val="bottom"/>
            <w:hideMark/>
          </w:tcPr>
          <w:p w:rsidR="00E24F18" w:rsidRPr="002166DC" w:rsidRDefault="00E24F18" w:rsidP="00E24F18">
            <w:pPr>
              <w:rPr>
                <w:rFonts w:ascii="宋体" w:eastAsia="宋体" w:hAnsi="宋体"/>
                <w:b/>
              </w:rPr>
            </w:pPr>
            <w:r w:rsidRPr="002166DC">
              <w:rPr>
                <w:rFonts w:ascii="宋体" w:eastAsia="宋体" w:hAnsi="宋体" w:hint="eastAsia"/>
                <w:b/>
              </w:rPr>
              <w:t>基金名称</w:t>
            </w:r>
          </w:p>
        </w:tc>
        <w:tc>
          <w:tcPr>
            <w:tcW w:w="992" w:type="dxa"/>
            <w:shd w:val="clear" w:color="auto" w:fill="auto"/>
            <w:noWrap/>
            <w:vAlign w:val="bottom"/>
            <w:hideMark/>
          </w:tcPr>
          <w:p w:rsidR="00E24F18" w:rsidRPr="002166DC" w:rsidRDefault="00E24F18" w:rsidP="00E24F18">
            <w:pPr>
              <w:rPr>
                <w:rFonts w:ascii="宋体" w:eastAsia="宋体" w:hAnsi="宋体"/>
                <w:b/>
              </w:rPr>
            </w:pPr>
            <w:r w:rsidRPr="002166DC">
              <w:rPr>
                <w:rFonts w:ascii="宋体" w:eastAsia="宋体" w:hAnsi="宋体" w:hint="eastAsia"/>
                <w:b/>
              </w:rPr>
              <w:t>是否开通定投业务</w:t>
            </w:r>
          </w:p>
        </w:tc>
        <w:tc>
          <w:tcPr>
            <w:tcW w:w="992" w:type="dxa"/>
            <w:shd w:val="clear" w:color="auto" w:fill="auto"/>
            <w:noWrap/>
            <w:vAlign w:val="bottom"/>
            <w:hideMark/>
          </w:tcPr>
          <w:p w:rsidR="00E24F18" w:rsidRPr="002166DC" w:rsidRDefault="00E24F18" w:rsidP="00E24F18">
            <w:pPr>
              <w:rPr>
                <w:rFonts w:ascii="宋体" w:eastAsia="宋体" w:hAnsi="宋体"/>
                <w:b/>
              </w:rPr>
            </w:pPr>
            <w:r w:rsidRPr="002166DC">
              <w:rPr>
                <w:rFonts w:ascii="宋体" w:eastAsia="宋体" w:hAnsi="宋体" w:hint="eastAsia"/>
                <w:b/>
              </w:rPr>
              <w:t>是否开通转换业务</w:t>
            </w:r>
          </w:p>
        </w:tc>
        <w:tc>
          <w:tcPr>
            <w:tcW w:w="1985" w:type="dxa"/>
            <w:shd w:val="clear" w:color="auto" w:fill="auto"/>
            <w:noWrap/>
            <w:vAlign w:val="bottom"/>
            <w:hideMark/>
          </w:tcPr>
          <w:p w:rsidR="00E24F18" w:rsidRPr="002166DC" w:rsidRDefault="00E24F18" w:rsidP="00E24F18">
            <w:pPr>
              <w:rPr>
                <w:rFonts w:ascii="宋体" w:eastAsia="宋体" w:hAnsi="宋体"/>
                <w:b/>
              </w:rPr>
            </w:pPr>
            <w:r w:rsidRPr="002166DC">
              <w:rPr>
                <w:rFonts w:ascii="宋体" w:eastAsia="宋体" w:hAnsi="宋体" w:hint="eastAsia"/>
                <w:b/>
              </w:rPr>
              <w:t>是否参加销售机构申购（含定期定额申购）费率优惠</w:t>
            </w:r>
          </w:p>
        </w:tc>
      </w:tr>
      <w:tr w:rsidR="00E24F18" w:rsidRPr="00E24F18" w:rsidTr="00E24F18">
        <w:trPr>
          <w:trHeight w:val="444"/>
        </w:trPr>
        <w:tc>
          <w:tcPr>
            <w:tcW w:w="112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021735</w:t>
            </w:r>
          </w:p>
        </w:tc>
        <w:tc>
          <w:tcPr>
            <w:tcW w:w="311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景顺长城中证沪港深红利成长低波动指数型证券投资基金E</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1985"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不适用</w:t>
            </w:r>
          </w:p>
        </w:tc>
      </w:tr>
      <w:tr w:rsidR="00E24F18" w:rsidRPr="00E24F18" w:rsidTr="00E24F18">
        <w:trPr>
          <w:trHeight w:val="444"/>
        </w:trPr>
        <w:tc>
          <w:tcPr>
            <w:tcW w:w="112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005327</w:t>
            </w:r>
          </w:p>
        </w:tc>
        <w:tc>
          <w:tcPr>
            <w:tcW w:w="311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景顺长城景泰稳利定期开放债券型证券投资基金A</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不开通</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1985"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是</w:t>
            </w:r>
          </w:p>
        </w:tc>
      </w:tr>
      <w:tr w:rsidR="00E24F18" w:rsidRPr="00E24F18" w:rsidTr="00E24F18">
        <w:trPr>
          <w:trHeight w:val="444"/>
        </w:trPr>
        <w:tc>
          <w:tcPr>
            <w:tcW w:w="112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006065</w:t>
            </w:r>
          </w:p>
        </w:tc>
        <w:tc>
          <w:tcPr>
            <w:tcW w:w="311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景顺长城景泰稳利定期开放债券型证券投资基金C</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不开通</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1985"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不适用</w:t>
            </w:r>
          </w:p>
        </w:tc>
      </w:tr>
      <w:tr w:rsidR="00E24F18" w:rsidRPr="00E24F18" w:rsidTr="00E24F18">
        <w:trPr>
          <w:trHeight w:val="444"/>
        </w:trPr>
        <w:tc>
          <w:tcPr>
            <w:tcW w:w="112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019118</w:t>
            </w:r>
          </w:p>
        </w:tc>
        <w:tc>
          <w:tcPr>
            <w:tcW w:w="311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景顺长城纳斯达克科技市值加权交易型开放式指数证券投资基金发起式联接基金（QDII）E人民币</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1985"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不适用</w:t>
            </w:r>
          </w:p>
        </w:tc>
      </w:tr>
      <w:tr w:rsidR="00E24F18" w:rsidRPr="00E24F18" w:rsidTr="00E24F18">
        <w:trPr>
          <w:trHeight w:val="444"/>
        </w:trPr>
        <w:tc>
          <w:tcPr>
            <w:tcW w:w="112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021961</w:t>
            </w:r>
          </w:p>
        </w:tc>
        <w:tc>
          <w:tcPr>
            <w:tcW w:w="311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景顺长城中证国新港股通央企红利交易型开放式指数证券投资基金联接基金A</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1985"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是</w:t>
            </w:r>
          </w:p>
        </w:tc>
      </w:tr>
      <w:tr w:rsidR="00E24F18" w:rsidRPr="00E24F18" w:rsidTr="00E24F18">
        <w:trPr>
          <w:trHeight w:val="444"/>
        </w:trPr>
        <w:tc>
          <w:tcPr>
            <w:tcW w:w="112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021962</w:t>
            </w:r>
          </w:p>
        </w:tc>
        <w:tc>
          <w:tcPr>
            <w:tcW w:w="3119"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景顺长城中证国新港股通央企红利交易型开放式指数证券投资基金联接基金C</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992"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开通</w:t>
            </w:r>
          </w:p>
        </w:tc>
        <w:tc>
          <w:tcPr>
            <w:tcW w:w="1985" w:type="dxa"/>
            <w:shd w:val="clear" w:color="auto" w:fill="auto"/>
            <w:noWrap/>
            <w:vAlign w:val="bottom"/>
            <w:hideMark/>
          </w:tcPr>
          <w:p w:rsidR="00E24F18" w:rsidRPr="00E24F18" w:rsidRDefault="00E24F18" w:rsidP="00E24F18">
            <w:pPr>
              <w:rPr>
                <w:rFonts w:ascii="宋体" w:eastAsia="宋体" w:hAnsi="宋体"/>
              </w:rPr>
            </w:pPr>
            <w:r w:rsidRPr="00E24F18">
              <w:rPr>
                <w:rFonts w:ascii="宋体" w:eastAsia="宋体" w:hAnsi="宋体" w:hint="eastAsia"/>
              </w:rPr>
              <w:t>不适用</w:t>
            </w:r>
          </w:p>
        </w:tc>
      </w:tr>
    </w:tbl>
    <w:p w:rsidR="00C21B09" w:rsidRPr="00275D88" w:rsidRDefault="00C21B09" w:rsidP="005F6692">
      <w:pPr>
        <w:widowControl/>
        <w:spacing w:line="360" w:lineRule="auto"/>
        <w:ind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CB0941">
        <w:rPr>
          <w:rFonts w:ascii="宋体" w:eastAsia="宋体" w:hAnsi="宋体" w:cs="Arial" w:hint="eastAsia"/>
          <w:color w:val="000000"/>
          <w:kern w:val="0"/>
          <w:szCs w:val="21"/>
        </w:rPr>
        <w:t>国金证券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117A40"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8038EA"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CB0941">
        <w:rPr>
          <w:rFonts w:ascii="宋体" w:eastAsia="宋体" w:hAnsi="宋体" w:cs="Arial" w:hint="eastAsia"/>
          <w:color w:val="000000"/>
          <w:kern w:val="0"/>
          <w:szCs w:val="21"/>
        </w:rPr>
        <w:t>国金证券</w:t>
      </w:r>
      <w:r w:rsidR="007C4062">
        <w:rPr>
          <w:rFonts w:ascii="宋体" w:eastAsia="宋体" w:hAnsi="宋体" w:cs="Arial" w:hint="eastAsia"/>
          <w:color w:val="000000"/>
          <w:kern w:val="0"/>
          <w:szCs w:val="21"/>
        </w:rPr>
        <w:t>股份有限公司</w:t>
      </w:r>
    </w:p>
    <w:p w:rsidR="00CB0941" w:rsidRPr="00CB0941" w:rsidRDefault="00CB0941" w:rsidP="00CB0941">
      <w:pPr>
        <w:widowControl/>
        <w:spacing w:line="360" w:lineRule="auto"/>
        <w:ind w:firstLineChars="200" w:firstLine="420"/>
        <w:jc w:val="left"/>
        <w:rPr>
          <w:rFonts w:ascii="宋体" w:eastAsia="宋体" w:hAnsi="宋体" w:cs="Arial"/>
          <w:kern w:val="0"/>
          <w:szCs w:val="21"/>
        </w:rPr>
      </w:pPr>
      <w:r w:rsidRPr="00CB0941">
        <w:rPr>
          <w:rFonts w:ascii="宋体" w:eastAsia="宋体" w:hAnsi="宋体" w:cs="Arial"/>
          <w:kern w:val="0"/>
          <w:szCs w:val="21"/>
        </w:rPr>
        <w:t>注册地址：成都市</w:t>
      </w:r>
      <w:r w:rsidR="00E65EA7" w:rsidRPr="00E65EA7">
        <w:rPr>
          <w:rFonts w:ascii="宋体" w:eastAsia="宋体" w:hAnsi="宋体" w:cs="Arial" w:hint="eastAsia"/>
          <w:kern w:val="0"/>
          <w:szCs w:val="21"/>
        </w:rPr>
        <w:t>青羊区</w:t>
      </w:r>
      <w:r w:rsidRPr="00CB0941">
        <w:rPr>
          <w:rFonts w:ascii="宋体" w:eastAsia="宋体" w:hAnsi="宋体" w:cs="Arial"/>
          <w:kern w:val="0"/>
          <w:szCs w:val="21"/>
        </w:rPr>
        <w:t>东城根上街95号</w:t>
      </w:r>
    </w:p>
    <w:p w:rsidR="002166DC" w:rsidRPr="002166DC" w:rsidRDefault="002166DC" w:rsidP="002166DC">
      <w:pPr>
        <w:widowControl/>
        <w:spacing w:line="360" w:lineRule="auto"/>
        <w:ind w:firstLineChars="200" w:firstLine="420"/>
        <w:jc w:val="left"/>
        <w:rPr>
          <w:rFonts w:ascii="宋体" w:eastAsia="宋体" w:hAnsi="宋体" w:cs="Arial"/>
          <w:kern w:val="0"/>
          <w:szCs w:val="21"/>
        </w:rPr>
      </w:pPr>
      <w:r w:rsidRPr="002166DC">
        <w:rPr>
          <w:rFonts w:ascii="宋体" w:eastAsia="宋体" w:hAnsi="宋体" w:cs="Arial" w:hint="eastAsia"/>
          <w:kern w:val="0"/>
          <w:szCs w:val="21"/>
        </w:rPr>
        <w:t>办公地址：上海市浦东新区芳甸路</w:t>
      </w:r>
      <w:r w:rsidRPr="002166DC">
        <w:rPr>
          <w:rFonts w:ascii="宋体" w:eastAsia="宋体" w:hAnsi="宋体" w:cs="Arial"/>
          <w:kern w:val="0"/>
          <w:szCs w:val="21"/>
        </w:rPr>
        <w:t>1088号</w:t>
      </w:r>
      <w:r w:rsidR="00E65EA7" w:rsidRPr="00E65EA7">
        <w:rPr>
          <w:rFonts w:ascii="宋体" w:eastAsia="宋体" w:hAnsi="宋体" w:cs="Arial"/>
          <w:kern w:val="0"/>
          <w:szCs w:val="21"/>
        </w:rPr>
        <w:t>7楼</w:t>
      </w:r>
    </w:p>
    <w:p w:rsidR="002166DC" w:rsidRPr="002166DC" w:rsidRDefault="002166DC" w:rsidP="002166DC">
      <w:pPr>
        <w:widowControl/>
        <w:spacing w:line="360" w:lineRule="auto"/>
        <w:ind w:firstLineChars="200" w:firstLine="420"/>
        <w:jc w:val="left"/>
        <w:rPr>
          <w:rFonts w:ascii="宋体" w:eastAsia="宋体" w:hAnsi="宋体" w:cs="Arial"/>
          <w:kern w:val="0"/>
          <w:szCs w:val="21"/>
        </w:rPr>
      </w:pPr>
      <w:r w:rsidRPr="002166DC">
        <w:rPr>
          <w:rFonts w:ascii="宋体" w:eastAsia="宋体" w:hAnsi="宋体" w:cs="Arial" w:hint="eastAsia"/>
          <w:kern w:val="0"/>
          <w:szCs w:val="21"/>
        </w:rPr>
        <w:lastRenderedPageBreak/>
        <w:t>法定代表人：冉云</w:t>
      </w:r>
    </w:p>
    <w:p w:rsidR="002166DC" w:rsidRPr="002166DC" w:rsidRDefault="002166DC" w:rsidP="002166DC">
      <w:pPr>
        <w:widowControl/>
        <w:spacing w:line="360" w:lineRule="auto"/>
        <w:ind w:firstLineChars="200" w:firstLine="420"/>
        <w:jc w:val="left"/>
        <w:rPr>
          <w:rFonts w:ascii="宋体" w:eastAsia="宋体" w:hAnsi="宋体" w:cs="Arial"/>
          <w:kern w:val="0"/>
          <w:szCs w:val="21"/>
        </w:rPr>
      </w:pPr>
      <w:r w:rsidRPr="002166DC">
        <w:rPr>
          <w:rFonts w:ascii="宋体" w:eastAsia="宋体" w:hAnsi="宋体" w:cs="Arial" w:hint="eastAsia"/>
          <w:kern w:val="0"/>
          <w:szCs w:val="21"/>
        </w:rPr>
        <w:t>联系人：</w:t>
      </w:r>
      <w:r w:rsidR="00E65EA7" w:rsidRPr="00E65EA7">
        <w:rPr>
          <w:rFonts w:ascii="宋体" w:eastAsia="宋体" w:hAnsi="宋体" w:cs="Arial" w:hint="eastAsia"/>
          <w:kern w:val="0"/>
          <w:szCs w:val="21"/>
        </w:rPr>
        <w:t>程琦喻</w:t>
      </w:r>
    </w:p>
    <w:p w:rsidR="002166DC" w:rsidRPr="002166DC" w:rsidRDefault="002166DC" w:rsidP="002166DC">
      <w:pPr>
        <w:widowControl/>
        <w:spacing w:line="360" w:lineRule="auto"/>
        <w:ind w:firstLineChars="200" w:firstLine="420"/>
        <w:jc w:val="left"/>
        <w:rPr>
          <w:rFonts w:ascii="宋体" w:eastAsia="宋体" w:hAnsi="宋体" w:cs="Arial"/>
          <w:kern w:val="0"/>
          <w:szCs w:val="21"/>
        </w:rPr>
      </w:pPr>
      <w:r w:rsidRPr="002166DC">
        <w:rPr>
          <w:rFonts w:ascii="宋体" w:eastAsia="宋体" w:hAnsi="宋体" w:cs="Arial" w:hint="eastAsia"/>
          <w:kern w:val="0"/>
          <w:szCs w:val="21"/>
        </w:rPr>
        <w:t>电话：</w:t>
      </w:r>
      <w:r w:rsidRPr="002166DC">
        <w:rPr>
          <w:rFonts w:ascii="宋体" w:eastAsia="宋体" w:hAnsi="宋体" w:cs="Arial"/>
          <w:kern w:val="0"/>
          <w:szCs w:val="21"/>
        </w:rPr>
        <w:t>021-80234217</w:t>
      </w:r>
    </w:p>
    <w:p w:rsidR="002166DC" w:rsidRPr="002166DC" w:rsidRDefault="002166DC" w:rsidP="002166DC">
      <w:pPr>
        <w:widowControl/>
        <w:spacing w:line="360" w:lineRule="auto"/>
        <w:ind w:firstLineChars="200" w:firstLine="420"/>
        <w:jc w:val="left"/>
        <w:rPr>
          <w:rFonts w:ascii="宋体" w:eastAsia="宋体" w:hAnsi="宋体" w:cs="Arial"/>
          <w:kern w:val="0"/>
          <w:szCs w:val="21"/>
        </w:rPr>
      </w:pPr>
      <w:r w:rsidRPr="002166DC">
        <w:rPr>
          <w:rFonts w:ascii="宋体" w:eastAsia="宋体" w:hAnsi="宋体" w:cs="Arial" w:hint="eastAsia"/>
          <w:kern w:val="0"/>
          <w:szCs w:val="21"/>
        </w:rPr>
        <w:t>客服电话：</w:t>
      </w:r>
      <w:r w:rsidRPr="002166DC">
        <w:rPr>
          <w:rFonts w:ascii="宋体" w:eastAsia="宋体" w:hAnsi="宋体" w:cs="Arial"/>
          <w:kern w:val="0"/>
          <w:szCs w:val="21"/>
        </w:rPr>
        <w:t>95310</w:t>
      </w:r>
    </w:p>
    <w:p w:rsidR="003E47FA" w:rsidRPr="002166DC" w:rsidRDefault="002166DC" w:rsidP="002166DC">
      <w:pPr>
        <w:widowControl/>
        <w:spacing w:line="360" w:lineRule="auto"/>
        <w:ind w:firstLineChars="200" w:firstLine="420"/>
        <w:jc w:val="left"/>
        <w:rPr>
          <w:rFonts w:ascii="宋体" w:eastAsia="宋体" w:hAnsi="宋体" w:cs="Arial"/>
          <w:kern w:val="0"/>
          <w:szCs w:val="21"/>
        </w:rPr>
      </w:pPr>
      <w:r w:rsidRPr="002166DC">
        <w:rPr>
          <w:rFonts w:ascii="宋体" w:eastAsia="宋体" w:hAnsi="宋体" w:cs="Arial" w:hint="eastAsia"/>
          <w:kern w:val="0"/>
          <w:szCs w:val="21"/>
        </w:rPr>
        <w:t>公司网站：</w:t>
      </w:r>
      <w:r>
        <w:rPr>
          <w:rFonts w:ascii="宋体" w:eastAsia="宋体" w:hAnsi="宋体" w:cs="Arial"/>
          <w:kern w:val="0"/>
          <w:szCs w:val="21"/>
        </w:rPr>
        <w:t>https://www.gjzq.com.cn/</w:t>
      </w:r>
    </w:p>
    <w:p w:rsidR="00CE3F13" w:rsidRDefault="00CE3F13" w:rsidP="00CE3F13">
      <w:pPr>
        <w:widowControl/>
        <w:spacing w:line="360" w:lineRule="auto"/>
        <w:ind w:firstLineChars="200" w:firstLine="420"/>
        <w:jc w:val="left"/>
        <w:rPr>
          <w:rFonts w:ascii="宋体" w:eastAsia="宋体" w:hAnsi="宋体" w:cs="Arial"/>
          <w:kern w:val="0"/>
          <w:szCs w:val="21"/>
        </w:rPr>
      </w:pP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w:t>
      </w:r>
      <w:r w:rsidR="00B41EA6" w:rsidRPr="00B41EA6">
        <w:rPr>
          <w:rFonts w:ascii="宋体" w:eastAsia="宋体" w:hAnsi="宋体" w:cs="Arial"/>
          <w:kern w:val="0"/>
          <w:szCs w:val="21"/>
        </w:rPr>
        <w:t>400-820-2899</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CB0941">
        <w:rPr>
          <w:rFonts w:ascii="宋体" w:eastAsia="宋体" w:hAnsi="宋体" w:cs="Arial" w:hint="eastAsia"/>
          <w:color w:val="000000"/>
          <w:kern w:val="0"/>
          <w:szCs w:val="21"/>
        </w:rPr>
        <w:t>国金证券</w:t>
      </w:r>
      <w:r w:rsidR="007C4062">
        <w:rPr>
          <w:rFonts w:ascii="宋体" w:eastAsia="宋体" w:hAnsi="宋体" w:cs="Arial" w:hint="eastAsia"/>
          <w:color w:val="000000"/>
          <w:kern w:val="0"/>
          <w:szCs w:val="21"/>
        </w:rPr>
        <w:t>股份有限公司</w:t>
      </w:r>
    </w:p>
    <w:p w:rsidR="00CB0941" w:rsidRPr="00CB0941" w:rsidRDefault="00CB0941" w:rsidP="00CB0941">
      <w:pPr>
        <w:widowControl/>
        <w:spacing w:line="360" w:lineRule="auto"/>
        <w:ind w:firstLineChars="200" w:firstLine="420"/>
        <w:jc w:val="left"/>
        <w:rPr>
          <w:rFonts w:ascii="宋体" w:eastAsia="宋体" w:hAnsi="宋体" w:cs="Arial"/>
          <w:kern w:val="0"/>
          <w:szCs w:val="21"/>
        </w:rPr>
      </w:pPr>
      <w:r w:rsidRPr="00CB0941">
        <w:rPr>
          <w:rFonts w:ascii="宋体" w:eastAsia="宋体" w:hAnsi="宋体" w:cs="Arial" w:hint="eastAsia"/>
          <w:kern w:val="0"/>
          <w:szCs w:val="21"/>
        </w:rPr>
        <w:lastRenderedPageBreak/>
        <w:t>客服电话：</w:t>
      </w:r>
      <w:r w:rsidRPr="00CB0941">
        <w:rPr>
          <w:rFonts w:ascii="宋体" w:eastAsia="宋体" w:hAnsi="宋体" w:cs="Arial"/>
          <w:kern w:val="0"/>
          <w:szCs w:val="21"/>
        </w:rPr>
        <w:t>95310</w:t>
      </w:r>
    </w:p>
    <w:p w:rsidR="00712C09" w:rsidRPr="00CB0941" w:rsidRDefault="00CB0941" w:rsidP="00CB0941">
      <w:pPr>
        <w:widowControl/>
        <w:spacing w:line="360" w:lineRule="auto"/>
        <w:ind w:firstLineChars="200" w:firstLine="420"/>
        <w:jc w:val="left"/>
        <w:rPr>
          <w:rFonts w:ascii="宋体" w:eastAsia="宋体" w:hAnsi="宋体" w:cs="Arial"/>
          <w:kern w:val="0"/>
          <w:szCs w:val="21"/>
        </w:rPr>
      </w:pPr>
      <w:r w:rsidRPr="00CB0941">
        <w:rPr>
          <w:rFonts w:ascii="宋体" w:eastAsia="宋体" w:hAnsi="宋体" w:cs="Arial" w:hint="eastAsia"/>
          <w:kern w:val="0"/>
          <w:szCs w:val="21"/>
        </w:rPr>
        <w:t>公司网站：</w:t>
      </w:r>
      <w:r>
        <w:rPr>
          <w:rFonts w:ascii="宋体" w:eastAsia="宋体" w:hAnsi="宋体" w:cs="Arial"/>
          <w:kern w:val="0"/>
          <w:szCs w:val="21"/>
        </w:rPr>
        <w:t>https://www.gjzq.com.cn/</w:t>
      </w:r>
    </w:p>
    <w:p w:rsidR="00CE3F13" w:rsidRPr="00712C09" w:rsidRDefault="00CE3F13" w:rsidP="00CE3F13">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9C4ECF" w:rsidRPr="006A34C3" w:rsidRDefault="00C21B09" w:rsidP="006A34C3">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95522C">
        <w:rPr>
          <w:rFonts w:ascii="宋体" w:eastAsia="宋体" w:hAnsi="宋体" w:cs="Arial" w:hint="eastAsia"/>
          <w:kern w:val="0"/>
          <w:szCs w:val="21"/>
        </w:rPr>
        <w:t>零</w:t>
      </w:r>
      <w:r w:rsidRPr="00275D88">
        <w:rPr>
          <w:rFonts w:ascii="宋体" w:eastAsia="宋体" w:hAnsi="宋体" w:cs="Arial"/>
          <w:kern w:val="0"/>
          <w:szCs w:val="21"/>
        </w:rPr>
        <w:t>二</w:t>
      </w:r>
      <w:r w:rsidR="00727B89">
        <w:rPr>
          <w:rFonts w:ascii="宋体" w:eastAsia="宋体" w:hAnsi="宋体" w:cs="Arial" w:hint="eastAsia"/>
          <w:kern w:val="0"/>
          <w:szCs w:val="21"/>
        </w:rPr>
        <w:t>四</w:t>
      </w:r>
      <w:r w:rsidRPr="00275D88">
        <w:rPr>
          <w:rFonts w:ascii="宋体" w:eastAsia="宋体" w:hAnsi="宋体" w:cs="Arial"/>
          <w:kern w:val="0"/>
          <w:szCs w:val="21"/>
        </w:rPr>
        <w:t>年</w:t>
      </w:r>
      <w:r w:rsidR="00117A40">
        <w:rPr>
          <w:rFonts w:ascii="宋体" w:eastAsia="宋体" w:hAnsi="宋体" w:cs="Arial" w:hint="eastAsia"/>
          <w:kern w:val="0"/>
          <w:szCs w:val="21"/>
        </w:rPr>
        <w:t>十一</w:t>
      </w:r>
      <w:r w:rsidRPr="00275D88">
        <w:rPr>
          <w:rFonts w:ascii="宋体" w:eastAsia="宋体" w:hAnsi="宋体" w:cs="Arial"/>
          <w:kern w:val="0"/>
          <w:szCs w:val="21"/>
        </w:rPr>
        <w:t>月</w:t>
      </w:r>
      <w:r w:rsidR="00117A40">
        <w:rPr>
          <w:rFonts w:ascii="宋体" w:eastAsia="宋体" w:hAnsi="宋体" w:cs="Arial" w:hint="eastAsia"/>
          <w:kern w:val="0"/>
          <w:szCs w:val="21"/>
        </w:rPr>
        <w:t>八</w:t>
      </w:r>
      <w:r w:rsidRPr="00275D88">
        <w:rPr>
          <w:rFonts w:ascii="宋体" w:eastAsia="宋体" w:hAnsi="宋体" w:cs="Arial"/>
          <w:kern w:val="0"/>
          <w:szCs w:val="21"/>
        </w:rPr>
        <w:t>日</w:t>
      </w:r>
    </w:p>
    <w:sectPr w:rsidR="009C4ECF" w:rsidRPr="006A34C3" w:rsidSect="00E24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14C" w:rsidRDefault="0003314C" w:rsidP="00484A24">
      <w:r>
        <w:separator/>
      </w:r>
    </w:p>
  </w:endnote>
  <w:endnote w:type="continuationSeparator" w:id="0">
    <w:p w:rsidR="0003314C" w:rsidRDefault="0003314C" w:rsidP="0048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14C" w:rsidRDefault="0003314C" w:rsidP="00484A24">
      <w:r>
        <w:separator/>
      </w:r>
    </w:p>
  </w:footnote>
  <w:footnote w:type="continuationSeparator" w:id="0">
    <w:p w:rsidR="0003314C" w:rsidRDefault="0003314C" w:rsidP="00484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90E"/>
    <w:multiLevelType w:val="hybridMultilevel"/>
    <w:tmpl w:val="6B1EDBCA"/>
    <w:lvl w:ilvl="0" w:tplc="280493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225E0"/>
    <w:rsid w:val="0003314C"/>
    <w:rsid w:val="0004572D"/>
    <w:rsid w:val="00087DB9"/>
    <w:rsid w:val="000B3594"/>
    <w:rsid w:val="000F1CDE"/>
    <w:rsid w:val="00117A40"/>
    <w:rsid w:val="00134C88"/>
    <w:rsid w:val="00143949"/>
    <w:rsid w:val="00157004"/>
    <w:rsid w:val="00160087"/>
    <w:rsid w:val="00163206"/>
    <w:rsid w:val="00174F83"/>
    <w:rsid w:val="001A0967"/>
    <w:rsid w:val="001A1770"/>
    <w:rsid w:val="001B7F12"/>
    <w:rsid w:val="001E4548"/>
    <w:rsid w:val="00200C90"/>
    <w:rsid w:val="002166DC"/>
    <w:rsid w:val="00216991"/>
    <w:rsid w:val="00220BAF"/>
    <w:rsid w:val="002378DC"/>
    <w:rsid w:val="00275D88"/>
    <w:rsid w:val="002774F4"/>
    <w:rsid w:val="002822A9"/>
    <w:rsid w:val="002C4589"/>
    <w:rsid w:val="002C6047"/>
    <w:rsid w:val="0035309D"/>
    <w:rsid w:val="003A2FB3"/>
    <w:rsid w:val="003E16A6"/>
    <w:rsid w:val="003E47FA"/>
    <w:rsid w:val="00403445"/>
    <w:rsid w:val="00484A24"/>
    <w:rsid w:val="00484F16"/>
    <w:rsid w:val="00496EB4"/>
    <w:rsid w:val="004B6310"/>
    <w:rsid w:val="0050197F"/>
    <w:rsid w:val="0050764C"/>
    <w:rsid w:val="005143B9"/>
    <w:rsid w:val="00527A9B"/>
    <w:rsid w:val="0053504F"/>
    <w:rsid w:val="00547C38"/>
    <w:rsid w:val="00561FF4"/>
    <w:rsid w:val="00566D4E"/>
    <w:rsid w:val="005E6624"/>
    <w:rsid w:val="005F6692"/>
    <w:rsid w:val="00603B86"/>
    <w:rsid w:val="006801C5"/>
    <w:rsid w:val="006802E0"/>
    <w:rsid w:val="006A3043"/>
    <w:rsid w:val="006A34C3"/>
    <w:rsid w:val="006E6DD9"/>
    <w:rsid w:val="006E7DB0"/>
    <w:rsid w:val="00707F2F"/>
    <w:rsid w:val="00712C09"/>
    <w:rsid w:val="00727B89"/>
    <w:rsid w:val="00766C09"/>
    <w:rsid w:val="007953C7"/>
    <w:rsid w:val="007C4062"/>
    <w:rsid w:val="007E5331"/>
    <w:rsid w:val="008038EA"/>
    <w:rsid w:val="008152BF"/>
    <w:rsid w:val="00830CC9"/>
    <w:rsid w:val="008458E8"/>
    <w:rsid w:val="008552FD"/>
    <w:rsid w:val="008611C4"/>
    <w:rsid w:val="00862005"/>
    <w:rsid w:val="008B2A21"/>
    <w:rsid w:val="008C2AEF"/>
    <w:rsid w:val="008C7626"/>
    <w:rsid w:val="008F1D54"/>
    <w:rsid w:val="0090671C"/>
    <w:rsid w:val="0092755E"/>
    <w:rsid w:val="00942F2E"/>
    <w:rsid w:val="0095522C"/>
    <w:rsid w:val="00981D3D"/>
    <w:rsid w:val="0098563E"/>
    <w:rsid w:val="00990913"/>
    <w:rsid w:val="009C4ECF"/>
    <w:rsid w:val="009C6B57"/>
    <w:rsid w:val="009D7868"/>
    <w:rsid w:val="009E29FC"/>
    <w:rsid w:val="00A11CD2"/>
    <w:rsid w:val="00A6218D"/>
    <w:rsid w:val="00A625A8"/>
    <w:rsid w:val="00A71C46"/>
    <w:rsid w:val="00A779BC"/>
    <w:rsid w:val="00AD4B0E"/>
    <w:rsid w:val="00AF3C54"/>
    <w:rsid w:val="00B06DBD"/>
    <w:rsid w:val="00B22BB0"/>
    <w:rsid w:val="00B33273"/>
    <w:rsid w:val="00B41EA6"/>
    <w:rsid w:val="00B4510C"/>
    <w:rsid w:val="00B679B0"/>
    <w:rsid w:val="00B94043"/>
    <w:rsid w:val="00BB4F20"/>
    <w:rsid w:val="00BC7C2E"/>
    <w:rsid w:val="00BE72B1"/>
    <w:rsid w:val="00C05856"/>
    <w:rsid w:val="00C21B09"/>
    <w:rsid w:val="00C64448"/>
    <w:rsid w:val="00C846EE"/>
    <w:rsid w:val="00CA368A"/>
    <w:rsid w:val="00CB0941"/>
    <w:rsid w:val="00CB7407"/>
    <w:rsid w:val="00CC581D"/>
    <w:rsid w:val="00CD3D64"/>
    <w:rsid w:val="00CE3F13"/>
    <w:rsid w:val="00D404C2"/>
    <w:rsid w:val="00E24F18"/>
    <w:rsid w:val="00E45CB2"/>
    <w:rsid w:val="00E65EA7"/>
    <w:rsid w:val="00E74E5E"/>
    <w:rsid w:val="00E758CB"/>
    <w:rsid w:val="00E87CF1"/>
    <w:rsid w:val="00ED22A4"/>
    <w:rsid w:val="00F856F4"/>
    <w:rsid w:val="00FA1AEA"/>
    <w:rsid w:val="00FF3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table" w:styleId="ac">
    <w:name w:val="Table Grid"/>
    <w:basedOn w:val="a1"/>
    <w:uiPriority w:val="39"/>
    <w:rsid w:val="003E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E3F13"/>
    <w:pPr>
      <w:ind w:firstLineChars="200" w:firstLine="420"/>
    </w:pPr>
  </w:style>
</w:styles>
</file>

<file path=word/webSettings.xml><?xml version="1.0" encoding="utf-8"?>
<w:webSettings xmlns:r="http://schemas.openxmlformats.org/officeDocument/2006/relationships" xmlns:w="http://schemas.openxmlformats.org/wordprocessingml/2006/main">
  <w:divs>
    <w:div w:id="96754552">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18371056">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27868575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487987359">
      <w:bodyDiv w:val="1"/>
      <w:marLeft w:val="0"/>
      <w:marRight w:val="0"/>
      <w:marTop w:val="0"/>
      <w:marBottom w:val="0"/>
      <w:divBdr>
        <w:top w:val="none" w:sz="0" w:space="0" w:color="auto"/>
        <w:left w:val="none" w:sz="0" w:space="0" w:color="auto"/>
        <w:bottom w:val="none" w:sz="0" w:space="0" w:color="auto"/>
        <w:right w:val="none" w:sz="0" w:space="0" w:color="auto"/>
      </w:divBdr>
    </w:div>
    <w:div w:id="527913703">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28051558">
      <w:bodyDiv w:val="1"/>
      <w:marLeft w:val="0"/>
      <w:marRight w:val="0"/>
      <w:marTop w:val="0"/>
      <w:marBottom w:val="0"/>
      <w:divBdr>
        <w:top w:val="none" w:sz="0" w:space="0" w:color="auto"/>
        <w:left w:val="none" w:sz="0" w:space="0" w:color="auto"/>
        <w:bottom w:val="none" w:sz="0" w:space="0" w:color="auto"/>
        <w:right w:val="none" w:sz="0" w:space="0" w:color="auto"/>
      </w:divBdr>
    </w:div>
    <w:div w:id="651910253">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12075273">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54536265">
      <w:bodyDiv w:val="1"/>
      <w:marLeft w:val="0"/>
      <w:marRight w:val="0"/>
      <w:marTop w:val="0"/>
      <w:marBottom w:val="0"/>
      <w:divBdr>
        <w:top w:val="none" w:sz="0" w:space="0" w:color="auto"/>
        <w:left w:val="none" w:sz="0" w:space="0" w:color="auto"/>
        <w:bottom w:val="none" w:sz="0" w:space="0" w:color="auto"/>
        <w:right w:val="none" w:sz="0" w:space="0" w:color="auto"/>
      </w:divBdr>
    </w:div>
    <w:div w:id="855776430">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
    <w:div w:id="1184396855">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61800918">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57905310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52198428">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3682522">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E9E1-222D-425E-AB58-D63CEA0D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1523</Characters>
  <Application>Microsoft Office Word</Application>
  <DocSecurity>4</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2024-11-07T16:01:00Z</dcterms:created>
  <dcterms:modified xsi:type="dcterms:W3CDTF">2024-11-07T16:01:00Z</dcterms:modified>
</cp:coreProperties>
</file>