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4A" w:rsidRDefault="008D2B4A">
      <w:bookmarkStart w:id="0" w:name="_GoBack"/>
      <w:bookmarkEnd w:id="0"/>
    </w:p>
    <w:p w:rsidR="008D2B4A" w:rsidRDefault="00F53D59">
      <w:pPr>
        <w:jc w:val="center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t>博时北证</w:t>
      </w:r>
      <w:r>
        <w:rPr>
          <w:rFonts w:ascii="宋体" w:eastAsia="宋体" w:hAnsi="宋体" w:hint="eastAsia"/>
          <w:b/>
          <w:sz w:val="30"/>
        </w:rPr>
        <w:t>50</w:t>
      </w:r>
      <w:r>
        <w:rPr>
          <w:rFonts w:ascii="宋体" w:eastAsia="宋体" w:hAnsi="宋体" w:hint="eastAsia"/>
          <w:b/>
          <w:sz w:val="30"/>
        </w:rPr>
        <w:t>成份指数型发起式证券投资基金恢复申购、转换转入、定期定额投资业务的公告</w:t>
      </w:r>
    </w:p>
    <w:p w:rsidR="008D2B4A" w:rsidRDefault="00F53D59">
      <w:pPr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公告送出日期：</w:t>
      </w:r>
      <w:r>
        <w:rPr>
          <w:rFonts w:ascii="宋体" w:eastAsia="宋体" w:hAnsi="宋体"/>
          <w:b/>
          <w:sz w:val="24"/>
        </w:rPr>
        <w:t>2024</w:t>
      </w:r>
      <w:r>
        <w:rPr>
          <w:rFonts w:ascii="宋体" w:eastAsia="宋体" w:hAnsi="宋体"/>
          <w:b/>
          <w:sz w:val="24"/>
        </w:rPr>
        <w:t>年</w:t>
      </w:r>
      <w:r>
        <w:rPr>
          <w:rFonts w:ascii="宋体" w:eastAsia="宋体" w:hAnsi="宋体"/>
          <w:b/>
          <w:sz w:val="24"/>
        </w:rPr>
        <w:t>11</w:t>
      </w:r>
      <w:r>
        <w:rPr>
          <w:rFonts w:ascii="宋体" w:eastAsia="宋体" w:hAnsi="宋体"/>
          <w:b/>
          <w:sz w:val="24"/>
        </w:rPr>
        <w:t>月</w:t>
      </w:r>
      <w:r>
        <w:rPr>
          <w:rFonts w:ascii="宋体" w:eastAsia="宋体" w:hAnsi="宋体"/>
          <w:b/>
          <w:sz w:val="24"/>
        </w:rPr>
        <w:t>7</w:t>
      </w:r>
      <w:r>
        <w:rPr>
          <w:rFonts w:ascii="宋体" w:eastAsia="宋体" w:hAnsi="宋体"/>
          <w:b/>
          <w:sz w:val="24"/>
        </w:rPr>
        <w:t>日</w:t>
      </w:r>
    </w:p>
    <w:p w:rsidR="008D2B4A" w:rsidRDefault="008D2B4A">
      <w:pPr>
        <w:jc w:val="center"/>
        <w:rPr>
          <w:rFonts w:ascii="宋体" w:eastAsia="宋体" w:hAnsi="宋体"/>
          <w:b/>
          <w:sz w:val="24"/>
        </w:rPr>
      </w:pPr>
    </w:p>
    <w:p w:rsidR="008D2B4A" w:rsidRDefault="00F53D59">
      <w:pPr>
        <w:pStyle w:val="3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</w:t>
      </w:r>
      <w:r>
        <w:rPr>
          <w:rFonts w:ascii="宋体" w:eastAsia="宋体" w:hAnsi="宋体"/>
          <w:sz w:val="24"/>
        </w:rPr>
        <w:t>、公告基本信息</w:t>
      </w: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8D2B4A">
        <w:tc>
          <w:tcPr>
            <w:tcW w:w="4260" w:type="dxa"/>
            <w:gridSpan w:val="2"/>
            <w:vAlign w:val="center"/>
          </w:tcPr>
          <w:p w:rsidR="008D2B4A" w:rsidRDefault="00F53D5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基金名称</w:t>
            </w:r>
          </w:p>
        </w:tc>
        <w:tc>
          <w:tcPr>
            <w:tcW w:w="4262" w:type="dxa"/>
            <w:gridSpan w:val="2"/>
            <w:vAlign w:val="center"/>
          </w:tcPr>
          <w:p w:rsidR="008D2B4A" w:rsidRDefault="00F53D5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博时北证</w:t>
            </w:r>
            <w:r>
              <w:rPr>
                <w:rFonts w:ascii="宋体" w:eastAsia="宋体" w:hAnsi="宋体"/>
                <w:sz w:val="24"/>
              </w:rPr>
              <w:t>50</w:t>
            </w:r>
            <w:r>
              <w:rPr>
                <w:rFonts w:ascii="宋体" w:eastAsia="宋体" w:hAnsi="宋体"/>
                <w:sz w:val="24"/>
              </w:rPr>
              <w:t>成份指数型发起式证券投资基金</w:t>
            </w:r>
          </w:p>
        </w:tc>
      </w:tr>
      <w:tr w:rsidR="008D2B4A">
        <w:tc>
          <w:tcPr>
            <w:tcW w:w="4260" w:type="dxa"/>
            <w:gridSpan w:val="2"/>
            <w:vAlign w:val="center"/>
          </w:tcPr>
          <w:p w:rsidR="008D2B4A" w:rsidRDefault="00F53D5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基金简称</w:t>
            </w:r>
          </w:p>
        </w:tc>
        <w:tc>
          <w:tcPr>
            <w:tcW w:w="4262" w:type="dxa"/>
            <w:gridSpan w:val="2"/>
            <w:vAlign w:val="center"/>
          </w:tcPr>
          <w:p w:rsidR="008D2B4A" w:rsidRDefault="00F53D5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博时北证</w:t>
            </w:r>
            <w:r>
              <w:rPr>
                <w:rFonts w:ascii="宋体" w:eastAsia="宋体" w:hAnsi="宋体"/>
                <w:sz w:val="24"/>
              </w:rPr>
              <w:t>50</w:t>
            </w:r>
            <w:r>
              <w:rPr>
                <w:rFonts w:ascii="宋体" w:eastAsia="宋体" w:hAnsi="宋体"/>
                <w:sz w:val="24"/>
              </w:rPr>
              <w:t>成份指数发起式</w:t>
            </w:r>
          </w:p>
        </w:tc>
      </w:tr>
      <w:tr w:rsidR="008D2B4A">
        <w:tc>
          <w:tcPr>
            <w:tcW w:w="4260" w:type="dxa"/>
            <w:gridSpan w:val="2"/>
            <w:vAlign w:val="center"/>
          </w:tcPr>
          <w:p w:rsidR="008D2B4A" w:rsidRDefault="00F53D5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基金主代码</w:t>
            </w:r>
          </w:p>
        </w:tc>
        <w:tc>
          <w:tcPr>
            <w:tcW w:w="4262" w:type="dxa"/>
            <w:gridSpan w:val="2"/>
            <w:vAlign w:val="center"/>
          </w:tcPr>
          <w:p w:rsidR="008D2B4A" w:rsidRDefault="00F53D5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018128</w:t>
            </w:r>
          </w:p>
        </w:tc>
      </w:tr>
      <w:tr w:rsidR="008D2B4A">
        <w:tc>
          <w:tcPr>
            <w:tcW w:w="4260" w:type="dxa"/>
            <w:gridSpan w:val="2"/>
            <w:vAlign w:val="center"/>
          </w:tcPr>
          <w:p w:rsidR="008D2B4A" w:rsidRDefault="00F53D5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基金管理人名称</w:t>
            </w:r>
          </w:p>
        </w:tc>
        <w:tc>
          <w:tcPr>
            <w:tcW w:w="4262" w:type="dxa"/>
            <w:gridSpan w:val="2"/>
            <w:vAlign w:val="center"/>
          </w:tcPr>
          <w:p w:rsidR="008D2B4A" w:rsidRDefault="00F53D5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博时基金管理有限公司</w:t>
            </w:r>
          </w:p>
        </w:tc>
      </w:tr>
      <w:tr w:rsidR="008D2B4A">
        <w:tc>
          <w:tcPr>
            <w:tcW w:w="4260" w:type="dxa"/>
            <w:gridSpan w:val="2"/>
            <w:vAlign w:val="center"/>
          </w:tcPr>
          <w:p w:rsidR="008D2B4A" w:rsidRDefault="00F53D5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公告依据</w:t>
            </w:r>
          </w:p>
        </w:tc>
        <w:tc>
          <w:tcPr>
            <w:tcW w:w="4262" w:type="dxa"/>
            <w:gridSpan w:val="2"/>
            <w:vAlign w:val="center"/>
          </w:tcPr>
          <w:p w:rsidR="008D2B4A" w:rsidRDefault="00F53D5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根据有关法律法规及《博时北证</w:t>
            </w:r>
            <w:r>
              <w:rPr>
                <w:rFonts w:ascii="宋体" w:eastAsia="宋体" w:hAnsi="宋体"/>
                <w:sz w:val="24"/>
              </w:rPr>
              <w:t>50</w:t>
            </w:r>
            <w:r>
              <w:rPr>
                <w:rFonts w:ascii="宋体" w:eastAsia="宋体" w:hAnsi="宋体"/>
                <w:sz w:val="24"/>
              </w:rPr>
              <w:t>成份指数型发起式证券投资基金基金合同》、《博时北证</w:t>
            </w:r>
            <w:r>
              <w:rPr>
                <w:rFonts w:ascii="宋体" w:eastAsia="宋体" w:hAnsi="宋体"/>
                <w:sz w:val="24"/>
              </w:rPr>
              <w:t>50</w:t>
            </w:r>
            <w:r>
              <w:rPr>
                <w:rFonts w:ascii="宋体" w:eastAsia="宋体" w:hAnsi="宋体"/>
                <w:sz w:val="24"/>
              </w:rPr>
              <w:t>成份指数型发起式证券投资基金招募说明书》等的规定</w:t>
            </w:r>
          </w:p>
        </w:tc>
      </w:tr>
      <w:tr w:rsidR="008D2B4A">
        <w:tc>
          <w:tcPr>
            <w:tcW w:w="2130" w:type="dxa"/>
            <w:vMerge w:val="restart"/>
            <w:vAlign w:val="center"/>
          </w:tcPr>
          <w:p w:rsidR="008D2B4A" w:rsidRDefault="00F53D5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恢复相关业务的日期及原因说明</w:t>
            </w:r>
          </w:p>
        </w:tc>
        <w:tc>
          <w:tcPr>
            <w:tcW w:w="2130" w:type="dxa"/>
            <w:vAlign w:val="center"/>
          </w:tcPr>
          <w:p w:rsidR="008D2B4A" w:rsidRDefault="00F53D5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恢复申购起始日</w:t>
            </w:r>
          </w:p>
        </w:tc>
        <w:tc>
          <w:tcPr>
            <w:tcW w:w="4262" w:type="dxa"/>
            <w:gridSpan w:val="2"/>
            <w:vAlign w:val="center"/>
          </w:tcPr>
          <w:p w:rsidR="008D2B4A" w:rsidRDefault="00F53D5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2024</w:t>
            </w:r>
            <w:r>
              <w:rPr>
                <w:rFonts w:ascii="宋体" w:eastAsia="宋体" w:hAnsi="宋体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11</w:t>
            </w:r>
            <w:r>
              <w:rPr>
                <w:rFonts w:ascii="宋体" w:eastAsia="宋体" w:hAnsi="宋体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8</w:t>
            </w:r>
            <w:r>
              <w:rPr>
                <w:rFonts w:ascii="宋体" w:eastAsia="宋体" w:hAnsi="宋体"/>
                <w:sz w:val="24"/>
              </w:rPr>
              <w:t>日</w:t>
            </w:r>
          </w:p>
        </w:tc>
      </w:tr>
      <w:tr w:rsidR="008D2B4A">
        <w:tc>
          <w:tcPr>
            <w:tcW w:w="2130" w:type="dxa"/>
            <w:vMerge/>
            <w:vAlign w:val="center"/>
          </w:tcPr>
          <w:p w:rsidR="008D2B4A" w:rsidRDefault="008D2B4A"/>
        </w:tc>
        <w:tc>
          <w:tcPr>
            <w:tcW w:w="2130" w:type="dxa"/>
            <w:vAlign w:val="center"/>
          </w:tcPr>
          <w:p w:rsidR="008D2B4A" w:rsidRDefault="00F53D5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恢复转换转入起始日</w:t>
            </w:r>
          </w:p>
        </w:tc>
        <w:tc>
          <w:tcPr>
            <w:tcW w:w="4262" w:type="dxa"/>
            <w:gridSpan w:val="2"/>
            <w:vAlign w:val="center"/>
          </w:tcPr>
          <w:p w:rsidR="008D2B4A" w:rsidRDefault="00F53D5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2024</w:t>
            </w:r>
            <w:r>
              <w:rPr>
                <w:rFonts w:ascii="宋体" w:eastAsia="宋体" w:hAnsi="宋体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11</w:t>
            </w:r>
            <w:r>
              <w:rPr>
                <w:rFonts w:ascii="宋体" w:eastAsia="宋体" w:hAnsi="宋体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8</w:t>
            </w:r>
            <w:r>
              <w:rPr>
                <w:rFonts w:ascii="宋体" w:eastAsia="宋体" w:hAnsi="宋体"/>
                <w:sz w:val="24"/>
              </w:rPr>
              <w:t>日</w:t>
            </w:r>
          </w:p>
        </w:tc>
      </w:tr>
      <w:tr w:rsidR="008D2B4A">
        <w:tc>
          <w:tcPr>
            <w:tcW w:w="2130" w:type="dxa"/>
            <w:vMerge/>
            <w:vAlign w:val="center"/>
          </w:tcPr>
          <w:p w:rsidR="008D2B4A" w:rsidRDefault="008D2B4A"/>
        </w:tc>
        <w:tc>
          <w:tcPr>
            <w:tcW w:w="2130" w:type="dxa"/>
            <w:vAlign w:val="center"/>
          </w:tcPr>
          <w:p w:rsidR="008D2B4A" w:rsidRDefault="00F53D5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恢复定期定额投资起始日</w:t>
            </w:r>
          </w:p>
        </w:tc>
        <w:tc>
          <w:tcPr>
            <w:tcW w:w="4262" w:type="dxa"/>
            <w:gridSpan w:val="2"/>
            <w:vAlign w:val="center"/>
          </w:tcPr>
          <w:p w:rsidR="008D2B4A" w:rsidRDefault="00F53D5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2024</w:t>
            </w:r>
            <w:r>
              <w:rPr>
                <w:rFonts w:ascii="宋体" w:eastAsia="宋体" w:hAnsi="宋体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11</w:t>
            </w:r>
            <w:r>
              <w:rPr>
                <w:rFonts w:ascii="宋体" w:eastAsia="宋体" w:hAnsi="宋体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8</w:t>
            </w:r>
            <w:r>
              <w:rPr>
                <w:rFonts w:ascii="宋体" w:eastAsia="宋体" w:hAnsi="宋体"/>
                <w:sz w:val="24"/>
              </w:rPr>
              <w:t>日</w:t>
            </w:r>
          </w:p>
        </w:tc>
      </w:tr>
      <w:tr w:rsidR="008D2B4A">
        <w:tc>
          <w:tcPr>
            <w:tcW w:w="2130" w:type="dxa"/>
            <w:vMerge/>
            <w:vAlign w:val="center"/>
          </w:tcPr>
          <w:p w:rsidR="008D2B4A" w:rsidRDefault="008D2B4A"/>
        </w:tc>
        <w:tc>
          <w:tcPr>
            <w:tcW w:w="2130" w:type="dxa"/>
            <w:vAlign w:val="center"/>
          </w:tcPr>
          <w:p w:rsidR="008D2B4A" w:rsidRDefault="00F53D5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恢复申购、转换转入、定期定额投资的原因说明</w:t>
            </w:r>
          </w:p>
        </w:tc>
        <w:tc>
          <w:tcPr>
            <w:tcW w:w="4262" w:type="dxa"/>
            <w:gridSpan w:val="2"/>
            <w:vAlign w:val="center"/>
          </w:tcPr>
          <w:p w:rsidR="008D2B4A" w:rsidRDefault="00F53D5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为满足广大投资者的投资需求</w:t>
            </w:r>
          </w:p>
        </w:tc>
      </w:tr>
      <w:tr w:rsidR="008D2B4A">
        <w:tc>
          <w:tcPr>
            <w:tcW w:w="4260" w:type="dxa"/>
            <w:gridSpan w:val="2"/>
            <w:vAlign w:val="center"/>
          </w:tcPr>
          <w:p w:rsidR="008D2B4A" w:rsidRDefault="00F53D5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下属基金份额的基金简称</w:t>
            </w:r>
          </w:p>
        </w:tc>
        <w:tc>
          <w:tcPr>
            <w:tcW w:w="2131" w:type="dxa"/>
            <w:vAlign w:val="center"/>
          </w:tcPr>
          <w:p w:rsidR="008D2B4A" w:rsidRDefault="00F53D5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博时北证</w:t>
            </w:r>
            <w:r>
              <w:rPr>
                <w:rFonts w:ascii="宋体" w:eastAsia="宋体" w:hAnsi="宋体"/>
                <w:sz w:val="24"/>
              </w:rPr>
              <w:t>50</w:t>
            </w:r>
            <w:r>
              <w:rPr>
                <w:rFonts w:ascii="宋体" w:eastAsia="宋体" w:hAnsi="宋体"/>
                <w:sz w:val="24"/>
              </w:rPr>
              <w:t>成份指数发起式</w:t>
            </w:r>
            <w:r>
              <w:rPr>
                <w:rFonts w:ascii="宋体" w:eastAsia="宋体" w:hAnsi="宋体"/>
                <w:sz w:val="24"/>
              </w:rPr>
              <w:t>A</w:t>
            </w:r>
          </w:p>
        </w:tc>
        <w:tc>
          <w:tcPr>
            <w:tcW w:w="2131" w:type="dxa"/>
            <w:vAlign w:val="center"/>
          </w:tcPr>
          <w:p w:rsidR="008D2B4A" w:rsidRDefault="00F53D5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博时北证</w:t>
            </w:r>
            <w:r>
              <w:rPr>
                <w:rFonts w:ascii="宋体" w:eastAsia="宋体" w:hAnsi="宋体"/>
                <w:sz w:val="24"/>
              </w:rPr>
              <w:t>50</w:t>
            </w:r>
            <w:r>
              <w:rPr>
                <w:rFonts w:ascii="宋体" w:eastAsia="宋体" w:hAnsi="宋体"/>
                <w:sz w:val="24"/>
              </w:rPr>
              <w:t>成份指数发起式</w:t>
            </w:r>
            <w:r>
              <w:rPr>
                <w:rFonts w:ascii="宋体" w:eastAsia="宋体" w:hAnsi="宋体"/>
                <w:sz w:val="24"/>
              </w:rPr>
              <w:t>C</w:t>
            </w:r>
          </w:p>
        </w:tc>
      </w:tr>
      <w:tr w:rsidR="008D2B4A">
        <w:tc>
          <w:tcPr>
            <w:tcW w:w="4260" w:type="dxa"/>
            <w:gridSpan w:val="2"/>
            <w:vAlign w:val="center"/>
          </w:tcPr>
          <w:p w:rsidR="008D2B4A" w:rsidRDefault="00F53D5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下属基金份额的交易代码</w:t>
            </w:r>
          </w:p>
        </w:tc>
        <w:tc>
          <w:tcPr>
            <w:tcW w:w="2131" w:type="dxa"/>
            <w:vAlign w:val="center"/>
          </w:tcPr>
          <w:p w:rsidR="008D2B4A" w:rsidRDefault="00F53D5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018128</w:t>
            </w:r>
          </w:p>
        </w:tc>
        <w:tc>
          <w:tcPr>
            <w:tcW w:w="2131" w:type="dxa"/>
            <w:vAlign w:val="center"/>
          </w:tcPr>
          <w:p w:rsidR="008D2B4A" w:rsidRDefault="00F53D5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018129</w:t>
            </w:r>
          </w:p>
        </w:tc>
      </w:tr>
      <w:tr w:rsidR="008D2B4A">
        <w:tc>
          <w:tcPr>
            <w:tcW w:w="4260" w:type="dxa"/>
            <w:gridSpan w:val="2"/>
            <w:vAlign w:val="center"/>
          </w:tcPr>
          <w:p w:rsidR="008D2B4A" w:rsidRDefault="00F53D5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该类基金份额是否恢复申购、转换转入、定期定额投资业务</w:t>
            </w:r>
          </w:p>
        </w:tc>
        <w:tc>
          <w:tcPr>
            <w:tcW w:w="2131" w:type="dxa"/>
            <w:vAlign w:val="center"/>
          </w:tcPr>
          <w:p w:rsidR="008D2B4A" w:rsidRDefault="00F53D5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</w:t>
            </w:r>
          </w:p>
        </w:tc>
        <w:tc>
          <w:tcPr>
            <w:tcW w:w="2131" w:type="dxa"/>
            <w:vAlign w:val="center"/>
          </w:tcPr>
          <w:p w:rsidR="008D2B4A" w:rsidRDefault="00F53D5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</w:t>
            </w:r>
          </w:p>
        </w:tc>
      </w:tr>
    </w:tbl>
    <w:p w:rsidR="008D2B4A" w:rsidRDefault="008D2B4A"/>
    <w:p w:rsidR="008D2B4A" w:rsidRDefault="00F53D59">
      <w:pPr>
        <w:pStyle w:val="3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 w:hint="eastAsia"/>
          <w:sz w:val="24"/>
        </w:rPr>
        <w:t>、其他需要提示的事项</w:t>
      </w:r>
    </w:p>
    <w:p w:rsidR="008D2B4A" w:rsidRDefault="00F53D59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）自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日起，本基金恢复申购、转换转入、定期定额投资业务。</w:t>
      </w:r>
      <w:r>
        <w:rPr>
          <w:rFonts w:hint="eastAsia"/>
        </w:rPr>
        <w:t xml:space="preserve"> </w:t>
      </w:r>
    </w:p>
    <w:p w:rsidR="008D2B4A" w:rsidRDefault="00F53D59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）如有疑问，请拨打博时一线通：</w:t>
      </w:r>
      <w:r>
        <w:rPr>
          <w:rFonts w:hint="eastAsia"/>
        </w:rPr>
        <w:t>95105568</w:t>
      </w:r>
      <w:r>
        <w:rPr>
          <w:rFonts w:hint="eastAsia"/>
        </w:rPr>
        <w:t>（免长途话费）或登录本公司网站</w:t>
      </w:r>
      <w:r>
        <w:rPr>
          <w:rFonts w:hint="eastAsia"/>
        </w:rPr>
        <w:t>www.bosera.com</w:t>
      </w:r>
      <w:r>
        <w:rPr>
          <w:rFonts w:hint="eastAsia"/>
        </w:rPr>
        <w:t>获取相关信息。</w:t>
      </w:r>
      <w:r>
        <w:rPr>
          <w:rFonts w:hint="eastAsia"/>
        </w:rPr>
        <w:t xml:space="preserve"> </w:t>
      </w:r>
    </w:p>
    <w:p w:rsidR="008D2B4A" w:rsidRDefault="00F53D59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特此公告。</w:t>
      </w:r>
      <w:r>
        <w:rPr>
          <w:rFonts w:hint="eastAsia"/>
        </w:rPr>
        <w:t xml:space="preserve"> </w:t>
      </w:r>
    </w:p>
    <w:p w:rsidR="008D2B4A" w:rsidRDefault="008D2B4A">
      <w:pPr>
        <w:pStyle w:val="a3"/>
        <w:spacing w:before="0" w:beforeAutospacing="0" w:after="0" w:afterAutospacing="0" w:line="360" w:lineRule="auto"/>
        <w:ind w:firstLine="420"/>
      </w:pPr>
    </w:p>
    <w:p w:rsidR="008D2B4A" w:rsidRDefault="008D2B4A">
      <w:pPr>
        <w:pStyle w:val="a3"/>
        <w:spacing w:before="0" w:beforeAutospacing="0" w:after="0" w:afterAutospacing="0" w:line="360" w:lineRule="auto"/>
        <w:ind w:firstLine="420"/>
      </w:pPr>
    </w:p>
    <w:p w:rsidR="008D2B4A" w:rsidRDefault="008D2B4A">
      <w:pPr>
        <w:pStyle w:val="a3"/>
        <w:spacing w:before="0" w:beforeAutospacing="0" w:after="0" w:afterAutospacing="0" w:line="360" w:lineRule="auto"/>
        <w:ind w:firstLine="420"/>
      </w:pPr>
    </w:p>
    <w:p w:rsidR="008D2B4A" w:rsidRDefault="00F53D59">
      <w:pPr>
        <w:pStyle w:val="a3"/>
        <w:spacing w:before="0" w:beforeAutospacing="0" w:after="0" w:afterAutospacing="0" w:line="360" w:lineRule="auto"/>
        <w:ind w:firstLine="420"/>
        <w:jc w:val="right"/>
      </w:pPr>
      <w:r>
        <w:rPr>
          <w:rFonts w:hint="eastAsia"/>
        </w:rPr>
        <w:t>博时基金管理有限公司</w:t>
      </w:r>
    </w:p>
    <w:p w:rsidR="008D2B4A" w:rsidRDefault="00F53D59">
      <w:pPr>
        <w:pStyle w:val="a3"/>
        <w:spacing w:before="0" w:beforeAutospacing="0" w:after="0" w:afterAutospacing="0" w:line="360" w:lineRule="auto"/>
        <w:ind w:firstLine="420"/>
        <w:jc w:val="right"/>
      </w:pPr>
      <w:r>
        <w:t>2024</w:t>
      </w:r>
      <w:r>
        <w:t>年</w:t>
      </w:r>
      <w:r>
        <w:t>11</w:t>
      </w:r>
      <w:r>
        <w:t>月</w:t>
      </w:r>
      <w:r>
        <w:t>7</w:t>
      </w:r>
      <w:r>
        <w:t>日</w:t>
      </w:r>
    </w:p>
    <w:sectPr w:rsidR="008D2B4A" w:rsidSect="008D2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217C"/>
    <w:rsid w:val="0035292E"/>
    <w:rsid w:val="008D2B4A"/>
    <w:rsid w:val="00DA217C"/>
    <w:rsid w:val="00F53D59"/>
    <w:rsid w:val="64D5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4A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D2B4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B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8D2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8D2B4A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508</Characters>
  <Application>Microsoft Office Word</Application>
  <DocSecurity>4</DocSecurity>
  <Lines>4</Lines>
  <Paragraphs>1</Paragraphs>
  <ScaleCrop>false</ScaleCrop>
  <Company>mycompany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BSKMadminDev</dc:creator>
  <cp:lastModifiedBy>ZHONGM</cp:lastModifiedBy>
  <cp:revision>2</cp:revision>
  <dcterms:created xsi:type="dcterms:W3CDTF">2024-11-06T16:01:00Z</dcterms:created>
  <dcterms:modified xsi:type="dcterms:W3CDTF">2024-11-06T16:01:00Z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D3B8C5AD2DA84AED95B32F6C1E012B66</vt:lpwstr>
  </property>
</Properties>
</file>