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56738" w:rsidRDefault="00556738">
      <w:pPr>
        <w:pStyle w:val="XBRL2"/>
        <w:spacing w:before="156"/>
        <w:rPr>
          <w:lang w:eastAsia="zh-CN"/>
        </w:rPr>
      </w:pPr>
      <w:bookmarkStart w:id="0" w:name="_Toc348410291"/>
      <w:bookmarkEnd w:id="0"/>
      <w:r>
        <w:rPr>
          <w:lang w:eastAsia="zh-CN"/>
        </w:rPr>
        <w:t xml:space="preserve">　</w:t>
      </w:r>
      <w:r>
        <w:rPr>
          <w:lang w:eastAsia="zh-CN"/>
        </w:rPr>
        <w:t xml:space="preserve"> </w:t>
      </w:r>
    </w:p>
    <w:p w:rsidR="00556738" w:rsidRDefault="00556738">
      <w:pPr>
        <w:jc w:val="center"/>
      </w:pPr>
      <w:r>
        <w:rPr>
          <w:rFonts w:cs="Times New Roman" w:hint="eastAsia"/>
          <w:b/>
          <w:sz w:val="48"/>
          <w:szCs w:val="48"/>
        </w:rPr>
        <w:t>长城医药产业精选混合型发起式证券投资基金开放日常申购、赎回、转换、定期定额投资业务的公告</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sz w:val="24"/>
          <w:szCs w:val="30"/>
        </w:rPr>
      </w:pPr>
      <w:r>
        <w:rPr>
          <w:rFonts w:hint="eastAsia"/>
          <w:sz w:val="24"/>
          <w:szCs w:val="30"/>
        </w:rPr>
        <w:t xml:space="preserve">　 </w:t>
      </w:r>
    </w:p>
    <w:p w:rsidR="00556738" w:rsidRDefault="00556738">
      <w:pPr>
        <w:spacing w:line="360" w:lineRule="auto"/>
        <w:jc w:val="center"/>
        <w:rPr>
          <w:rFonts w:hint="eastAsia"/>
        </w:rPr>
      </w:pPr>
      <w:r>
        <w:rPr>
          <w:rFonts w:hint="eastAsia"/>
          <w:b/>
          <w:bCs/>
          <w:sz w:val="24"/>
          <w:szCs w:val="30"/>
        </w:rPr>
        <w:t>公告送出日期：2024年11月7日</w:t>
      </w:r>
    </w:p>
    <w:p w:rsidR="00556738" w:rsidRDefault="00556738">
      <w:pPr>
        <w:pStyle w:val="XBRLTitle1"/>
        <w:spacing w:before="156" w:line="360" w:lineRule="auto"/>
        <w:rPr>
          <w:rFonts w:hint="eastAsia"/>
        </w:rPr>
      </w:pPr>
      <w:r>
        <w:rPr>
          <w:rFonts w:hint="eastAsia"/>
          <w:color w:val="404040"/>
          <w:kern w:val="0"/>
        </w:rPr>
        <w:br w:type="page"/>
      </w:r>
      <w:bookmarkStart w:id="1" w:name="_Toc34758519"/>
      <w:bookmarkStart w:id="2" w:name="_Toc513295892"/>
      <w:bookmarkStart w:id="3" w:name="_Toc513295846"/>
      <w:bookmarkStart w:id="4" w:name="_Toc490050000"/>
      <w:bookmarkStart w:id="5" w:name="_Toc438646451"/>
      <w:bookmarkStart w:id="6" w:name="_Toc481075046"/>
      <w:bookmarkStart w:id="7" w:name="_Toc512519480"/>
      <w:bookmarkStart w:id="8" w:name="_Toc17897936"/>
      <w:bookmarkStart w:id="9" w:name="_Toc17898178"/>
      <w:bookmarkStart w:id="10" w:name="_Toc34841028"/>
      <w:bookmarkStart w:id="11" w:name="m101"/>
      <w:bookmarkStart w:id="12" w:name="m01_01"/>
      <w:bookmarkStart w:id="13" w:name="_Toc194311890"/>
      <w:r>
        <w:rPr>
          <w:rFonts w:hAnsi="宋体" w:hint="eastAsia"/>
        </w:rPr>
        <w:t>公告基本信息</w:t>
      </w:r>
      <w:bookmarkEnd w:id="1"/>
      <w:bookmarkEnd w:id="2"/>
      <w:bookmarkEnd w:id="3"/>
      <w:bookmarkEnd w:id="4"/>
      <w:bookmarkEnd w:id="5"/>
      <w:bookmarkEnd w:id="6"/>
      <w:bookmarkEnd w:id="7"/>
      <w:bookmarkEnd w:id="8"/>
      <w:bookmarkEnd w:id="9"/>
      <w:bookmarkEnd w:id="10"/>
      <w:r>
        <w:rPr>
          <w:rFonts w:hAnsi="宋体" w:hint="eastAsia"/>
          <w:szCs w:val="44"/>
        </w:rPr>
        <w:t xml:space="preserve"> </w:t>
      </w:r>
    </w:p>
    <w:tbl>
      <w:tblPr>
        <w:tblW w:w="85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40"/>
        <w:gridCol w:w="2840"/>
        <w:gridCol w:w="2840"/>
      </w:tblGrid>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rsidP="00A94A8E">
            <w:pPr>
              <w:rPr>
                <w:rFonts w:hint="eastAsia"/>
              </w:rPr>
            </w:pPr>
            <w:r w:rsidRPr="00A94A8E">
              <w:rPr>
                <w:rFonts w:hint="eastAsia"/>
              </w:rPr>
              <w:t xml:space="preserve">基金名称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长城医药产业精选混合型发起式证券投资基金</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基金简称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长城医药产业精选混合发起式</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基金主代码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022286</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基金运作方式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契约型开放式</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基金合同生效日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2024年10月22日</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基金管理人名称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长城基金管理有限公司</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基金托管人名称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中国建设银行股份有限公司</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基金注册登记机构名称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长城基金管理有限公司</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公告依据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《长城医药产业精选混合型发起式证券投资基金基金合同》和《长城医药产业精选混合型发起式证券投资基金招募说明书》的有关规定</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申购起始日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2024年11月8日</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赎回起始日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2024年11月8日</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转换转入起始日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2024年11月8日</w:t>
            </w:r>
          </w:p>
        </w:tc>
      </w:tr>
      <w:tr w:rsidR="00556738" w:rsidRPr="00A94A8E" w:rsidTr="00A94A8E">
        <w:tc>
          <w:tcPr>
            <w:tcW w:w="308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 xml:space="preserve">转换转出起始日 </w:t>
            </w:r>
          </w:p>
        </w:tc>
        <w:tc>
          <w:tcPr>
            <w:tcW w:w="54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2024年11月8日</w:t>
            </w:r>
          </w:p>
        </w:tc>
      </w:tr>
      <w:tr w:rsidR="00556738" w:rsidRPr="00A94A8E" w:rsidTr="00A94A8E">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定期定额投资起始日</w:t>
            </w:r>
          </w:p>
        </w:tc>
        <w:tc>
          <w:tcPr>
            <w:tcW w:w="4870" w:type="dxa"/>
            <w:gridSpan w:val="2"/>
            <w:tcBorders>
              <w:top w:val="single" w:sz="4" w:space="0" w:color="000000"/>
              <w:left w:val="nil"/>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hint="eastAsia"/>
              </w:rPr>
              <w:t>2024年11月8日</w:t>
            </w:r>
          </w:p>
        </w:tc>
      </w:tr>
      <w:tr w:rsidR="00556738" w:rsidRPr="00A94A8E" w:rsidTr="00A94A8E">
        <w:tc>
          <w:tcPr>
            <w:tcW w:w="3652" w:type="dxa"/>
            <w:tcBorders>
              <w:top w:val="single" w:sz="4" w:space="0" w:color="000000"/>
              <w:left w:val="single" w:sz="4" w:space="0" w:color="000000"/>
              <w:bottom w:val="single" w:sz="4" w:space="0" w:color="000000"/>
              <w:right w:val="nil"/>
            </w:tcBorders>
            <w:shd w:val="clear" w:color="auto" w:fill="auto"/>
            <w:vAlign w:val="center"/>
            <w:hideMark/>
          </w:tcPr>
          <w:p w:rsidR="00556738" w:rsidRDefault="00556738">
            <w:pPr>
              <w:rPr>
                <w:rFonts w:hint="eastAsia"/>
              </w:rPr>
            </w:pPr>
            <w:r w:rsidRPr="00A94A8E">
              <w:rPr>
                <w:rFonts w:ascii="Times New Roman" w:hAnsi="Times New Roman" w:hint="eastAsia"/>
              </w:rPr>
              <w:t>下属分级基金的基金简称</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长城医药产业精选混合发起式</w:t>
            </w:r>
            <w:r w:rsidRPr="00A94A8E">
              <w:rPr>
                <w:rFonts w:ascii="Times New Roman" w:hAnsi="Times New Roman" w:hint="eastAsia"/>
              </w:rPr>
              <w:t>A</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长城医药产业精选混合发起式</w:t>
            </w:r>
            <w:r w:rsidRPr="00A94A8E">
              <w:rPr>
                <w:rFonts w:ascii="Times New Roman" w:hAnsi="Times New Roman" w:hint="eastAsia"/>
              </w:rPr>
              <w:t>C</w:t>
            </w:r>
            <w:r>
              <w:rPr>
                <w:rFonts w:hint="eastAsia"/>
              </w:rPr>
              <w:t xml:space="preserve"> </w:t>
            </w:r>
          </w:p>
        </w:tc>
      </w:tr>
      <w:tr w:rsidR="00556738" w:rsidRPr="00A94A8E" w:rsidTr="00A94A8E">
        <w:tc>
          <w:tcPr>
            <w:tcW w:w="3652" w:type="dxa"/>
            <w:tcBorders>
              <w:top w:val="single" w:sz="4" w:space="0" w:color="000000"/>
              <w:left w:val="single" w:sz="4" w:space="0" w:color="000000"/>
              <w:bottom w:val="single" w:sz="4" w:space="0" w:color="000000"/>
              <w:right w:val="nil"/>
            </w:tcBorders>
            <w:shd w:val="clear" w:color="auto" w:fill="auto"/>
            <w:vAlign w:val="center"/>
            <w:hideMark/>
          </w:tcPr>
          <w:p w:rsidR="00556738" w:rsidRDefault="00556738">
            <w:pPr>
              <w:rPr>
                <w:rFonts w:hint="eastAsia"/>
              </w:rPr>
            </w:pPr>
            <w:r w:rsidRPr="00A94A8E">
              <w:rPr>
                <w:rFonts w:ascii="Times New Roman" w:hAnsi="Times New Roman" w:hint="eastAsia"/>
              </w:rPr>
              <w:t>下属分级基金的交易代码</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022286</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022287</w:t>
            </w:r>
            <w:r>
              <w:rPr>
                <w:rFonts w:hint="eastAsia"/>
              </w:rPr>
              <w:t xml:space="preserve"> </w:t>
            </w:r>
          </w:p>
        </w:tc>
      </w:tr>
      <w:tr w:rsidR="00556738" w:rsidRPr="00A94A8E" w:rsidTr="00A94A8E">
        <w:tc>
          <w:tcPr>
            <w:tcW w:w="3652" w:type="dxa"/>
            <w:tcBorders>
              <w:top w:val="single" w:sz="4" w:space="0" w:color="000000"/>
              <w:left w:val="single" w:sz="4" w:space="0" w:color="000000"/>
              <w:bottom w:val="single" w:sz="4" w:space="0" w:color="000000"/>
              <w:right w:val="nil"/>
            </w:tcBorders>
            <w:shd w:val="clear" w:color="auto" w:fill="auto"/>
            <w:vAlign w:val="center"/>
            <w:hideMark/>
          </w:tcPr>
          <w:p w:rsidR="00556738" w:rsidRDefault="00556738">
            <w:pPr>
              <w:rPr>
                <w:rFonts w:hint="eastAsia"/>
              </w:rPr>
            </w:pPr>
            <w:r w:rsidRPr="00A94A8E">
              <w:rPr>
                <w:rFonts w:ascii="Times New Roman" w:hAnsi="Times New Roman" w:hint="eastAsia"/>
              </w:rPr>
              <w:t>该分级基金是否开放申购、赎回（转换、定期定额投资）</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是</w:t>
            </w:r>
            <w:r>
              <w:rPr>
                <w:rFonts w:hint="eastAsia"/>
              </w:rPr>
              <w:t xml:space="preserve"> </w:t>
            </w:r>
          </w:p>
        </w:tc>
        <w:tc>
          <w:tcPr>
            <w:tcW w:w="365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556738" w:rsidRDefault="00556738">
            <w:pPr>
              <w:rPr>
                <w:rFonts w:hint="eastAsia"/>
              </w:rPr>
            </w:pPr>
            <w:r w:rsidRPr="00A94A8E">
              <w:rPr>
                <w:rFonts w:ascii="Times New Roman" w:hAnsi="Times New Roman" w:hint="eastAsia"/>
              </w:rPr>
              <w:t>是</w:t>
            </w:r>
            <w:r>
              <w:rPr>
                <w:rFonts w:hint="eastAsia"/>
              </w:rPr>
              <w:t xml:space="preserve"> </w:t>
            </w:r>
          </w:p>
        </w:tc>
      </w:tr>
    </w:tbl>
    <w:p w:rsidR="00556738" w:rsidRDefault="00556738">
      <w:pPr>
        <w:pStyle w:val="XBRLTitle1"/>
        <w:spacing w:before="156" w:line="360" w:lineRule="auto"/>
        <w:rPr>
          <w:rFonts w:hint="eastAsia"/>
        </w:rPr>
      </w:pPr>
      <w:bookmarkStart w:id="14" w:name="_Toc34758520"/>
      <w:bookmarkStart w:id="15" w:name="_Toc34841029"/>
      <w:bookmarkStart w:id="16" w:name="_Toc513295893"/>
      <w:bookmarkStart w:id="17" w:name="_Toc513295847"/>
      <w:bookmarkStart w:id="18" w:name="_Toc490050001"/>
      <w:bookmarkStart w:id="19" w:name="_Toc438646452"/>
      <w:bookmarkStart w:id="20" w:name="_Toc481075047"/>
      <w:bookmarkStart w:id="21" w:name="_Toc512519481"/>
      <w:bookmarkStart w:id="22" w:name="_Toc17897937"/>
      <w:bookmarkStart w:id="23" w:name="_Toc17898179"/>
      <w:r>
        <w:rPr>
          <w:rFonts w:hAnsi="宋体" w:hint="eastAsia"/>
        </w:rPr>
        <w:t>日常申购、赎回(转换、定期定额投资)业务的办理时间</w:t>
      </w:r>
      <w:bookmarkEnd w:id="14"/>
      <w:bookmarkEnd w:id="15"/>
      <w:r>
        <w:rPr>
          <w:rFonts w:hAnsi="宋体" w:hint="eastAsia"/>
        </w:rPr>
        <w:t xml:space="preserve"> </w:t>
      </w:r>
    </w:p>
    <w:p w:rsidR="00556738" w:rsidRDefault="00556738">
      <w:pPr>
        <w:spacing w:line="360" w:lineRule="auto"/>
        <w:ind w:firstLineChars="200" w:firstLine="420"/>
        <w:rPr>
          <w:rFonts w:hint="eastAsia"/>
        </w:rPr>
      </w:pPr>
      <w:bookmarkStart w:id="24" w:name="m07_04_07_09"/>
      <w:bookmarkStart w:id="25" w:name="m07_04_07_09_tab"/>
      <w:bookmarkStart w:id="26" w:name="m201"/>
      <w:bookmarkStart w:id="27" w:name="m07_04_13_00"/>
      <w:bookmarkStart w:id="28" w:name="m201_01"/>
      <w:r>
        <w:rPr>
          <w:rFonts w:hint="eastAsia"/>
          <w:lang/>
        </w:rPr>
        <w:t>投资人在开放日办理基金份额的申购和赎回，具体办理时间为上海证券交易所、深圳证券交易所的正常交易日的交易时间（若基金参与港股通交易且该交易日为非港股通交易日时，则基金管理人可根据实际情况决定基金是否开放申购、赎回及转换业务，具体以届时提前发布的公告为准），但基金管理人根据法律法规、中国证监会的要求或基金合同的规定公告暂停申购、赎回时除外。</w:t>
      </w:r>
      <w:r>
        <w:rPr>
          <w:rFonts w:hint="eastAsia"/>
          <w:lang/>
        </w:rPr>
        <w:br/>
        <w:t xml:space="preserve">　　基金合同生效后，若出现新的证券/期货交易市场、证券/期货交易所交易时间变更或其他特殊情况，基金管理人将视情况对前述开放日及开放时间进行相应的调整，但应在实施日前依照《公开募集证券投资基金信息披露管理办法》的有关规定在规定媒介上公告。</w:t>
      </w:r>
      <w:r>
        <w:rPr>
          <w:rFonts w:hint="eastAsia"/>
          <w:lang/>
        </w:rPr>
        <w:br/>
        <w:t xml:space="preserve">　　基金管理人不得在基金合同约定之外的日期或者时间办理基金份额的申购、赎回或者转换。投资人在基金合同约定之外的日期和时间提出申购、赎回或转换申请且登记机构确认接受的，其基金份额申购、赎回价格为下一开放日该类基金份额申购、赎回的价格。</w:t>
      </w:r>
    </w:p>
    <w:p w:rsidR="00556738" w:rsidRDefault="00556738">
      <w:pPr>
        <w:pStyle w:val="XBRLTitle1"/>
        <w:spacing w:before="156" w:line="360" w:lineRule="auto"/>
        <w:rPr>
          <w:rFonts w:hint="eastAsia"/>
        </w:rPr>
      </w:pPr>
      <w:bookmarkStart w:id="29" w:name="_Toc34758521"/>
      <w:bookmarkStart w:id="30" w:name="_Toc34841030"/>
      <w:bookmarkStart w:id="31" w:name="_Toc513295894"/>
      <w:bookmarkStart w:id="32" w:name="_Toc513295848"/>
      <w:bookmarkStart w:id="33" w:name="_Toc490050003"/>
      <w:bookmarkStart w:id="34" w:name="_Toc438646455"/>
      <w:bookmarkStart w:id="35" w:name="_Toc481075049"/>
      <w:bookmarkStart w:id="36" w:name="_Toc512519482"/>
      <w:bookmarkStart w:id="37" w:name="_Toc17897938"/>
      <w:bookmarkStart w:id="38" w:name="_Toc17898180"/>
      <w:bookmarkStart w:id="39" w:name="m401"/>
      <w:bookmarkStart w:id="40" w:name="m401_tab"/>
      <w:r>
        <w:rPr>
          <w:rFonts w:hAnsi="宋体" w:hint="eastAsia"/>
        </w:rPr>
        <w:t>日常申购业务</w:t>
      </w:r>
      <w:bookmarkEnd w:id="29"/>
      <w:bookmarkEnd w:id="30"/>
      <w:r>
        <w:rPr>
          <w:rFonts w:hAnsi="宋体" w:hint="eastAsia"/>
        </w:rPr>
        <w:t xml:space="preserve"> </w:t>
      </w:r>
    </w:p>
    <w:p w:rsidR="00556738" w:rsidRDefault="00556738">
      <w:pPr>
        <w:pStyle w:val="XBRLTitle2"/>
        <w:spacing w:before="156" w:line="360" w:lineRule="auto"/>
        <w:rPr>
          <w:rFonts w:hint="eastAsia"/>
        </w:rPr>
      </w:pPr>
      <w:bookmarkStart w:id="41" w:name="_Toc34758522"/>
      <w:bookmarkStart w:id="42" w:name="_Toc513295895"/>
      <w:bookmarkStart w:id="43" w:name="_Toc513295849"/>
      <w:bookmarkStart w:id="44" w:name="_Toc490050004"/>
      <w:bookmarkStart w:id="45" w:name="_Toc438646456"/>
      <w:bookmarkStart w:id="46" w:name="_Toc481075050"/>
      <w:bookmarkStart w:id="47" w:name="_Toc512519483"/>
      <w:bookmarkStart w:id="48" w:name="_Toc17897939"/>
      <w:bookmarkStart w:id="49" w:name="_Toc17898181"/>
      <w:bookmarkStart w:id="50" w:name="_Toc34841031"/>
      <w:r>
        <w:rPr>
          <w:rFonts w:hAnsi="宋体" w:hint="eastAsia"/>
        </w:rPr>
        <w:t>申购金额限制</w:t>
      </w:r>
      <w:bookmarkEnd w:id="41"/>
      <w:bookmarkEnd w:id="42"/>
      <w:bookmarkEnd w:id="43"/>
      <w:bookmarkEnd w:id="44"/>
      <w:bookmarkEnd w:id="45"/>
      <w:bookmarkEnd w:id="46"/>
      <w:bookmarkEnd w:id="47"/>
      <w:bookmarkEnd w:id="48"/>
      <w:bookmarkEnd w:id="49"/>
      <w:bookmarkEnd w:id="50"/>
      <w:r>
        <w:rPr>
          <w:rFonts w:hAnsi="宋体" w:hint="eastAsia"/>
        </w:rPr>
        <w:t xml:space="preserve"> </w:t>
      </w:r>
    </w:p>
    <w:p w:rsidR="00556738" w:rsidRDefault="00556738">
      <w:pPr>
        <w:spacing w:line="360" w:lineRule="auto"/>
        <w:ind w:firstLineChars="200" w:firstLine="420"/>
        <w:rPr>
          <w:rFonts w:hint="eastAsia"/>
        </w:rPr>
      </w:pPr>
      <w:r>
        <w:rPr>
          <w:rFonts w:hint="eastAsia"/>
          <w:lang/>
        </w:rPr>
        <w:t>本基金单笔最低申购金额为1元（含申购费），投资人通过销售机构申购本基金时，当销售机构设定的最低申购金额高于该申购金额限制时，除需满足基金管理人规定的前述最低申购金额限制外，还应遵循销售机构的业务规定。</w:t>
      </w:r>
      <w:r>
        <w:rPr>
          <w:rFonts w:hint="eastAsia"/>
          <w:lang/>
        </w:rPr>
        <w:br/>
        <w:t xml:space="preserve">　　本基金不对单个投资人累计持有的基金份额上限进行限制，但单一投资者（基金管理人、基金管理人高级管理人员或基金经理等人员作为发起资金提供方除外）持有基金份额数不得达到或超过基金份额总数的50%（在基金运作过程中因基金份额赎回等情形导致被动达到或超过50%的除外）。法律法规、监管机构另有规定的，从其规定。</w:t>
      </w:r>
      <w:r>
        <w:rPr>
          <w:rFonts w:hint="eastAsia"/>
          <w:lang/>
        </w:rPr>
        <w:br/>
        <w:t xml:space="preserve">　　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基金管理人基于投资运作与风险控制的需要，可采取上述措施对基金规模予以控制。具体请参见相关公告。</w:t>
      </w:r>
      <w:r>
        <w:rPr>
          <w:rFonts w:hint="eastAsia"/>
          <w:lang/>
        </w:rPr>
        <w:br/>
        <w:t xml:space="preserve">　　基金管理人可在法律法规允许的情况下，调整上述规定申购金额的数量限制，并在调整实施前依照《公开募集证券投资基金信息披露管理办法》的有关规定在规定媒介上公告。</w:t>
      </w:r>
    </w:p>
    <w:p w:rsidR="00556738" w:rsidRDefault="00556738">
      <w:pPr>
        <w:pStyle w:val="XBRLTitle2"/>
        <w:spacing w:before="156" w:line="360" w:lineRule="auto"/>
        <w:rPr>
          <w:rFonts w:hint="eastAsia"/>
        </w:rPr>
      </w:pPr>
      <w:bookmarkStart w:id="51" w:name="_Toc513465658"/>
      <w:bookmarkStart w:id="52" w:name="_Toc512519484"/>
      <w:bookmarkStart w:id="53" w:name="_Toc481075051"/>
      <w:bookmarkStart w:id="54" w:name="_Toc438646457"/>
      <w:bookmarkStart w:id="55" w:name="_Toc490050005"/>
      <w:r>
        <w:rPr>
          <w:rFonts w:hAnsi="宋体" w:hint="eastAsia"/>
        </w:rPr>
        <w:t>申购费率</w:t>
      </w:r>
      <w:bookmarkEnd w:id="51"/>
      <w:r>
        <w:rPr>
          <w:rFonts w:hAnsi="宋体" w:hint="eastAsia"/>
        </w:rPr>
        <w:t xml:space="preserve"> </w:t>
      </w:r>
    </w:p>
    <w:p w:rsidR="00556738" w:rsidRDefault="00556738">
      <w:pPr>
        <w:spacing w:line="360" w:lineRule="auto"/>
        <w:ind w:firstLineChars="200" w:firstLine="420"/>
        <w:rPr>
          <w:rFonts w:hint="eastAsia"/>
        </w:rPr>
      </w:pPr>
      <w:r>
        <w:rPr>
          <w:rFonts w:hint="eastAsia"/>
          <w:lang/>
        </w:rPr>
        <w:t>本基金A类基金份额在申购时收取申购费用，投资者可以多次申购本基金，A类基金份额申购费率按每笔申购申请单独计算。本基金C类基金份额不收取申购费用。</w:t>
      </w:r>
      <w:r>
        <w:rPr>
          <w:rFonts w:hint="eastAsia"/>
          <w:lang/>
        </w:rPr>
        <w:br/>
        <w:t xml:space="preserve">　　本基金对通过直销机构申购A类基金份额的养老金客户与除此之外的其他申购A类基金份额的投资者实施差别的申购费率。</w:t>
      </w:r>
    </w:p>
    <w:p w:rsidR="00556738" w:rsidRDefault="00556738">
      <w:pPr>
        <w:pStyle w:val="XBRLTitle3"/>
        <w:spacing w:before="156"/>
        <w:divId w:val="204290882"/>
        <w:rPr>
          <w:rFonts w:hint="eastAsia"/>
        </w:rPr>
      </w:pPr>
      <w:bookmarkStart w:id="56" w:name="_Toc513465659"/>
      <w:bookmarkStart w:id="57" w:name="_Toc512519485"/>
      <w:bookmarkStart w:id="58" w:name="_Toc481075052"/>
      <w:bookmarkStart w:id="59" w:name="_Toc490050006"/>
      <w:r>
        <w:rPr>
          <w:rFonts w:hint="eastAsia"/>
        </w:rPr>
        <w:t>前端收费</w:t>
      </w:r>
      <w:bookmarkEnd w:id="56"/>
      <w:r>
        <w:rPr>
          <w:rFonts w:hint="eastAsia"/>
          <w:lang w:eastAsia="zh-CN"/>
        </w:rPr>
        <w:t xml:space="preserve"> </w:t>
      </w:r>
    </w:p>
    <w:p w:rsidR="00556738" w:rsidRDefault="00556738">
      <w:pPr>
        <w:spacing w:line="360" w:lineRule="auto"/>
        <w:jc w:val="center"/>
        <w:divId w:val="1365204572"/>
        <w:rPr>
          <w:rFonts w:hint="eastAsia"/>
        </w:rPr>
      </w:pPr>
      <w:r>
        <w:rPr>
          <w:rFonts w:hint="eastAsia"/>
        </w:rPr>
        <w:t>长城医药产业精选混合发起式A</w:t>
      </w:r>
      <w:r>
        <w:rPr>
          <w:rFonts w:hint="eastAsia"/>
          <w:kern w:val="0"/>
        </w:rPr>
        <w:t xml:space="preserve"> </w:t>
      </w:r>
    </w:p>
    <w:tbl>
      <w:tblPr>
        <w:tblW w:w="5000" w:type="pct"/>
        <w:tblBorders>
          <w:top w:val="single" w:sz="4" w:space="0" w:color="000000"/>
          <w:left w:val="single" w:sz="4" w:space="0" w:color="000000"/>
          <w:bottom w:val="single" w:sz="4" w:space="0" w:color="000000"/>
          <w:right w:val="single" w:sz="4" w:space="0" w:color="000000"/>
        </w:tblBorders>
        <w:tblLayout w:type="fixed"/>
        <w:tblLook w:val="04A0"/>
      </w:tblPr>
      <w:tblGrid>
        <w:gridCol w:w="3582"/>
        <w:gridCol w:w="2712"/>
        <w:gridCol w:w="2767"/>
      </w:tblGrid>
      <w:tr w:rsidR="00556738" w:rsidTr="00A94A8E">
        <w:trPr>
          <w:divId w:val="1365204572"/>
        </w:trPr>
        <w:tc>
          <w:tcPr>
            <w:tcW w:w="3369"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申购金额(M) </w:t>
            </w:r>
          </w:p>
        </w:tc>
        <w:tc>
          <w:tcPr>
            <w:tcW w:w="2551"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申购费率 </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备注 </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M＜1,000,000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1.50%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非养老金客户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1,000,000≤M＜3,000,000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1.00%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非养老金客户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3,000,000≤M＜5,000,000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0.50%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非养老金客户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M≥5,000,000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1,000元/笔</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非养老金客户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M＜1,000,000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0.30%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1,000,000≤M＜3,000,000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0.20%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3,000,000≤M＜5,000,000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0.10%</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养老金客户</w:t>
            </w:r>
          </w:p>
        </w:tc>
      </w:tr>
      <w:tr w:rsidR="00556738" w:rsidTr="00A94A8E">
        <w:trPr>
          <w:divId w:val="1365204572"/>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M≥5,000,000</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1,000元/笔</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养老金客户</w:t>
            </w:r>
          </w:p>
        </w:tc>
      </w:tr>
    </w:tbl>
    <w:p w:rsidR="00556738" w:rsidRDefault="00556738">
      <w:pPr>
        <w:spacing w:line="360" w:lineRule="auto"/>
        <w:jc w:val="center"/>
        <w:divId w:val="1670058365"/>
        <w:rPr>
          <w:rFonts w:hint="eastAsia"/>
        </w:rPr>
      </w:pPr>
      <w:r>
        <w:rPr>
          <w:rFonts w:hint="eastAsia"/>
        </w:rPr>
        <w:t>长城医药产业精选混合发起式C</w:t>
      </w:r>
      <w:r>
        <w:rPr>
          <w:rFonts w:hint="eastAsia"/>
          <w:kern w:val="0"/>
        </w:rPr>
        <w:t xml:space="preserve"> </w:t>
      </w:r>
    </w:p>
    <w:tbl>
      <w:tblPr>
        <w:tblW w:w="5000" w:type="pct"/>
        <w:tblBorders>
          <w:top w:val="single" w:sz="4" w:space="0" w:color="000000"/>
          <w:left w:val="single" w:sz="4" w:space="0" w:color="000000"/>
          <w:bottom w:val="single" w:sz="4" w:space="0" w:color="000000"/>
          <w:right w:val="single" w:sz="4" w:space="0" w:color="000000"/>
        </w:tblBorders>
        <w:tblLayout w:type="fixed"/>
        <w:tblLook w:val="04A0"/>
      </w:tblPr>
      <w:tblGrid>
        <w:gridCol w:w="3582"/>
        <w:gridCol w:w="2712"/>
        <w:gridCol w:w="2767"/>
      </w:tblGrid>
      <w:tr w:rsidR="00556738" w:rsidTr="00A94A8E">
        <w:trPr>
          <w:divId w:val="1670058365"/>
        </w:trPr>
        <w:tc>
          <w:tcPr>
            <w:tcW w:w="3369"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申购金额(M) </w:t>
            </w:r>
          </w:p>
        </w:tc>
        <w:tc>
          <w:tcPr>
            <w:tcW w:w="2551"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申购费率 </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 xml:space="preserve">备注 </w:t>
            </w:r>
          </w:p>
        </w:tc>
      </w:tr>
      <w:tr w:rsidR="00556738" w:rsidTr="00A94A8E">
        <w:trPr>
          <w:divId w:val="1670058365"/>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w:t>
            </w:r>
          </w:p>
        </w:tc>
        <w:tc>
          <w:tcPr>
            <w:tcW w:w="2602" w:type="dxa"/>
            <w:tcBorders>
              <w:top w:val="single" w:sz="4" w:space="0" w:color="000000"/>
              <w:left w:val="single" w:sz="4" w:space="0" w:color="000000"/>
              <w:bottom w:val="single" w:sz="4" w:space="0" w:color="000000"/>
              <w:right w:val="single" w:sz="4" w:space="0" w:color="000000"/>
            </w:tcBorders>
            <w:vAlign w:val="center"/>
            <w:hideMark/>
          </w:tcPr>
          <w:p w:rsidR="00556738" w:rsidRDefault="00556738">
            <w:pPr>
              <w:jc w:val="center"/>
              <w:rPr>
                <w:rFonts w:hint="eastAsia"/>
              </w:rPr>
            </w:pPr>
            <w:r w:rsidRPr="00A94A8E">
              <w:rPr>
                <w:rFonts w:hint="eastAsia"/>
              </w:rPr>
              <w:t>本基金C类份额不收取申购费用</w:t>
            </w:r>
          </w:p>
        </w:tc>
      </w:tr>
    </w:tbl>
    <w:p w:rsidR="00556738" w:rsidRDefault="00556738">
      <w:pPr>
        <w:spacing w:line="360" w:lineRule="auto"/>
        <w:jc w:val="left"/>
        <w:divId w:val="204290882"/>
        <w:rPr>
          <w:rFonts w:hint="eastAsia"/>
        </w:rPr>
      </w:pPr>
      <w:r>
        <w:rPr>
          <w:rFonts w:hint="eastAsia"/>
          <w:szCs w:val="21"/>
        </w:rPr>
        <w:t>注：养老金客户包括基本养老基金与依法成立的养老计划筹集的资金及其投资运营收益形成的补充养老基金等，具体包括：全国社会保障基金；可以投资基金的地方社会保障基金；企业年金单一计划以及集合计划；企业年金理事会委托的特定客户资产管理计划；企业年金养老金产品。</w:t>
      </w:r>
      <w:r>
        <w:rPr>
          <w:rFonts w:hint="eastAsia"/>
          <w:szCs w:val="21"/>
        </w:rPr>
        <w:br/>
        <w:t xml:space="preserve">　　如未来出现经养老基金监管部门认可的新的养老基金类型，本公司在法律法规允许的前提下可将其纳入养老金客户范围。</w:t>
      </w:r>
      <w:r>
        <w:rPr>
          <w:rFonts w:hint="eastAsia"/>
          <w:szCs w:val="21"/>
        </w:rPr>
        <w:br/>
        <w:t xml:space="preserve">　　基金管理人可以在基金合同的约定的范围内调整费率或收费方式，并最迟应于新的费率或收费方式实施日前依照《公开募集证券投资基金信息披露管理办法》的有关规定在规定媒介上公告。</w:t>
      </w:r>
    </w:p>
    <w:p w:rsidR="00556738" w:rsidRDefault="00556738">
      <w:pPr>
        <w:pStyle w:val="XBRLTitle3"/>
        <w:spacing w:before="156"/>
        <w:divId w:val="1879656196"/>
        <w:rPr>
          <w:rFonts w:hint="eastAsia"/>
        </w:rPr>
      </w:pPr>
      <w:bookmarkStart w:id="60" w:name="_Toc513465660"/>
      <w:bookmarkStart w:id="61" w:name="_Toc512519486"/>
      <w:bookmarkStart w:id="62" w:name="_Toc481075053"/>
      <w:bookmarkStart w:id="63" w:name="_Toc490050007"/>
      <w:r>
        <w:rPr>
          <w:rFonts w:hint="eastAsia"/>
        </w:rPr>
        <w:t>后端收费</w:t>
      </w:r>
      <w:bookmarkEnd w:id="60"/>
    </w:p>
    <w:p w:rsidR="00556738" w:rsidRDefault="00556738">
      <w:pPr>
        <w:spacing w:line="360" w:lineRule="auto"/>
        <w:divId w:val="1879656196"/>
        <w:rPr>
          <w:rFonts w:hint="eastAsia"/>
        </w:rPr>
      </w:pPr>
      <w:bookmarkStart w:id="64" w:name="m07_04_07_02"/>
      <w:r>
        <w:rPr>
          <w:rFonts w:hint="eastAsia"/>
          <w:kern w:val="0"/>
          <w:szCs w:val="21"/>
        </w:rPr>
        <w:t>注：</w:t>
      </w:r>
      <w:bookmarkStart w:id="65" w:name="OLE_LINK46"/>
      <w:bookmarkStart w:id="66" w:name="OLE_LINK45"/>
      <w:bookmarkStart w:id="67" w:name="OLE_LINK42"/>
      <w:bookmarkStart w:id="68" w:name="OLE_LINK41"/>
      <w:bookmarkStart w:id="69" w:name="m07_04_13_04_02_01"/>
      <w:bookmarkEnd w:id="64"/>
      <w:r>
        <w:rPr>
          <w:rFonts w:hint="eastAsia"/>
          <w:szCs w:val="24"/>
          <w:lang/>
        </w:rPr>
        <w:t>本基金未设后端收费模式。</w:t>
      </w:r>
      <w:bookmarkEnd w:id="65"/>
      <w:bookmarkEnd w:id="66"/>
      <w:bookmarkEnd w:id="67"/>
      <w:bookmarkEnd w:id="68"/>
      <w:bookmarkEnd w:id="69"/>
      <w:r>
        <w:rPr>
          <w:rFonts w:hint="eastAsia"/>
          <w:szCs w:val="24"/>
          <w:lang/>
        </w:rPr>
        <w:t xml:space="preserve"> </w:t>
      </w:r>
    </w:p>
    <w:p w:rsidR="00556738" w:rsidRDefault="00556738">
      <w:pPr>
        <w:pStyle w:val="XBRLTitle2"/>
        <w:spacing w:before="156"/>
        <w:rPr>
          <w:rFonts w:hint="eastAsia"/>
        </w:rPr>
      </w:pPr>
      <w:bookmarkStart w:id="70" w:name="_Toc34758524"/>
      <w:bookmarkStart w:id="71" w:name="_Toc34841033"/>
      <w:bookmarkStart w:id="72" w:name="m03_03"/>
      <w:bookmarkStart w:id="73" w:name="_Toc454983260"/>
      <w:bookmarkStart w:id="74" w:name="_Toc452398732"/>
      <w:bookmarkStart w:id="75" w:name="_Toc453852604"/>
      <w:bookmarkStart w:id="76" w:name="_Toc485300223"/>
      <w:bookmarkStart w:id="77" w:name="_Toc244948694"/>
      <w:bookmarkStart w:id="78" w:name="_Toc245003735"/>
      <w:bookmarkStart w:id="79" w:name="_Toc247616208"/>
      <w:bookmarkStart w:id="80" w:name="_Toc433036679"/>
      <w:bookmarkStart w:id="81" w:name="_Toc506208214"/>
      <w:bookmarkStart w:id="82" w:name="_Toc497398101"/>
      <w:bookmarkStart w:id="83" w:name="_Toc17897941"/>
      <w:bookmarkStart w:id="84" w:name="_Toc17898185"/>
      <w:r>
        <w:rPr>
          <w:rFonts w:hint="eastAsia"/>
        </w:rPr>
        <w:t>其他与申购相关的事项</w:t>
      </w:r>
      <w:bookmarkEnd w:id="70"/>
      <w:bookmarkEnd w:id="71"/>
    </w:p>
    <w:p w:rsidR="00556738" w:rsidRDefault="00556738">
      <w:pPr>
        <w:spacing w:line="360" w:lineRule="auto"/>
        <w:ind w:firstLineChars="200" w:firstLine="420"/>
        <w:rPr>
          <w:rFonts w:hint="eastAsia"/>
        </w:rPr>
      </w:pPr>
      <w:r>
        <w:rPr>
          <w:rFonts w:hint="eastAsia"/>
          <w:lang/>
        </w:rPr>
        <w:t>本基金A类基金份额的申购费用在投资人申购A类基金份额时收取，不列入基金财产，主要用于本基金的市场推广、销售、登记等各项费用。</w:t>
      </w:r>
    </w:p>
    <w:p w:rsidR="00556738" w:rsidRDefault="00556738">
      <w:pPr>
        <w:pStyle w:val="XBRLTitle1"/>
        <w:spacing w:before="156" w:line="360" w:lineRule="auto"/>
        <w:rPr>
          <w:rFonts w:hint="eastAsia"/>
        </w:rPr>
      </w:pPr>
      <w:bookmarkStart w:id="85" w:name="_Toc34758525"/>
      <w:bookmarkStart w:id="86" w:name="_Toc513295899"/>
      <w:bookmarkStart w:id="87" w:name="_Toc513295851"/>
      <w:bookmarkStart w:id="88" w:name="_Toc512519487"/>
      <w:bookmarkStart w:id="89" w:name="_Toc490050008"/>
      <w:bookmarkStart w:id="90" w:name="_Toc438646458"/>
      <w:bookmarkStart w:id="91" w:name="_Toc481075054"/>
      <w:bookmarkStart w:id="92" w:name="_Toc17897942"/>
      <w:bookmarkStart w:id="93" w:name="_Toc17898186"/>
      <w:bookmarkStart w:id="94" w:name="_Toc34841034"/>
      <w:r>
        <w:rPr>
          <w:rFonts w:hAnsi="宋体" w:hint="eastAsia"/>
        </w:rPr>
        <w:t>日常赎回业务</w:t>
      </w:r>
      <w:bookmarkEnd w:id="85"/>
      <w:bookmarkEnd w:id="86"/>
      <w:bookmarkEnd w:id="87"/>
      <w:bookmarkEnd w:id="88"/>
      <w:bookmarkEnd w:id="89"/>
      <w:bookmarkEnd w:id="90"/>
      <w:bookmarkEnd w:id="91"/>
      <w:bookmarkEnd w:id="92"/>
      <w:bookmarkEnd w:id="93"/>
      <w:bookmarkEnd w:id="94"/>
      <w:r>
        <w:rPr>
          <w:rFonts w:hAnsi="宋体" w:hint="eastAsia"/>
          <w:szCs w:val="44"/>
        </w:rPr>
        <w:t xml:space="preserve"> </w:t>
      </w:r>
    </w:p>
    <w:p w:rsidR="00556738" w:rsidRDefault="00556738">
      <w:pPr>
        <w:pStyle w:val="XBRLTitle2"/>
        <w:spacing w:before="156" w:line="360" w:lineRule="auto"/>
        <w:rPr>
          <w:rFonts w:hint="eastAsia"/>
        </w:rPr>
      </w:pPr>
      <w:bookmarkStart w:id="95" w:name="_Toc34758526"/>
      <w:bookmarkStart w:id="96" w:name="_Toc513295900"/>
      <w:bookmarkStart w:id="97" w:name="_Toc513295852"/>
      <w:bookmarkStart w:id="98" w:name="_Toc512519488"/>
      <w:bookmarkStart w:id="99" w:name="_Toc490050009"/>
      <w:bookmarkStart w:id="100" w:name="_Toc438646459"/>
      <w:bookmarkStart w:id="101" w:name="_Toc481075055"/>
      <w:bookmarkStart w:id="102" w:name="_Toc17897943"/>
      <w:bookmarkStart w:id="103" w:name="_Toc17898187"/>
      <w:bookmarkStart w:id="104" w:name="_Toc34841035"/>
      <w:r>
        <w:rPr>
          <w:rFonts w:hAnsi="宋体" w:hint="eastAsia"/>
        </w:rPr>
        <w:t>赎回份额限制</w:t>
      </w:r>
      <w:bookmarkEnd w:id="95"/>
      <w:bookmarkEnd w:id="96"/>
      <w:bookmarkEnd w:id="97"/>
      <w:bookmarkEnd w:id="98"/>
      <w:bookmarkEnd w:id="99"/>
      <w:bookmarkEnd w:id="100"/>
      <w:bookmarkEnd w:id="101"/>
      <w:bookmarkEnd w:id="102"/>
      <w:bookmarkEnd w:id="103"/>
      <w:bookmarkEnd w:id="104"/>
      <w:r>
        <w:rPr>
          <w:rFonts w:hAnsi="宋体" w:hint="eastAsia"/>
        </w:rPr>
        <w:t xml:space="preserve"> </w:t>
      </w:r>
    </w:p>
    <w:p w:rsidR="00556738" w:rsidRDefault="00556738">
      <w:pPr>
        <w:spacing w:line="360" w:lineRule="auto"/>
        <w:ind w:firstLineChars="200" w:firstLine="420"/>
        <w:rPr>
          <w:rFonts w:hint="eastAsia"/>
        </w:rPr>
      </w:pPr>
      <w:r>
        <w:rPr>
          <w:rFonts w:hint="eastAsia"/>
          <w:lang/>
        </w:rPr>
        <w:t>本基金单笔赎回份额不得低于10份，投资人全额赎回时不受该限制。本基金不对投资人每个基金交易账户的最低基金份额余额进行限制。</w:t>
      </w:r>
      <w:r>
        <w:rPr>
          <w:rFonts w:hint="eastAsia"/>
          <w:lang/>
        </w:rPr>
        <w:br/>
        <w:t xml:space="preserve">　　基金管理人可在法律法规允许的情况下，调整上述规定赎回份额的数量限制，并在调整实施前依照《公开募集证券投资基金信息披露管理办法》的有关规定在规定媒介上公告。</w:t>
      </w:r>
    </w:p>
    <w:p w:rsidR="00556738" w:rsidRDefault="00556738">
      <w:pPr>
        <w:pStyle w:val="XBRLTitle2"/>
        <w:spacing w:before="156" w:line="360" w:lineRule="auto"/>
        <w:rPr>
          <w:rFonts w:hint="eastAsia"/>
        </w:rPr>
      </w:pPr>
      <w:bookmarkStart w:id="105" w:name="_Toc34758527"/>
      <w:bookmarkStart w:id="106" w:name="_Toc513295901"/>
      <w:bookmarkStart w:id="107" w:name="_Toc513295853"/>
      <w:bookmarkStart w:id="108" w:name="_Toc512519489"/>
      <w:bookmarkStart w:id="109" w:name="_Toc490050010"/>
      <w:bookmarkStart w:id="110" w:name="_Toc438646460"/>
      <w:bookmarkStart w:id="111" w:name="_Toc481075056"/>
      <w:bookmarkStart w:id="112" w:name="_Toc17897944"/>
      <w:bookmarkStart w:id="113" w:name="_Toc17898188"/>
      <w:bookmarkStart w:id="114" w:name="_Toc34841036"/>
      <w:bookmarkStart w:id="115" w:name="m402"/>
      <w:r>
        <w:rPr>
          <w:rFonts w:hAnsi="宋体" w:hint="eastAsia"/>
        </w:rPr>
        <w:t>赎回费率</w:t>
      </w:r>
      <w:bookmarkEnd w:id="105"/>
      <w:bookmarkEnd w:id="106"/>
      <w:bookmarkEnd w:id="107"/>
      <w:bookmarkEnd w:id="108"/>
      <w:bookmarkEnd w:id="109"/>
      <w:bookmarkEnd w:id="110"/>
      <w:bookmarkEnd w:id="111"/>
      <w:bookmarkEnd w:id="112"/>
      <w:bookmarkEnd w:id="113"/>
      <w:bookmarkEnd w:id="114"/>
      <w:r>
        <w:rPr>
          <w:rFonts w:hAnsi="宋体" w:hint="eastAsia"/>
        </w:rPr>
        <w:t xml:space="preserve"> </w:t>
      </w:r>
    </w:p>
    <w:bookmarkEnd w:id="115"/>
    <w:p w:rsidR="00556738" w:rsidRDefault="00556738">
      <w:pPr>
        <w:spacing w:line="360" w:lineRule="auto"/>
        <w:jc w:val="center"/>
        <w:divId w:val="1162895827"/>
        <w:rPr>
          <w:rFonts w:hint="eastAsia"/>
        </w:rPr>
      </w:pPr>
      <w:r>
        <w:rPr>
          <w:rFonts w:hint="eastAsia"/>
        </w:rPr>
        <w:t>长城医药产业精选混合发起式A</w:t>
      </w:r>
      <w:r>
        <w:rPr>
          <w:rFonts w:hint="eastAsia"/>
          <w:kern w:val="0"/>
        </w:rPr>
        <w:t xml:space="preserve"> </w:t>
      </w:r>
    </w:p>
    <w:tbl>
      <w:tblPr>
        <w:tblW w:w="5000" w:type="pct"/>
        <w:tblBorders>
          <w:top w:val="single" w:sz="4" w:space="0" w:color="000000"/>
          <w:left w:val="single" w:sz="4" w:space="0" w:color="000000"/>
          <w:bottom w:val="single" w:sz="4" w:space="0" w:color="000000"/>
          <w:right w:val="single" w:sz="4" w:space="0" w:color="000000"/>
        </w:tblBorders>
        <w:tblLayout w:type="fixed"/>
        <w:tblLook w:val="04A0"/>
      </w:tblPr>
      <w:tblGrid>
        <w:gridCol w:w="6265"/>
        <w:gridCol w:w="2796"/>
      </w:tblGrid>
      <w:tr w:rsidR="00556738" w:rsidTr="00A94A8E">
        <w:trPr>
          <w:divId w:val="1162895827"/>
        </w:trPr>
        <w:tc>
          <w:tcPr>
            <w:tcW w:w="5140"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 xml:space="preserve">持有期限(N) </w:t>
            </w:r>
          </w:p>
        </w:tc>
        <w:tc>
          <w:tcPr>
            <w:tcW w:w="229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 xml:space="preserve">赎回费率 </w:t>
            </w:r>
          </w:p>
        </w:tc>
      </w:tr>
      <w:tr w:rsidR="00556738" w:rsidTr="00A94A8E">
        <w:trPr>
          <w:divId w:val="1162895827"/>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N＜7天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1.50%</w:t>
            </w:r>
          </w:p>
        </w:tc>
      </w:tr>
      <w:tr w:rsidR="00556738" w:rsidTr="00A94A8E">
        <w:trPr>
          <w:divId w:val="1162895827"/>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7天≤N＜30天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0.75%</w:t>
            </w:r>
          </w:p>
        </w:tc>
      </w:tr>
      <w:tr w:rsidR="00556738" w:rsidTr="00A94A8E">
        <w:trPr>
          <w:divId w:val="1162895827"/>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30天≤N＜184天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0.50%</w:t>
            </w:r>
          </w:p>
        </w:tc>
      </w:tr>
      <w:tr w:rsidR="00556738" w:rsidTr="00A94A8E">
        <w:trPr>
          <w:divId w:val="1162895827"/>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184天≤N＜365天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0.25%</w:t>
            </w:r>
          </w:p>
        </w:tc>
      </w:tr>
      <w:tr w:rsidR="00556738" w:rsidTr="00A94A8E">
        <w:trPr>
          <w:divId w:val="1162895827"/>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N≥365天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0.00%</w:t>
            </w:r>
          </w:p>
        </w:tc>
      </w:tr>
    </w:tbl>
    <w:p w:rsidR="00556738" w:rsidRDefault="00556738">
      <w:pPr>
        <w:spacing w:line="360" w:lineRule="auto"/>
        <w:jc w:val="center"/>
        <w:divId w:val="977566884"/>
        <w:rPr>
          <w:rFonts w:hint="eastAsia"/>
        </w:rPr>
      </w:pPr>
      <w:r>
        <w:rPr>
          <w:rFonts w:hint="eastAsia"/>
        </w:rPr>
        <w:t>长城医药产业精选混合发起式C</w:t>
      </w:r>
      <w:r>
        <w:rPr>
          <w:rFonts w:hint="eastAsia"/>
          <w:kern w:val="0"/>
        </w:rPr>
        <w:t xml:space="preserve"> </w:t>
      </w:r>
    </w:p>
    <w:tbl>
      <w:tblPr>
        <w:tblW w:w="5000" w:type="pct"/>
        <w:tblBorders>
          <w:top w:val="single" w:sz="4" w:space="0" w:color="000000"/>
          <w:left w:val="single" w:sz="4" w:space="0" w:color="000000"/>
          <w:bottom w:val="single" w:sz="4" w:space="0" w:color="000000"/>
          <w:right w:val="single" w:sz="4" w:space="0" w:color="000000"/>
        </w:tblBorders>
        <w:tblLayout w:type="fixed"/>
        <w:tblLook w:val="04A0"/>
      </w:tblPr>
      <w:tblGrid>
        <w:gridCol w:w="6265"/>
        <w:gridCol w:w="2796"/>
      </w:tblGrid>
      <w:tr w:rsidR="00556738" w:rsidTr="00A94A8E">
        <w:trPr>
          <w:divId w:val="977566884"/>
        </w:trPr>
        <w:tc>
          <w:tcPr>
            <w:tcW w:w="5140"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 xml:space="preserve">持有期限(N) </w:t>
            </w:r>
          </w:p>
        </w:tc>
        <w:tc>
          <w:tcPr>
            <w:tcW w:w="229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 xml:space="preserve">赎回费率 </w:t>
            </w:r>
          </w:p>
        </w:tc>
      </w:tr>
      <w:tr w:rsidR="00556738" w:rsidTr="00A94A8E">
        <w:trPr>
          <w:divId w:val="977566884"/>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N＜7天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1.50%</w:t>
            </w:r>
          </w:p>
        </w:tc>
      </w:tr>
      <w:tr w:rsidR="00556738" w:rsidTr="00A94A8E">
        <w:trPr>
          <w:divId w:val="977566884"/>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7天≤N＜30天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0.50%</w:t>
            </w:r>
          </w:p>
        </w:tc>
      </w:tr>
      <w:tr w:rsidR="00556738" w:rsidTr="00A94A8E">
        <w:trPr>
          <w:divId w:val="977566884"/>
        </w:trPr>
        <w:tc>
          <w:tcPr>
            <w:tcW w:w="1384"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N≥30天</w:t>
            </w:r>
          </w:p>
        </w:tc>
        <w:tc>
          <w:tcPr>
            <w:tcW w:w="1048" w:type="dxa"/>
            <w:tcBorders>
              <w:top w:val="single" w:sz="4" w:space="0" w:color="000000"/>
              <w:left w:val="single" w:sz="4" w:space="0" w:color="000000"/>
              <w:bottom w:val="single" w:sz="4" w:space="0" w:color="000000"/>
              <w:right w:val="single" w:sz="4" w:space="0" w:color="000000"/>
            </w:tcBorders>
            <w:hideMark/>
          </w:tcPr>
          <w:p w:rsidR="00556738" w:rsidRDefault="00556738">
            <w:pPr>
              <w:jc w:val="center"/>
              <w:rPr>
                <w:rFonts w:hint="eastAsia"/>
              </w:rPr>
            </w:pPr>
            <w:r w:rsidRPr="00A94A8E">
              <w:rPr>
                <w:rFonts w:hint="eastAsia"/>
              </w:rPr>
              <w:t>0%</w:t>
            </w:r>
          </w:p>
        </w:tc>
      </w:tr>
    </w:tbl>
    <w:p w:rsidR="00556738" w:rsidRDefault="00556738">
      <w:pPr>
        <w:spacing w:line="360" w:lineRule="auto"/>
        <w:jc w:val="left"/>
        <w:rPr>
          <w:rFonts w:hint="eastAsia"/>
        </w:rPr>
      </w:pPr>
      <w:r>
        <w:rPr>
          <w:rFonts w:hint="eastAsia"/>
          <w:szCs w:val="21"/>
        </w:rPr>
        <w:t>注：基金管理人可以在基金合同的约定的范围内调整费率或收费方式，并最迟应于新的费率或收费方式实施日前依照《公开募集证券投资基金信息披露管理办法》的有关规定在规定媒介上公告。</w:t>
      </w:r>
    </w:p>
    <w:p w:rsidR="00556738" w:rsidRDefault="00556738">
      <w:pPr>
        <w:pStyle w:val="XBRLTitle2"/>
        <w:spacing w:before="156" w:line="360" w:lineRule="auto"/>
        <w:rPr>
          <w:rFonts w:hint="eastAsia"/>
        </w:rPr>
      </w:pPr>
      <w:bookmarkStart w:id="116" w:name="m403"/>
      <w:bookmarkStart w:id="117" w:name="_Toc34841037"/>
      <w:bookmarkStart w:id="118" w:name="_Toc17898192"/>
      <w:bookmarkStart w:id="119" w:name="_Toc17897946"/>
      <w:bookmarkStart w:id="120" w:name="_Toc481075061"/>
      <w:bookmarkStart w:id="121" w:name="_Toc490050014"/>
      <w:bookmarkStart w:id="122" w:name="_Toc512519493"/>
      <w:bookmarkStart w:id="123" w:name="_Toc513295855"/>
      <w:bookmarkStart w:id="124" w:name="_Toc513295905"/>
      <w:bookmarkStart w:id="125" w:name="_Toc34758528"/>
      <w:bookmarkStart w:id="126" w:name="m405_01_2550"/>
      <w:bookmarkEnd w:id="116"/>
      <w:r>
        <w:rPr>
          <w:rFonts w:hAnsi="宋体" w:hint="eastAsia"/>
        </w:rPr>
        <w:t>其他与赎回相关的事项</w:t>
      </w:r>
      <w:bookmarkEnd w:id="117"/>
      <w:bookmarkEnd w:id="118"/>
      <w:bookmarkEnd w:id="119"/>
      <w:bookmarkEnd w:id="120"/>
      <w:bookmarkEnd w:id="121"/>
      <w:bookmarkEnd w:id="122"/>
      <w:bookmarkEnd w:id="123"/>
      <w:bookmarkEnd w:id="124"/>
      <w:bookmarkEnd w:id="125"/>
      <w:r>
        <w:rPr>
          <w:rFonts w:hAnsi="宋体" w:hint="eastAsia"/>
        </w:rPr>
        <w:t xml:space="preserve"> </w:t>
      </w:r>
    </w:p>
    <w:p w:rsidR="00556738" w:rsidRDefault="00556738">
      <w:pPr>
        <w:spacing w:line="360" w:lineRule="auto"/>
        <w:ind w:firstLineChars="200" w:firstLine="420"/>
        <w:rPr>
          <w:rFonts w:hint="eastAsia"/>
        </w:rPr>
      </w:pPr>
      <w:r>
        <w:rPr>
          <w:rFonts w:hint="eastAsia"/>
          <w:lang/>
        </w:rPr>
        <w:t>1、A类基金份额的赎回费用由赎回A类基金份额的基金份额持有人承担，在基金份额持有人赎回A类基金份额时收取。对持续持有期少于30日的投资人收取的赎回费全额计入基金财产；对持续持有期长于30日（含）但少于92日的投资人收取的赎回费中不低于总额的75%计入基金财产；对持续持有期长于92日（含）但少于184日的投资人收取的赎回费中不低于总额的50%计入基金财产；对持续持有期长于184日（含）的投资人收取的赎回费中不低于总额的25%计入基金财产。未计入基金财产的部分用于支付登记费和其他必要的手续费。</w:t>
      </w:r>
      <w:r>
        <w:rPr>
          <w:rFonts w:hint="eastAsia"/>
          <w:lang/>
        </w:rPr>
        <w:br/>
        <w:t xml:space="preserve">　　2、C类基金份额的赎回费用由赎回C类基金份额的基金份额持有人承担，在基金份额持有人赎回C类基金份额时收取。对C类基金份额持有人收取的赎回费全额计入基金财产。</w:t>
      </w:r>
    </w:p>
    <w:p w:rsidR="00556738" w:rsidRDefault="00556738">
      <w:pPr>
        <w:pStyle w:val="XBRLTitle1"/>
        <w:spacing w:before="156" w:line="360" w:lineRule="auto"/>
        <w:divId w:val="2026587047"/>
        <w:rPr>
          <w:rFonts w:hint="eastAsia"/>
        </w:rPr>
      </w:pPr>
      <w:bookmarkStart w:id="127" w:name="_Toc34758529"/>
      <w:bookmarkStart w:id="128" w:name="_Toc513295908"/>
      <w:bookmarkStart w:id="129" w:name="_Toc513295858"/>
      <w:bookmarkStart w:id="130" w:name="_Toc490050017"/>
      <w:bookmarkStart w:id="131" w:name="_Toc438646466"/>
      <w:bookmarkStart w:id="132" w:name="_Toc481075064"/>
      <w:bookmarkStart w:id="133" w:name="_Toc512519496"/>
      <w:bookmarkStart w:id="134" w:name="_Toc17897949"/>
      <w:bookmarkStart w:id="135" w:name="_Toc17898195"/>
      <w:bookmarkStart w:id="136" w:name="_Toc34841038"/>
      <w:bookmarkEnd w:id="126"/>
      <w:r>
        <w:rPr>
          <w:rFonts w:hAnsi="宋体" w:hint="eastAsia"/>
        </w:rPr>
        <w:t>日常转换业务</w:t>
      </w:r>
      <w:bookmarkEnd w:id="127"/>
      <w:bookmarkEnd w:id="128"/>
      <w:bookmarkEnd w:id="129"/>
      <w:bookmarkEnd w:id="130"/>
      <w:bookmarkEnd w:id="131"/>
      <w:bookmarkEnd w:id="132"/>
      <w:bookmarkEnd w:id="133"/>
      <w:bookmarkEnd w:id="134"/>
      <w:bookmarkEnd w:id="135"/>
      <w:bookmarkEnd w:id="136"/>
      <w:r>
        <w:rPr>
          <w:rFonts w:hAnsi="宋体" w:hint="eastAsia"/>
        </w:rPr>
        <w:t xml:space="preserve"> </w:t>
      </w:r>
    </w:p>
    <w:p w:rsidR="00556738" w:rsidRDefault="00556738">
      <w:pPr>
        <w:pStyle w:val="XBRLTitle2"/>
        <w:spacing w:before="156" w:line="360" w:lineRule="auto"/>
        <w:divId w:val="1302736700"/>
        <w:rPr>
          <w:rFonts w:hint="eastAsia"/>
        </w:rPr>
      </w:pPr>
      <w:bookmarkStart w:id="137" w:name="_Toc34758530"/>
      <w:bookmarkStart w:id="138" w:name="_Toc513295909"/>
      <w:bookmarkStart w:id="139" w:name="_Toc513295859"/>
      <w:bookmarkStart w:id="140" w:name="_Toc512519497"/>
      <w:bookmarkStart w:id="141" w:name="_Toc490050018"/>
      <w:bookmarkStart w:id="142" w:name="_Toc438646467"/>
      <w:bookmarkStart w:id="143" w:name="_Toc481075065"/>
      <w:bookmarkStart w:id="144" w:name="_Toc17897950"/>
      <w:bookmarkStart w:id="145" w:name="_Toc17898196"/>
      <w:bookmarkStart w:id="146" w:name="_Toc34841039"/>
      <w:bookmarkStart w:id="147" w:name="m501"/>
      <w:r>
        <w:rPr>
          <w:rFonts w:hAnsi="宋体" w:hint="eastAsia"/>
        </w:rPr>
        <w:t>转换费率</w:t>
      </w:r>
      <w:bookmarkEnd w:id="137"/>
      <w:bookmarkEnd w:id="138"/>
      <w:bookmarkEnd w:id="139"/>
      <w:bookmarkEnd w:id="140"/>
      <w:bookmarkEnd w:id="141"/>
      <w:bookmarkEnd w:id="142"/>
      <w:bookmarkEnd w:id="143"/>
      <w:bookmarkEnd w:id="144"/>
      <w:bookmarkEnd w:id="145"/>
      <w:bookmarkEnd w:id="146"/>
      <w:r>
        <w:rPr>
          <w:rFonts w:hAnsi="宋体" w:hint="eastAsia"/>
        </w:rPr>
        <w:t xml:space="preserve"> </w:t>
      </w:r>
    </w:p>
    <w:p w:rsidR="00556738" w:rsidRDefault="00556738">
      <w:pPr>
        <w:spacing w:line="360" w:lineRule="auto"/>
        <w:ind w:firstLineChars="200" w:firstLine="420"/>
        <w:divId w:val="1302736700"/>
        <w:rPr>
          <w:rFonts w:hint="eastAsia"/>
        </w:rPr>
      </w:pPr>
      <w:r>
        <w:rPr>
          <w:rFonts w:hint="eastAsia"/>
          <w:lang/>
        </w:rPr>
        <w:t>1、基金转换费用由转出基金的赎回费和转出与转入基金的申购费补差二部分构成，具体收取情况视每次转换时两只基金的申购费率差异情况和赎回费率而定。基金转换费用由基金份额持有人承担。转入份额保留到小数点后两位，剩余部分舍去，舍去部分所代表的资产归转入基金财产所有。</w:t>
      </w:r>
      <w:r>
        <w:rPr>
          <w:rFonts w:hint="eastAsia"/>
          <w:lang/>
        </w:rPr>
        <w:br/>
        <w:t xml:space="preserve">　　（1）如转入基金的申购费率＞转出基金的申购费率</w:t>
      </w:r>
      <w:r>
        <w:rPr>
          <w:rFonts w:hint="eastAsia"/>
          <w:lang/>
        </w:rPr>
        <w:br/>
        <w:t xml:space="preserve">　　转出金额＝转出基金份额×转出基金当日基金份额净值</w:t>
      </w:r>
      <w:r>
        <w:rPr>
          <w:rFonts w:hint="eastAsia"/>
          <w:lang/>
        </w:rPr>
        <w:br/>
        <w:t xml:space="preserve">　　转出基金赎回费＝转出金额×转出基金赎回费率</w:t>
      </w:r>
      <w:r>
        <w:rPr>
          <w:rFonts w:hint="eastAsia"/>
          <w:lang/>
        </w:rPr>
        <w:br/>
        <w:t xml:space="preserve">　　转入总金额＝转出金额－转出基金赎回费</w:t>
      </w:r>
      <w:r>
        <w:rPr>
          <w:rFonts w:hint="eastAsia"/>
          <w:lang/>
        </w:rPr>
        <w:br/>
        <w:t xml:space="preserve">　　转入基金申购费补差费率＝转入基金适用申购费率－转出基金适用申购费率</w:t>
      </w:r>
      <w:r>
        <w:rPr>
          <w:rFonts w:hint="eastAsia"/>
          <w:lang/>
        </w:rPr>
        <w:br/>
        <w:t xml:space="preserve">　　转入基金申购费补差＝转入总金额－转入总金额/(1+转入基金申购费补差费率)</w:t>
      </w:r>
      <w:r>
        <w:rPr>
          <w:rFonts w:hint="eastAsia"/>
          <w:lang/>
        </w:rPr>
        <w:br/>
        <w:t xml:space="preserve">　　转入净金额＝转入总金额－转入基金申购费补差</w:t>
      </w:r>
      <w:r>
        <w:rPr>
          <w:rFonts w:hint="eastAsia"/>
          <w:lang/>
        </w:rPr>
        <w:br/>
        <w:t xml:space="preserve">　　转入份额＝转入净金额/转入基金当日基金份额净值</w:t>
      </w:r>
      <w:r>
        <w:rPr>
          <w:rFonts w:hint="eastAsia"/>
          <w:lang/>
        </w:rPr>
        <w:br/>
        <w:t xml:space="preserve">　　基金转换费用＝转出基金赎回费+转入基金申购费补差</w:t>
      </w:r>
      <w:r>
        <w:rPr>
          <w:rFonts w:hint="eastAsia"/>
          <w:lang/>
        </w:rPr>
        <w:br/>
        <w:t xml:space="preserve">　　（2）如转出基金的申购费率≥转入基金的申购费率</w:t>
      </w:r>
      <w:r>
        <w:rPr>
          <w:rFonts w:hint="eastAsia"/>
          <w:lang/>
        </w:rPr>
        <w:br/>
        <w:t xml:space="preserve">　　基金转换费用＝转出金额×转出基金赎回费率</w:t>
      </w:r>
      <w:r>
        <w:rPr>
          <w:rFonts w:hint="eastAsia"/>
          <w:lang/>
        </w:rPr>
        <w:br/>
        <w:t xml:space="preserve">　　2、对于实行级差申购费率(不同申购金额对应不同申购费率)的基金，以转入总金额对应的转出基金申购费率、转入基金申购费率计算申购补差费用；如转入总金额对应转出基金申购费或转入基金申购费为固定费用时，申购补差费用视为0。</w:t>
      </w:r>
      <w:r>
        <w:rPr>
          <w:rFonts w:hint="eastAsia"/>
          <w:lang/>
        </w:rPr>
        <w:br/>
        <w:t xml:space="preserve">　　3、转出基金赎回费计入转出基金基金资产的标准参见各基金招募说明书的约定。</w:t>
      </w:r>
      <w:r>
        <w:rPr>
          <w:rFonts w:hint="eastAsia"/>
          <w:lang/>
        </w:rPr>
        <w:br/>
        <w:t xml:space="preserve">　　4、计算基金转换费用所涉及的申购费率和赎回费率均按基金合同、更新的招募说明书规定费率执行，对于通过本公司网上交易、费率优惠活动期间发生的基金转换业务，按照本公司最新公告的相关费率计算基金转换费用。</w:t>
      </w:r>
      <w:r>
        <w:rPr>
          <w:rFonts w:hint="eastAsia"/>
          <w:lang/>
        </w:rPr>
        <w:br/>
        <w:t xml:space="preserve">　　5、基金转换计算示例</w:t>
      </w:r>
      <w:r>
        <w:rPr>
          <w:rFonts w:hint="eastAsia"/>
          <w:lang/>
        </w:rPr>
        <w:br/>
        <w:t xml:space="preserve">　　某基金份额持有人（非养老金客户）将持有的长城货币市场证券投资基金A类基金份额10万份转换为本基金A类基金份额，假设转换当日转入基金（本基金A类基金份额）份额净值是1.1500元，转出基金（长城货币市场证券投资基金A类基金份额）对应赎回费率为0，申购费补差费率为1.5%，则可得到的转换份额及基金转换费计算如下：</w:t>
      </w:r>
      <w:r>
        <w:rPr>
          <w:rFonts w:hint="eastAsia"/>
          <w:lang/>
        </w:rPr>
        <w:br/>
        <w:t xml:space="preserve">　　转出金额＝100,000×1＝100,000 元</w:t>
      </w:r>
      <w:r>
        <w:rPr>
          <w:rFonts w:hint="eastAsia"/>
          <w:lang/>
        </w:rPr>
        <w:br/>
        <w:t xml:space="preserve">　　转出基金赎回费＝0</w:t>
      </w:r>
      <w:r>
        <w:rPr>
          <w:rFonts w:hint="eastAsia"/>
          <w:lang/>
        </w:rPr>
        <w:br/>
        <w:t xml:space="preserve">　　转入总金额＝100,000－0＝100,000元</w:t>
      </w:r>
      <w:r>
        <w:rPr>
          <w:rFonts w:hint="eastAsia"/>
          <w:lang/>
        </w:rPr>
        <w:br/>
        <w:t xml:space="preserve">　　转入基金申购费补差＝100,000－100,000/(1+1.5%)＝1,477.83元</w:t>
      </w:r>
      <w:r>
        <w:rPr>
          <w:rFonts w:hint="eastAsia"/>
          <w:lang/>
        </w:rPr>
        <w:br/>
        <w:t xml:space="preserve">　　转入净金额＝100,000－1,477.83＝98,522.17元</w:t>
      </w:r>
      <w:r>
        <w:rPr>
          <w:rFonts w:hint="eastAsia"/>
          <w:lang/>
        </w:rPr>
        <w:br/>
        <w:t xml:space="preserve">　　转入份额＝98,522.17/1.1500＝85,671.45份</w:t>
      </w:r>
      <w:r>
        <w:rPr>
          <w:rFonts w:hint="eastAsia"/>
          <w:lang/>
        </w:rPr>
        <w:br/>
        <w:t xml:space="preserve">　　基金转换费＝0+1,477.83＝1,477.83元</w:t>
      </w:r>
      <w:r>
        <w:rPr>
          <w:rFonts w:hint="eastAsia"/>
          <w:lang/>
        </w:rPr>
        <w:br/>
        <w:t xml:space="preserve">　　即：该基金份额持有人完成本次转换后，可得到本基金A类基金份额85,671.45份。</w:t>
      </w:r>
    </w:p>
    <w:p w:rsidR="00556738" w:rsidRDefault="00556738">
      <w:pPr>
        <w:pStyle w:val="XBRLTitle2"/>
        <w:spacing w:before="156" w:line="360" w:lineRule="auto"/>
        <w:divId w:val="828788788"/>
        <w:rPr>
          <w:rFonts w:hint="eastAsia"/>
        </w:rPr>
      </w:pPr>
      <w:bookmarkStart w:id="148" w:name="m502"/>
      <w:bookmarkStart w:id="149" w:name="_Toc438646470"/>
      <w:bookmarkStart w:id="150" w:name="m504"/>
      <w:bookmarkStart w:id="151" w:name="_Toc34758531"/>
      <w:bookmarkStart w:id="152" w:name="_Toc513295913"/>
      <w:bookmarkStart w:id="153" w:name="_Toc513295861"/>
      <w:bookmarkStart w:id="154" w:name="_Toc512519501"/>
      <w:bookmarkStart w:id="155" w:name="_Toc490050022"/>
      <w:bookmarkStart w:id="156" w:name="_Toc481075069"/>
      <w:bookmarkStart w:id="157" w:name="_Toc17897952"/>
      <w:bookmarkStart w:id="158" w:name="_Toc17898200"/>
      <w:bookmarkStart w:id="159" w:name="_Toc34841040"/>
      <w:bookmarkEnd w:id="147"/>
      <w:r>
        <w:rPr>
          <w:rFonts w:hAnsi="宋体" w:hint="eastAsia"/>
        </w:rPr>
        <w:t>其他与转换相关的事项</w:t>
      </w:r>
      <w:bookmarkEnd w:id="148"/>
      <w:bookmarkEnd w:id="149"/>
      <w:bookmarkEnd w:id="150"/>
      <w:bookmarkEnd w:id="151"/>
      <w:bookmarkEnd w:id="152"/>
      <w:bookmarkEnd w:id="153"/>
      <w:bookmarkEnd w:id="154"/>
      <w:bookmarkEnd w:id="155"/>
      <w:bookmarkEnd w:id="156"/>
      <w:bookmarkEnd w:id="157"/>
      <w:bookmarkEnd w:id="158"/>
      <w:bookmarkEnd w:id="159"/>
      <w:r>
        <w:rPr>
          <w:rFonts w:hAnsi="宋体" w:hint="eastAsia"/>
        </w:rPr>
        <w:t xml:space="preserve"> </w:t>
      </w:r>
    </w:p>
    <w:p w:rsidR="00556738" w:rsidRDefault="00556738">
      <w:pPr>
        <w:spacing w:line="360" w:lineRule="auto"/>
        <w:ind w:firstLineChars="200" w:firstLine="420"/>
        <w:divId w:val="828788788"/>
        <w:rPr>
          <w:rFonts w:hint="eastAsia"/>
        </w:rPr>
      </w:pPr>
      <w:r>
        <w:rPr>
          <w:rFonts w:hint="eastAsia"/>
          <w:kern w:val="0"/>
          <w:szCs w:val="21"/>
          <w:lang/>
        </w:rPr>
        <w:t>1、本次开通的基金转换业务仅适用于本公司旗下基金“前端收费”模式。</w:t>
      </w:r>
      <w:r>
        <w:rPr>
          <w:rFonts w:hint="eastAsia"/>
          <w:kern w:val="0"/>
          <w:szCs w:val="21"/>
          <w:lang/>
        </w:rPr>
        <w:br/>
        <w:t xml:space="preserve">　　2、基金转换只能在同一销售机构进行。转换的两只基金必须都是该销售机构销售的同一基金管理人管理的、在同一注册登记人处注册登记的基金。</w:t>
      </w:r>
      <w:r>
        <w:rPr>
          <w:rFonts w:hint="eastAsia"/>
          <w:kern w:val="0"/>
          <w:szCs w:val="21"/>
          <w:lang/>
        </w:rPr>
        <w:br/>
        <w:t xml:space="preserve">　　3、投资者办理基金转换业务时，拟转出的基金必须处于可赎回状态，拟转入的基金必须处于可申购状态。</w:t>
      </w:r>
      <w:r>
        <w:rPr>
          <w:rFonts w:hint="eastAsia"/>
          <w:kern w:val="0"/>
          <w:szCs w:val="21"/>
          <w:lang/>
        </w:rPr>
        <w:br/>
        <w:t xml:space="preserve">　　4、基金转换以份额为单位进行申请。转出基金份额必须是可用份额，并遵循各基金对赎回先后顺序的规定。</w:t>
      </w:r>
      <w:r>
        <w:rPr>
          <w:rFonts w:hint="eastAsia"/>
          <w:kern w:val="0"/>
          <w:szCs w:val="21"/>
          <w:lang/>
        </w:rPr>
        <w:br/>
        <w:t xml:space="preserve">　　5、基金转换采取未知价法，即基金的转换价格以转换申请受理当日各转出、转入基金的份额净值为基准进行计算。</w:t>
      </w:r>
      <w:r>
        <w:rPr>
          <w:rFonts w:hint="eastAsia"/>
          <w:kern w:val="0"/>
          <w:szCs w:val="21"/>
          <w:lang/>
        </w:rPr>
        <w:br/>
        <w:t xml:space="preserve">　　6、基金转换视同为转出基金的赎回和转入基金的申购，因此暂停基金转换的情形适用于相关基金合同关于暂停或拒绝申购、暂停赎回和巨额赎回的有关规定。</w:t>
      </w:r>
      <w:r>
        <w:rPr>
          <w:rFonts w:hint="eastAsia"/>
          <w:kern w:val="0"/>
          <w:szCs w:val="21"/>
          <w:lang/>
        </w:rPr>
        <w:br/>
        <w:t xml:space="preserve">　　7、基金份额转换后，原持有期限不延续计算。即转入份额在赎回或转出时，按持有时段适用的赎回费档次计算赎回费的，该持有时段为该部分份额转入确认日起至该部分份额赎回或转出确认日止的持有期限。</w:t>
      </w:r>
      <w:r>
        <w:rPr>
          <w:rFonts w:hint="eastAsia"/>
          <w:kern w:val="0"/>
          <w:szCs w:val="21"/>
          <w:lang/>
        </w:rPr>
        <w:br/>
        <w:t xml:space="preserve">　　本公司有权根据市场情况或法律法规变化调整上述转换的程序及有关限制，但最迟应在调整前依照《公开募集证券投资基金信息披露管理办法》的有关规定在规定媒介上公告。</w:t>
      </w:r>
      <w:r>
        <w:rPr>
          <w:rFonts w:hint="eastAsia"/>
          <w:kern w:val="0"/>
          <w:sz w:val="24"/>
        </w:rPr>
        <w:t xml:space="preserve"> </w:t>
      </w:r>
    </w:p>
    <w:p w:rsidR="00556738" w:rsidRDefault="00556738">
      <w:pPr>
        <w:pStyle w:val="XBRLTitle1"/>
        <w:spacing w:before="156" w:line="360" w:lineRule="auto"/>
        <w:divId w:val="24641598"/>
        <w:rPr>
          <w:rFonts w:hint="eastAsia"/>
        </w:rPr>
      </w:pPr>
      <w:bookmarkStart w:id="160" w:name="_Toc34758532"/>
      <w:bookmarkStart w:id="161" w:name="_Toc34841041"/>
      <w:r>
        <w:rPr>
          <w:rFonts w:hAnsi="宋体" w:hint="eastAsia"/>
        </w:rPr>
        <w:t>定期定额投资业务</w:t>
      </w:r>
      <w:bookmarkEnd w:id="160"/>
      <w:bookmarkEnd w:id="161"/>
      <w:r>
        <w:rPr>
          <w:rFonts w:hAnsi="宋体" w:hint="eastAsia"/>
        </w:rPr>
        <w:t xml:space="preserve"> </w:t>
      </w:r>
    </w:p>
    <w:p w:rsidR="00556738" w:rsidRDefault="00556738">
      <w:pPr>
        <w:spacing w:line="360" w:lineRule="auto"/>
        <w:ind w:firstLineChars="200" w:firstLine="420"/>
        <w:divId w:val="24641598"/>
        <w:rPr>
          <w:rFonts w:hint="eastAsia"/>
        </w:rPr>
      </w:pPr>
      <w:r>
        <w:rPr>
          <w:rFonts w:hint="eastAsia"/>
          <w:lang/>
        </w:rPr>
        <w:t>投资者可在已开通定期定额投资业务的销售机构办理本基金的定期定额投资，申请办理程序及交易规则遵循各销售机构的相关规定。除另有公告外，定期定额投资费率与日常申购费率相同。</w:t>
      </w:r>
      <w:r>
        <w:rPr>
          <w:rFonts w:hint="eastAsia"/>
          <w:lang/>
        </w:rPr>
        <w:br/>
        <w:t xml:space="preserve">　　1、扣款日期</w:t>
      </w:r>
      <w:r>
        <w:rPr>
          <w:rFonts w:hint="eastAsia"/>
          <w:lang/>
        </w:rPr>
        <w:br/>
        <w:t xml:space="preserve">　　投资者应与销售机构约定每期扣款日期，销售机构将按照投资者约定的每期扣款日进行扣款，若遇非开放日则顺延到下一开放日，并以该日为基金申购申请日。</w:t>
      </w:r>
      <w:r>
        <w:rPr>
          <w:rFonts w:hint="eastAsia"/>
          <w:lang/>
        </w:rPr>
        <w:br/>
        <w:t xml:space="preserve">　　2、扣款金额</w:t>
      </w:r>
      <w:r>
        <w:rPr>
          <w:rFonts w:hint="eastAsia"/>
          <w:lang/>
        </w:rPr>
        <w:br/>
        <w:t xml:space="preserve">　　本基金单笔最低定期定额投资金额为1元，投资者通过销售机构定期定额投资本基金时，除需满足基金管理人规定的最低定期定额投资金额限制外，还应遵循销售机构的业务规定。本基金单笔定期定额投资金额不受前述最低申购金额的限制。</w:t>
      </w:r>
      <w:r>
        <w:rPr>
          <w:rFonts w:hint="eastAsia"/>
          <w:lang/>
        </w:rPr>
        <w:br/>
        <w:t xml:space="preserve">　　3、交易确认</w:t>
      </w:r>
      <w:r>
        <w:rPr>
          <w:rFonts w:hint="eastAsia"/>
          <w:lang/>
        </w:rPr>
        <w:br/>
        <w:t xml:space="preserve">　　以每期有效申购申请日（T日）的基金份额净值为基准计算申购份额，基金份额确认日为T＋1日，投资者可在T＋2日查询定期定额申购确认情况。</w:t>
      </w:r>
      <w:r>
        <w:rPr>
          <w:rFonts w:hint="eastAsia"/>
          <w:lang/>
        </w:rPr>
        <w:br/>
        <w:t xml:space="preserve">　　4、变更和终止</w:t>
      </w:r>
      <w:r>
        <w:rPr>
          <w:rFonts w:hint="eastAsia"/>
          <w:lang/>
        </w:rPr>
        <w:br/>
        <w:t xml:space="preserve">　　投资者可变更或终止定期定额投资业务，具体办理程序请遵循各销售机构的相关规定。</w:t>
      </w:r>
    </w:p>
    <w:p w:rsidR="00556738" w:rsidRDefault="00556738">
      <w:pPr>
        <w:pStyle w:val="XBRLTitle1"/>
        <w:spacing w:before="156" w:line="360" w:lineRule="auto"/>
        <w:rPr>
          <w:rFonts w:hint="eastAsia"/>
        </w:rPr>
      </w:pPr>
      <w:bookmarkStart w:id="162" w:name="_Toc3475852111"/>
      <w:bookmarkStart w:id="163" w:name="_Toc34841042"/>
      <w:r>
        <w:rPr>
          <w:rFonts w:hAnsi="宋体" w:hint="eastAsia"/>
        </w:rPr>
        <w:t>基金销售机构</w:t>
      </w:r>
      <w:bookmarkEnd w:id="31"/>
      <w:bookmarkEnd w:id="32"/>
      <w:bookmarkEnd w:id="33"/>
      <w:bookmarkEnd w:id="34"/>
      <w:bookmarkEnd w:id="35"/>
      <w:bookmarkEnd w:id="36"/>
      <w:bookmarkEnd w:id="37"/>
      <w:bookmarkEnd w:id="38"/>
      <w:bookmarkEnd w:id="162"/>
      <w:bookmarkEnd w:id="163"/>
      <w:r>
        <w:rPr>
          <w:rFonts w:hAnsi="宋体" w:hint="eastAsia"/>
        </w:rPr>
        <w:t xml:space="preserve"> </w:t>
      </w:r>
    </w:p>
    <w:p w:rsidR="00556738" w:rsidRDefault="00556738">
      <w:pPr>
        <w:pStyle w:val="XBRLTitle2"/>
        <w:spacing w:before="156" w:line="360" w:lineRule="auto"/>
        <w:rPr>
          <w:rFonts w:hint="eastAsia"/>
        </w:rPr>
      </w:pPr>
      <w:bookmarkStart w:id="164" w:name="_Toc51346565811"/>
      <w:r>
        <w:rPr>
          <w:rFonts w:hAnsi="宋体" w:hint="eastAsia"/>
        </w:rPr>
        <w:t>场外销售机构</w:t>
      </w:r>
      <w:bookmarkEnd w:id="52"/>
      <w:bookmarkEnd w:id="53"/>
      <w:bookmarkEnd w:id="54"/>
      <w:bookmarkEnd w:id="55"/>
      <w:bookmarkEnd w:id="164"/>
      <w:r>
        <w:rPr>
          <w:rFonts w:hAnsi="宋体" w:hint="eastAsia"/>
        </w:rPr>
        <w:t xml:space="preserve"> </w:t>
      </w:r>
    </w:p>
    <w:p w:rsidR="00556738" w:rsidRDefault="00556738">
      <w:pPr>
        <w:pStyle w:val="XBRLTitle3"/>
        <w:spacing w:before="156"/>
        <w:rPr>
          <w:rFonts w:hint="eastAsia"/>
        </w:rPr>
      </w:pPr>
      <w:bookmarkStart w:id="165" w:name="_Toc51346565911"/>
      <w:r>
        <w:rPr>
          <w:rFonts w:hint="eastAsia"/>
        </w:rPr>
        <w:t>直销机构</w:t>
      </w:r>
      <w:bookmarkEnd w:id="57"/>
      <w:bookmarkEnd w:id="58"/>
      <w:bookmarkEnd w:id="59"/>
      <w:bookmarkEnd w:id="165"/>
      <w:r>
        <w:rPr>
          <w:rFonts w:hint="eastAsia"/>
          <w:lang w:eastAsia="zh-CN"/>
        </w:rPr>
        <w:t xml:space="preserve"> </w:t>
      </w:r>
    </w:p>
    <w:p w:rsidR="00556738" w:rsidRDefault="00556738">
      <w:pPr>
        <w:spacing w:line="360" w:lineRule="auto"/>
        <w:ind w:firstLineChars="200" w:firstLine="420"/>
        <w:rPr>
          <w:rFonts w:hint="eastAsia"/>
        </w:rPr>
      </w:pPr>
      <w:r>
        <w:rPr>
          <w:rFonts w:hint="eastAsia"/>
          <w:lang/>
        </w:rPr>
        <w:t>1、长城基金管理有限公司直销中心</w:t>
      </w:r>
      <w:r>
        <w:rPr>
          <w:rFonts w:hint="eastAsia"/>
          <w:lang/>
        </w:rPr>
        <w:br/>
        <w:t xml:space="preserve">　　地址：深圳市福田区莲花街道福新社区鹏程一路9号广电金融中心36层DEF单元、38层、39层</w:t>
      </w:r>
      <w:r>
        <w:rPr>
          <w:rFonts w:hint="eastAsia"/>
          <w:lang/>
        </w:rPr>
        <w:br/>
        <w:t xml:space="preserve">　　电话：0755-29279128</w:t>
      </w:r>
      <w:r>
        <w:rPr>
          <w:rFonts w:hint="eastAsia"/>
          <w:lang/>
        </w:rPr>
        <w:br/>
        <w:t xml:space="preserve">　　传真：0755-29279124</w:t>
      </w:r>
      <w:r>
        <w:rPr>
          <w:rFonts w:hint="eastAsia"/>
          <w:lang/>
        </w:rPr>
        <w:br/>
        <w:t xml:space="preserve">　　联系人：余伟维</w:t>
      </w:r>
      <w:r>
        <w:rPr>
          <w:rFonts w:hint="eastAsia"/>
          <w:lang/>
        </w:rPr>
        <w:br/>
        <w:t xml:space="preserve">　　2、长城基金管理有限公司电子交易平台</w:t>
      </w:r>
      <w:r>
        <w:rPr>
          <w:rFonts w:hint="eastAsia"/>
          <w:lang/>
        </w:rPr>
        <w:br/>
        <w:t xml:space="preserve">　　移动客户端：长城基金APP</w:t>
      </w:r>
      <w:r>
        <w:rPr>
          <w:rFonts w:hint="eastAsia"/>
          <w:lang/>
        </w:rPr>
        <w:br/>
        <w:t xml:space="preserve">　　微信服务号：长城基金</w:t>
      </w:r>
    </w:p>
    <w:p w:rsidR="00556738" w:rsidRDefault="00556738">
      <w:pPr>
        <w:pStyle w:val="XBRLTitle3"/>
        <w:spacing w:before="156"/>
        <w:rPr>
          <w:rFonts w:hint="eastAsia"/>
        </w:rPr>
      </w:pPr>
      <w:bookmarkStart w:id="166" w:name="_Toc51346566011"/>
      <w:r>
        <w:rPr>
          <w:rFonts w:hint="eastAsia"/>
        </w:rPr>
        <w:t>场外非直销机构</w:t>
      </w:r>
      <w:bookmarkEnd w:id="61"/>
      <w:bookmarkEnd w:id="62"/>
      <w:bookmarkEnd w:id="63"/>
      <w:bookmarkEnd w:id="166"/>
    </w:p>
    <w:p w:rsidR="00556738" w:rsidRDefault="00556738">
      <w:pPr>
        <w:spacing w:line="360" w:lineRule="auto"/>
        <w:ind w:firstLineChars="200" w:firstLine="420"/>
        <w:rPr>
          <w:rFonts w:hint="eastAsia"/>
        </w:rPr>
      </w:pPr>
      <w:r>
        <w:rPr>
          <w:rFonts w:hint="eastAsia"/>
          <w:kern w:val="0"/>
          <w:szCs w:val="21"/>
          <w:lang/>
        </w:rPr>
        <w:t>(1)浙商银行（同业平台）</w:t>
      </w:r>
      <w:r>
        <w:rPr>
          <w:rFonts w:hint="eastAsia"/>
          <w:kern w:val="0"/>
          <w:szCs w:val="21"/>
          <w:lang/>
        </w:rPr>
        <w:br/>
        <w:t xml:space="preserve">　　(2)中信建投</w:t>
      </w:r>
      <w:r>
        <w:rPr>
          <w:rFonts w:hint="eastAsia"/>
          <w:kern w:val="0"/>
          <w:szCs w:val="21"/>
          <w:lang/>
        </w:rPr>
        <w:br/>
        <w:t xml:space="preserve">　　(3)中信证券</w:t>
      </w:r>
      <w:r>
        <w:rPr>
          <w:rFonts w:hint="eastAsia"/>
          <w:kern w:val="0"/>
          <w:szCs w:val="21"/>
          <w:lang/>
        </w:rPr>
        <w:br/>
        <w:t xml:space="preserve">　　(4)银河证券</w:t>
      </w:r>
      <w:r>
        <w:rPr>
          <w:rFonts w:hint="eastAsia"/>
          <w:kern w:val="0"/>
          <w:szCs w:val="21"/>
          <w:lang/>
        </w:rPr>
        <w:br/>
        <w:t xml:space="preserve">　　(5)华泰证券</w:t>
      </w:r>
      <w:r>
        <w:rPr>
          <w:rFonts w:hint="eastAsia"/>
          <w:kern w:val="0"/>
          <w:szCs w:val="21"/>
          <w:lang/>
        </w:rPr>
        <w:br/>
        <w:t xml:space="preserve">　　(6)华西证券</w:t>
      </w:r>
      <w:r>
        <w:rPr>
          <w:rFonts w:hint="eastAsia"/>
          <w:kern w:val="0"/>
          <w:szCs w:val="21"/>
          <w:lang/>
        </w:rPr>
        <w:br/>
        <w:t xml:space="preserve">　　(7)渤海证券</w:t>
      </w:r>
      <w:r>
        <w:rPr>
          <w:rFonts w:hint="eastAsia"/>
          <w:kern w:val="0"/>
          <w:szCs w:val="21"/>
          <w:lang/>
        </w:rPr>
        <w:br/>
        <w:t xml:space="preserve">　　(8)国信证券</w:t>
      </w:r>
      <w:r>
        <w:rPr>
          <w:rFonts w:hint="eastAsia"/>
          <w:kern w:val="0"/>
          <w:szCs w:val="21"/>
          <w:lang/>
        </w:rPr>
        <w:br/>
        <w:t xml:space="preserve">　　(9)国都证券</w:t>
      </w:r>
      <w:r>
        <w:rPr>
          <w:rFonts w:hint="eastAsia"/>
          <w:kern w:val="0"/>
          <w:szCs w:val="21"/>
          <w:lang/>
        </w:rPr>
        <w:br/>
        <w:t xml:space="preserve">　　(10)中信证券（华南）</w:t>
      </w:r>
      <w:r>
        <w:rPr>
          <w:rFonts w:hint="eastAsia"/>
          <w:kern w:val="0"/>
          <w:szCs w:val="21"/>
          <w:lang/>
        </w:rPr>
        <w:br/>
        <w:t xml:space="preserve">　　(11)中信证券（山东）</w:t>
      </w:r>
      <w:r>
        <w:rPr>
          <w:rFonts w:hint="eastAsia"/>
          <w:kern w:val="0"/>
          <w:szCs w:val="21"/>
          <w:lang/>
        </w:rPr>
        <w:br/>
        <w:t xml:space="preserve">　　(12)国投证券</w:t>
      </w:r>
      <w:r>
        <w:rPr>
          <w:rFonts w:hint="eastAsia"/>
          <w:kern w:val="0"/>
          <w:szCs w:val="21"/>
          <w:lang/>
        </w:rPr>
        <w:br/>
        <w:t xml:space="preserve">　　(13)东海证券</w:t>
      </w:r>
      <w:r>
        <w:rPr>
          <w:rFonts w:hint="eastAsia"/>
          <w:kern w:val="0"/>
          <w:szCs w:val="21"/>
          <w:lang/>
        </w:rPr>
        <w:br/>
        <w:t xml:space="preserve">　　(14)中金财富证券</w:t>
      </w:r>
      <w:r>
        <w:rPr>
          <w:rFonts w:hint="eastAsia"/>
          <w:kern w:val="0"/>
          <w:szCs w:val="21"/>
          <w:lang/>
        </w:rPr>
        <w:br/>
        <w:t xml:space="preserve">　　(15)西部证券</w:t>
      </w:r>
      <w:r>
        <w:rPr>
          <w:rFonts w:hint="eastAsia"/>
          <w:kern w:val="0"/>
          <w:szCs w:val="21"/>
          <w:lang/>
        </w:rPr>
        <w:br/>
        <w:t xml:space="preserve">　　(16)长江证券</w:t>
      </w:r>
      <w:r>
        <w:rPr>
          <w:rFonts w:hint="eastAsia"/>
          <w:kern w:val="0"/>
          <w:szCs w:val="21"/>
          <w:lang/>
        </w:rPr>
        <w:br/>
        <w:t xml:space="preserve">　　(17)国新证券</w:t>
      </w:r>
      <w:r>
        <w:rPr>
          <w:rFonts w:hint="eastAsia"/>
          <w:kern w:val="0"/>
          <w:szCs w:val="21"/>
          <w:lang/>
        </w:rPr>
        <w:br/>
        <w:t xml:space="preserve">　　(18)中信期货</w:t>
      </w:r>
      <w:r>
        <w:rPr>
          <w:rFonts w:hint="eastAsia"/>
          <w:kern w:val="0"/>
          <w:szCs w:val="21"/>
          <w:lang/>
        </w:rPr>
        <w:br/>
        <w:t xml:space="preserve">　　(19)国金证券</w:t>
      </w:r>
      <w:r>
        <w:rPr>
          <w:rFonts w:hint="eastAsia"/>
          <w:kern w:val="0"/>
          <w:szCs w:val="21"/>
          <w:lang/>
        </w:rPr>
        <w:br/>
        <w:t xml:space="preserve">　　(20)南京证券</w:t>
      </w:r>
      <w:r>
        <w:rPr>
          <w:rFonts w:hint="eastAsia"/>
          <w:kern w:val="0"/>
          <w:szCs w:val="21"/>
          <w:lang/>
        </w:rPr>
        <w:br/>
        <w:t xml:space="preserve">　　(21)东吴证券</w:t>
      </w:r>
      <w:r>
        <w:rPr>
          <w:rFonts w:hint="eastAsia"/>
          <w:kern w:val="0"/>
          <w:szCs w:val="21"/>
          <w:lang/>
        </w:rPr>
        <w:br/>
        <w:t xml:space="preserve">　　(22)粤开证券</w:t>
      </w:r>
      <w:r>
        <w:rPr>
          <w:rFonts w:hint="eastAsia"/>
          <w:kern w:val="0"/>
          <w:szCs w:val="21"/>
          <w:lang/>
        </w:rPr>
        <w:br/>
        <w:t xml:space="preserve">　　(23)第一创业证券</w:t>
      </w:r>
      <w:r>
        <w:rPr>
          <w:rFonts w:hint="eastAsia"/>
          <w:kern w:val="0"/>
          <w:szCs w:val="21"/>
          <w:lang/>
        </w:rPr>
        <w:br/>
        <w:t xml:space="preserve">　　(24)蚂蚁基金</w:t>
      </w:r>
      <w:r>
        <w:rPr>
          <w:rFonts w:hint="eastAsia"/>
          <w:kern w:val="0"/>
          <w:szCs w:val="21"/>
          <w:lang/>
        </w:rPr>
        <w:br/>
        <w:t xml:space="preserve">　　(25)众禄基金</w:t>
      </w:r>
      <w:r>
        <w:rPr>
          <w:rFonts w:hint="eastAsia"/>
          <w:kern w:val="0"/>
          <w:szCs w:val="21"/>
          <w:lang/>
        </w:rPr>
        <w:br/>
        <w:t xml:space="preserve">　　(26)诺亚正行</w:t>
      </w:r>
      <w:r>
        <w:rPr>
          <w:rFonts w:hint="eastAsia"/>
          <w:kern w:val="0"/>
          <w:szCs w:val="21"/>
          <w:lang/>
        </w:rPr>
        <w:br/>
        <w:t xml:space="preserve">　　(27)天天基金</w:t>
      </w:r>
      <w:r>
        <w:rPr>
          <w:rFonts w:hint="eastAsia"/>
          <w:kern w:val="0"/>
          <w:szCs w:val="21"/>
          <w:lang/>
        </w:rPr>
        <w:br/>
        <w:t xml:space="preserve">　　(28)浦领基金</w:t>
      </w:r>
      <w:r>
        <w:rPr>
          <w:rFonts w:hint="eastAsia"/>
          <w:kern w:val="0"/>
          <w:szCs w:val="21"/>
          <w:lang/>
        </w:rPr>
        <w:br/>
        <w:t xml:space="preserve">　　(29)和讯信息</w:t>
      </w:r>
      <w:r>
        <w:rPr>
          <w:rFonts w:hint="eastAsia"/>
          <w:kern w:val="0"/>
          <w:szCs w:val="21"/>
          <w:lang/>
        </w:rPr>
        <w:br/>
        <w:t xml:space="preserve">　　(30)好买基金</w:t>
      </w:r>
      <w:r>
        <w:rPr>
          <w:rFonts w:hint="eastAsia"/>
          <w:kern w:val="0"/>
          <w:szCs w:val="21"/>
          <w:lang/>
        </w:rPr>
        <w:br/>
        <w:t xml:space="preserve">　　(31)盈米基金</w:t>
      </w:r>
      <w:r>
        <w:rPr>
          <w:rFonts w:hint="eastAsia"/>
          <w:kern w:val="0"/>
          <w:szCs w:val="21"/>
          <w:lang/>
        </w:rPr>
        <w:br/>
        <w:t xml:space="preserve">　　(32)陆基金</w:t>
      </w:r>
      <w:r>
        <w:rPr>
          <w:rFonts w:hint="eastAsia"/>
          <w:kern w:val="0"/>
          <w:szCs w:val="21"/>
          <w:lang/>
        </w:rPr>
        <w:br/>
        <w:t xml:space="preserve">　　(33)利得基金</w:t>
      </w:r>
      <w:r>
        <w:rPr>
          <w:rFonts w:hint="eastAsia"/>
          <w:kern w:val="0"/>
          <w:szCs w:val="21"/>
          <w:lang/>
        </w:rPr>
        <w:br/>
        <w:t xml:space="preserve">　　(34)金斧子</w:t>
      </w:r>
      <w:r>
        <w:rPr>
          <w:rFonts w:hint="eastAsia"/>
          <w:kern w:val="0"/>
          <w:szCs w:val="21"/>
          <w:lang/>
        </w:rPr>
        <w:br/>
        <w:t xml:space="preserve">　　(35)肯特瑞</w:t>
      </w:r>
      <w:r>
        <w:rPr>
          <w:rFonts w:hint="eastAsia"/>
          <w:kern w:val="0"/>
          <w:szCs w:val="21"/>
          <w:lang/>
        </w:rPr>
        <w:br/>
        <w:t xml:space="preserve">　　(36)汇成基金</w:t>
      </w:r>
      <w:r>
        <w:rPr>
          <w:rFonts w:hint="eastAsia"/>
          <w:kern w:val="0"/>
          <w:szCs w:val="21"/>
          <w:lang/>
        </w:rPr>
        <w:br/>
        <w:t xml:space="preserve">　　(37)苏宁基金</w:t>
      </w:r>
      <w:r>
        <w:rPr>
          <w:rFonts w:hint="eastAsia"/>
          <w:kern w:val="0"/>
          <w:szCs w:val="21"/>
          <w:lang/>
        </w:rPr>
        <w:br/>
        <w:t xml:space="preserve">　　(38)万得基金</w:t>
      </w:r>
      <w:r>
        <w:rPr>
          <w:rFonts w:hint="eastAsia"/>
          <w:kern w:val="0"/>
          <w:szCs w:val="21"/>
          <w:lang/>
        </w:rPr>
        <w:br/>
        <w:t xml:space="preserve">　　(39)汇林保大</w:t>
      </w:r>
      <w:r>
        <w:rPr>
          <w:rFonts w:hint="eastAsia"/>
          <w:kern w:val="0"/>
          <w:szCs w:val="21"/>
          <w:lang/>
        </w:rPr>
        <w:br/>
        <w:t xml:space="preserve">　　(40)挖财基金</w:t>
      </w:r>
      <w:r>
        <w:rPr>
          <w:rFonts w:hint="eastAsia"/>
          <w:kern w:val="0"/>
          <w:szCs w:val="21"/>
          <w:lang/>
        </w:rPr>
        <w:br/>
        <w:t xml:space="preserve">　　(41)同花顺</w:t>
      </w:r>
      <w:r>
        <w:rPr>
          <w:rFonts w:hint="eastAsia"/>
          <w:kern w:val="0"/>
          <w:szCs w:val="21"/>
          <w:lang/>
        </w:rPr>
        <w:br/>
        <w:t xml:space="preserve">　　(42)长量基金</w:t>
      </w:r>
      <w:r>
        <w:rPr>
          <w:rFonts w:hint="eastAsia"/>
          <w:kern w:val="0"/>
          <w:szCs w:val="21"/>
          <w:lang/>
        </w:rPr>
        <w:br/>
        <w:t xml:space="preserve">　　(43)雪球基金</w:t>
      </w:r>
      <w:r>
        <w:rPr>
          <w:rFonts w:hint="eastAsia"/>
          <w:kern w:val="0"/>
          <w:szCs w:val="21"/>
          <w:lang/>
        </w:rPr>
        <w:br/>
        <w:t xml:space="preserve">　　(44)基煜基金</w:t>
      </w:r>
      <w:r>
        <w:rPr>
          <w:rFonts w:hint="eastAsia"/>
          <w:kern w:val="0"/>
          <w:szCs w:val="21"/>
          <w:lang/>
        </w:rPr>
        <w:br/>
        <w:t xml:space="preserve">　　(45)大智慧</w:t>
      </w:r>
      <w:r>
        <w:rPr>
          <w:rFonts w:hint="eastAsia"/>
          <w:kern w:val="0"/>
          <w:szCs w:val="21"/>
          <w:lang/>
        </w:rPr>
        <w:br/>
        <w:t xml:space="preserve">　　(46)创金启富</w:t>
      </w:r>
      <w:r>
        <w:rPr>
          <w:rFonts w:hint="eastAsia"/>
          <w:kern w:val="0"/>
          <w:szCs w:val="21"/>
          <w:lang/>
        </w:rPr>
        <w:br/>
        <w:t xml:space="preserve">　　(47)大连网金</w:t>
      </w:r>
      <w:r>
        <w:rPr>
          <w:rFonts w:hint="eastAsia"/>
          <w:kern w:val="0"/>
          <w:szCs w:val="21"/>
          <w:lang/>
        </w:rPr>
        <w:br/>
        <w:t xml:space="preserve">　　(48)度小满基金</w:t>
      </w:r>
      <w:r>
        <w:rPr>
          <w:rFonts w:hint="eastAsia"/>
          <w:kern w:val="0"/>
          <w:szCs w:val="21"/>
          <w:lang/>
        </w:rPr>
        <w:br/>
        <w:t xml:space="preserve">　　(49)普益基金</w:t>
      </w:r>
      <w:r>
        <w:rPr>
          <w:rFonts w:hint="eastAsia"/>
          <w:kern w:val="0"/>
          <w:szCs w:val="21"/>
          <w:lang/>
        </w:rPr>
        <w:br/>
        <w:t xml:space="preserve">　　(50)嘉实财富</w:t>
      </w:r>
      <w:r>
        <w:rPr>
          <w:rFonts w:hint="eastAsia"/>
          <w:kern w:val="0"/>
          <w:szCs w:val="21"/>
          <w:lang/>
        </w:rPr>
        <w:br/>
        <w:t xml:space="preserve">　　(51)阳光人寿保险</w:t>
      </w:r>
      <w:r>
        <w:rPr>
          <w:rFonts w:hint="eastAsia"/>
          <w:kern w:val="0"/>
          <w:szCs w:val="21"/>
          <w:lang/>
        </w:rPr>
        <w:br/>
        <w:t xml:space="preserve">　　(52)泰信财富</w:t>
      </w:r>
      <w:r>
        <w:rPr>
          <w:rFonts w:hint="eastAsia"/>
          <w:kern w:val="0"/>
          <w:szCs w:val="21"/>
          <w:lang/>
        </w:rPr>
        <w:br/>
        <w:t xml:space="preserve">　　(53)华源证券（鑫理财）</w:t>
      </w:r>
      <w:r>
        <w:rPr>
          <w:rFonts w:hint="eastAsia"/>
          <w:kern w:val="0"/>
          <w:szCs w:val="21"/>
          <w:lang/>
        </w:rPr>
        <w:br/>
        <w:t xml:space="preserve">　　上述代销机构的网址及客户服务电话等信息详见本基金管理人网站。基金管理人可以根据相关法律法规要求，调整本基金的代销机构，并及时在本基金管理人网站公示。</w:t>
      </w:r>
      <w:r>
        <w:rPr>
          <w:rFonts w:hint="eastAsia"/>
          <w:kern w:val="0"/>
          <w:sz w:val="24"/>
        </w:rPr>
        <w:t xml:space="preserve"> </w:t>
      </w:r>
    </w:p>
    <w:p w:rsidR="00556738" w:rsidRDefault="00556738">
      <w:pPr>
        <w:pStyle w:val="XBRLTitle2"/>
        <w:spacing w:before="156"/>
        <w:divId w:val="1586067354"/>
        <w:rPr>
          <w:rFonts w:hint="eastAsia"/>
        </w:rPr>
      </w:pPr>
      <w:bookmarkStart w:id="167" w:name="_Toc3475852411"/>
      <w:bookmarkStart w:id="168" w:name="_Toc34841044"/>
      <w:r>
        <w:rPr>
          <w:rFonts w:hint="eastAsia"/>
        </w:rPr>
        <w:t>场内销售机构</w:t>
      </w:r>
      <w:bookmarkEnd w:id="72"/>
      <w:bookmarkEnd w:id="73"/>
      <w:bookmarkEnd w:id="74"/>
      <w:bookmarkEnd w:id="75"/>
      <w:bookmarkEnd w:id="76"/>
      <w:bookmarkEnd w:id="77"/>
      <w:bookmarkEnd w:id="78"/>
      <w:bookmarkEnd w:id="79"/>
      <w:bookmarkEnd w:id="80"/>
      <w:bookmarkEnd w:id="81"/>
      <w:bookmarkEnd w:id="82"/>
      <w:bookmarkEnd w:id="83"/>
      <w:bookmarkEnd w:id="84"/>
      <w:bookmarkEnd w:id="167"/>
      <w:bookmarkEnd w:id="168"/>
    </w:p>
    <w:p w:rsidR="00556738" w:rsidRDefault="00556738">
      <w:pPr>
        <w:spacing w:line="360" w:lineRule="auto"/>
        <w:ind w:firstLineChars="200" w:firstLine="420"/>
        <w:divId w:val="1586067354"/>
        <w:rPr>
          <w:rFonts w:hint="eastAsia"/>
        </w:rPr>
      </w:pPr>
      <w:r>
        <w:rPr>
          <w:rFonts w:hint="eastAsia"/>
          <w:lang/>
        </w:rPr>
        <w:t>无</w:t>
      </w:r>
    </w:p>
    <w:p w:rsidR="00556738" w:rsidRDefault="00556738">
      <w:pPr>
        <w:pStyle w:val="XBRLTitle1"/>
        <w:spacing w:before="156" w:line="360" w:lineRule="auto"/>
        <w:rPr>
          <w:rFonts w:hint="eastAsia"/>
        </w:rPr>
      </w:pPr>
      <w:bookmarkStart w:id="169" w:name="_Toc3475853211"/>
      <w:bookmarkStart w:id="170" w:name="_Toc34841045"/>
      <w:r>
        <w:rPr>
          <w:rFonts w:hAnsi="宋体" w:hint="eastAsia"/>
        </w:rPr>
        <w:t>基金份额净值公告/基金收益公告的披露安排</w:t>
      </w:r>
      <w:bookmarkEnd w:id="169"/>
      <w:bookmarkEnd w:id="170"/>
      <w:r>
        <w:rPr>
          <w:rFonts w:hAnsi="宋体" w:hint="eastAsia"/>
        </w:rPr>
        <w:t xml:space="preserve"> </w:t>
      </w:r>
    </w:p>
    <w:p w:rsidR="00556738" w:rsidRDefault="00556738">
      <w:pPr>
        <w:spacing w:line="360" w:lineRule="auto"/>
        <w:ind w:firstLineChars="200" w:firstLine="420"/>
        <w:rPr>
          <w:rFonts w:hint="eastAsia"/>
        </w:rPr>
      </w:pPr>
      <w:r>
        <w:rPr>
          <w:rFonts w:hint="eastAsia"/>
          <w:lang/>
        </w:rPr>
        <w:t>从2024年11月8日起，基金管理人将在不晚于每个开放日的次日，通过规定网站、基金销售机构网站或者营业网点，披露开放日的各类基金份额净值和各类基金份额累计净值。</w:t>
      </w:r>
      <w:r>
        <w:rPr>
          <w:rFonts w:hint="eastAsia"/>
          <w:lang/>
        </w:rPr>
        <w:br/>
        <w:t xml:space="preserve">　　基金管理人将在不晚于半年度和年度最后一日的次日，在规定网站披露半年度和年度最后一日的各类基金份额净值和各类基金份额累计净值。</w:t>
      </w:r>
    </w:p>
    <w:p w:rsidR="00556738" w:rsidRDefault="00556738">
      <w:pPr>
        <w:pStyle w:val="XBRLTitle1"/>
        <w:spacing w:before="156" w:line="360" w:lineRule="auto"/>
        <w:rPr>
          <w:rFonts w:hint="eastAsia"/>
        </w:rPr>
      </w:pPr>
      <w:bookmarkStart w:id="171" w:name="_Toc3475853212"/>
      <w:bookmarkStart w:id="172" w:name="_Toc34841046"/>
      <w:r>
        <w:rPr>
          <w:rFonts w:hAnsi="宋体" w:hint="eastAsia"/>
        </w:rPr>
        <w:t>其他需要提示的事项</w:t>
      </w:r>
      <w:bookmarkEnd w:id="16"/>
      <w:bookmarkEnd w:id="17"/>
      <w:bookmarkEnd w:id="18"/>
      <w:bookmarkEnd w:id="19"/>
      <w:bookmarkEnd w:id="20"/>
      <w:bookmarkEnd w:id="21"/>
      <w:bookmarkEnd w:id="22"/>
      <w:bookmarkEnd w:id="23"/>
      <w:bookmarkEnd w:id="39"/>
      <w:bookmarkEnd w:id="40"/>
      <w:bookmarkEnd w:id="171"/>
      <w:bookmarkEnd w:id="172"/>
      <w:r>
        <w:rPr>
          <w:rFonts w:hAnsi="宋体" w:hint="eastAsia"/>
        </w:rPr>
        <w:t xml:space="preserve"> </w:t>
      </w:r>
    </w:p>
    <w:bookmarkEnd w:id="11"/>
    <w:p w:rsidR="00556738" w:rsidRDefault="00556738">
      <w:pPr>
        <w:spacing w:line="360" w:lineRule="auto"/>
        <w:ind w:firstLineChars="200" w:firstLine="420"/>
        <w:rPr>
          <w:rFonts w:hint="eastAsia"/>
        </w:rPr>
      </w:pPr>
      <w:r>
        <w:rPr>
          <w:rFonts w:hint="eastAsia"/>
          <w:lang/>
        </w:rPr>
        <w:t>本公告仅对本基金开放日常申购、赎回等有关事项予以说明。投资者欲了解本基金的详细情况，请阅读本基金的基金合同、招募说明书，或登录本公司网站（www.ccfund.com.cn）、拨打本公司的客户服务电话（400-8868-666）进行查询。</w:t>
      </w:r>
      <w:bookmarkEnd w:id="12"/>
      <w:bookmarkEnd w:id="13"/>
      <w:bookmarkEnd w:id="24"/>
      <w:bookmarkEnd w:id="25"/>
      <w:bookmarkEnd w:id="26"/>
      <w:bookmarkEnd w:id="27"/>
      <w:r>
        <w:rPr>
          <w:rFonts w:hint="eastAsia"/>
          <w:lang/>
        </w:rPr>
        <w:t xml:space="preserve"> </w:t>
      </w:r>
    </w:p>
    <w:p w:rsidR="00556738" w:rsidRDefault="00556738">
      <w:pPr>
        <w:spacing w:line="360" w:lineRule="auto"/>
        <w:ind w:firstLineChars="600" w:firstLine="1446"/>
        <w:jc w:val="left"/>
        <w:rPr>
          <w:rFonts w:hint="eastAsia"/>
        </w:rPr>
      </w:pPr>
      <w:r>
        <w:rPr>
          <w:rFonts w:hint="eastAsia"/>
          <w:b/>
          <w:bCs/>
          <w:sz w:val="24"/>
          <w:szCs w:val="30"/>
        </w:rPr>
        <w:t xml:space="preserve">　 </w:t>
      </w:r>
    </w:p>
    <w:p w:rsidR="00556738" w:rsidRDefault="00556738">
      <w:pPr>
        <w:spacing w:line="360" w:lineRule="auto"/>
        <w:ind w:firstLineChars="600" w:firstLine="1446"/>
        <w:jc w:val="left"/>
        <w:rPr>
          <w:rFonts w:hint="eastAsia"/>
        </w:rPr>
      </w:pPr>
      <w:r>
        <w:rPr>
          <w:rFonts w:hint="eastAsia"/>
          <w:b/>
          <w:bCs/>
          <w:sz w:val="24"/>
          <w:szCs w:val="30"/>
        </w:rPr>
        <w:t xml:space="preserve">　 </w:t>
      </w:r>
    </w:p>
    <w:p w:rsidR="00556738" w:rsidRDefault="00556738">
      <w:pPr>
        <w:spacing w:line="360" w:lineRule="auto"/>
        <w:ind w:firstLineChars="600" w:firstLine="1446"/>
        <w:jc w:val="right"/>
        <w:rPr>
          <w:rFonts w:hint="eastAsia"/>
        </w:rPr>
      </w:pPr>
      <w:r>
        <w:rPr>
          <w:rFonts w:hint="eastAsia"/>
          <w:b/>
          <w:bCs/>
          <w:sz w:val="24"/>
          <w:szCs w:val="24"/>
        </w:rPr>
        <w:t>长城基金管理有限公司</w:t>
      </w:r>
    </w:p>
    <w:p w:rsidR="00556738" w:rsidRDefault="00556738">
      <w:pPr>
        <w:spacing w:line="360" w:lineRule="auto"/>
        <w:ind w:firstLineChars="600" w:firstLine="1446"/>
        <w:jc w:val="right"/>
        <w:rPr>
          <w:rFonts w:hint="eastAsia"/>
        </w:rPr>
      </w:pPr>
      <w:r>
        <w:rPr>
          <w:rFonts w:hint="eastAsia"/>
          <w:b/>
          <w:bCs/>
          <w:sz w:val="24"/>
          <w:szCs w:val="24"/>
        </w:rPr>
        <w:t>2024年11月7日</w:t>
      </w:r>
      <w:bookmarkEnd w:id="28"/>
      <w:r>
        <w:rPr>
          <w:rFonts w:hint="eastAsia"/>
          <w:b/>
          <w:bCs/>
          <w:sz w:val="24"/>
          <w:szCs w:val="24"/>
        </w:rPr>
        <w:t xml:space="preserve"> </w:t>
      </w:r>
    </w:p>
    <w:sectPr w:rsidR="00556738">
      <w:pgSz w:w="11907" w:h="16839"/>
      <w:pgMar w:top="1440" w:right="1531" w:bottom="1134" w:left="1531" w:header="851" w:footer="992" w:gutter="0"/>
      <w:pgNumType w:start="1"/>
      <w:cols w:space="425"/>
      <w:titlePg/>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 w:name="Arial Unicode MS">
    <w:panose1 w:val="020B0604020202020204"/>
    <w:charset w:val="86"/>
    <w:family w:val="swiss"/>
    <w:pitch w:val="variable"/>
    <w:sig w:usb0="F7FFAFFF" w:usb1="E9DFFFFF" w:usb2="0000003F" w:usb3="00000000" w:csb0="003F01FF" w:csb1="00000000"/>
  </w:font>
  <w:font w:name="仿宋">
    <w:charset w:val="86"/>
    <w:family w:val="modern"/>
    <w:pitch w:val="fixed"/>
    <w:sig w:usb0="800002BF" w:usb1="38CF7CFA" w:usb2="00000016" w:usb3="00000000" w:csb0="00040001" w:csb1="00000000"/>
  </w:font>
  <w:font w:name="Calibri">
    <w:panose1 w:val="020F0502020204030204"/>
    <w:charset w:val="00"/>
    <w:family w:val="swiss"/>
    <w:pitch w:val="variable"/>
    <w:sig w:usb0="A00002EF" w:usb1="4000207B" w:usb2="00000000" w:usb3="00000000" w:csb0="0000009F" w:csb1="00000000"/>
  </w:font>
  <w:font w:name="Microsoft YaHei UI">
    <w:charset w:val="86"/>
    <w:family w:val="swiss"/>
    <w:pitch w:val="variable"/>
    <w:sig w:usb0="80000287" w:usb1="2ACF3C50" w:usb2="00000016" w:usb3="00000000" w:csb0="0004001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D73EE"/>
    <w:multiLevelType w:val="multilevel"/>
    <w:tmpl w:val="24A63880"/>
    <w:lvl w:ilvl="0">
      <w:start w:val="1"/>
      <w:numFmt w:val="decimal"/>
      <w:pStyle w:val="XBRLTitle1"/>
      <w:suff w:val="space"/>
      <w:lvlText w:val="%1"/>
      <w:lvlJc w:val="left"/>
      <w:pPr>
        <w:ind w:left="425" w:hanging="425"/>
      </w:pPr>
      <w:rPr>
        <w:sz w:val="24"/>
        <w:szCs w:val="24"/>
      </w:rPr>
    </w:lvl>
    <w:lvl w:ilvl="1">
      <w:start w:val="1"/>
      <w:numFmt w:val="decimal"/>
      <w:pStyle w:val="XBRLTitle2"/>
      <w:suff w:val="space"/>
      <w:lvlText w:val="%1.%2"/>
      <w:lvlJc w:val="left"/>
      <w:pPr>
        <w:ind w:left="454" w:hanging="454"/>
      </w:pPr>
    </w:lvl>
    <w:lvl w:ilvl="2">
      <w:start w:val="1"/>
      <w:numFmt w:val="decimal"/>
      <w:pStyle w:val="XBRLTitle3"/>
      <w:suff w:val="space"/>
      <w:lvlText w:val="%1.%2.%3"/>
      <w:lvlJc w:val="left"/>
      <w:pPr>
        <w:ind w:left="1050" w:hanging="624"/>
      </w:pPr>
      <w:rPr>
        <w:sz w:val="24"/>
        <w:szCs w:val="24"/>
      </w:rPr>
    </w:lvl>
    <w:lvl w:ilvl="3">
      <w:start w:val="1"/>
      <w:numFmt w:val="decimal"/>
      <w:suff w:val="space"/>
      <w:lvlText w:val="%1.%2.%3.%4"/>
      <w:lvlJc w:val="left"/>
      <w:pPr>
        <w:ind w:left="794" w:hanging="794"/>
      </w:pPr>
    </w:lvl>
    <w:lvl w:ilvl="4">
      <w:start w:val="1"/>
      <w:numFmt w:val="decimal"/>
      <w:suff w:val="space"/>
      <w:lvlText w:val="%1.%2.%3.%4.%5"/>
      <w:lvlJc w:val="left"/>
      <w:pPr>
        <w:ind w:left="1021" w:hanging="1021"/>
      </w:pPr>
    </w:lvl>
    <w:lvl w:ilvl="5">
      <w:start w:val="1"/>
      <w:numFmt w:val="decimal"/>
      <w:suff w:val="space"/>
      <w:lvlText w:val="%1.%2.%3.%4.%5.%6"/>
      <w:lvlJc w:val="left"/>
      <w:pPr>
        <w:ind w:left="1021" w:hanging="1021"/>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mirrorMargins/>
  <w:bordersDoNotSurroundHeader/>
  <w:bordersDoNotSurroundFooter/>
  <w:attachedTemplate r:id="rId1"/>
  <w:doNotTrackMoves/>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94A8E"/>
    <w:rsid w:val="00556738"/>
    <w:rsid w:val="009D1EE2"/>
    <w:rsid w:val="00A94A8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宋体" w:eastAsia="宋体" w:hAnsi="宋体"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0" w:unhideWhenUsed="0"/>
    <w:lsdException w:name="header" w:semiHidden="0" w:unhideWhenUsed="0"/>
    <w:lsdException w:name="footer" w:semiHidden="0" w:unhideWhenUsed="0"/>
    <w:lsdException w:name="caption" w:uiPriority="35" w:qFormat="1"/>
    <w:lsdException w:name="footnote reference" w:semiHidden="0" w:uiPriority="0" w:unhideWhenUsed="0"/>
    <w:lsdException w:name="page number" w:semiHidden="0" w:unhideWhenUsed="0"/>
    <w:lsdException w:name="Title" w:semiHidden="0" w:uiPriority="10" w:unhideWhenUsed="0" w:qFormat="1"/>
    <w:lsdException w:name="Default Paragraph Font" w:semiHidden="0" w:uiPriority="1" w:unhideWhenUsed="0"/>
    <w:lsdException w:name="Subtitle" w:semiHidden="0" w:uiPriority="0" w:unhideWhenUsed="0" w:qFormat="1"/>
    <w:lsdException w:name="Date" w:semiHidden="0" w:uiPriority="0" w:unhideWhenUsed="0"/>
    <w:lsdException w:name="Strong" w:semiHidden="0" w:uiPriority="22" w:unhideWhenUsed="0" w:qFormat="1"/>
    <w:lsdException w:name="Emphasis" w:semiHidden="0" w:uiPriority="20" w:unhideWhenUsed="0" w:qFormat="1"/>
    <w:lsdException w:name="Document Map" w:semiHidden="0" w:uiPriority="0" w:unhideWhenUsed="0"/>
    <w:lsdException w:name="Normal (Web)" w:semiHidden="0" w:uiPriority="0" w:unhideWhenUsed="0"/>
    <w:lsdException w:name="Table Grid" w:semiHidden="0" w:uiPriority="59" w:unhideWhenUsed="0"/>
    <w:lsdException w:name="No Spacing" w:semiHidden="0"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cs="宋体"/>
      <w:kern w:val="2"/>
      <w:sz w:val="21"/>
    </w:rPr>
  </w:style>
  <w:style w:type="paragraph" w:styleId="1">
    <w:name w:val="heading 1"/>
    <w:basedOn w:val="a"/>
    <w:next w:val="a"/>
    <w:link w:val="1Char1"/>
    <w:uiPriority w:val="9"/>
    <w:qFormat/>
    <w:pPr>
      <w:keepNext/>
      <w:keepLines/>
      <w:spacing w:before="340" w:after="330" w:line="576" w:lineRule="auto"/>
      <w:outlineLvl w:val="0"/>
    </w:pPr>
    <w:rPr>
      <w:b/>
      <w:bCs/>
      <w:kern w:val="44"/>
      <w:sz w:val="44"/>
      <w:szCs w:val="44"/>
      <w:lang/>
    </w:rPr>
  </w:style>
  <w:style w:type="paragraph" w:styleId="2">
    <w:name w:val="heading 2"/>
    <w:basedOn w:val="a"/>
    <w:next w:val="a"/>
    <w:link w:val="2Char1"/>
    <w:uiPriority w:val="9"/>
    <w:qFormat/>
    <w:pPr>
      <w:keepNext/>
      <w:keepLines/>
      <w:spacing w:before="260" w:after="260" w:line="408" w:lineRule="auto"/>
      <w:outlineLvl w:val="1"/>
    </w:pPr>
    <w:rPr>
      <w:rFonts w:ascii="Cambria" w:hAnsi="Cambria"/>
      <w:b/>
      <w:bCs/>
      <w:kern w:val="0"/>
      <w:sz w:val="32"/>
      <w:szCs w:val="32"/>
      <w:lang/>
    </w:rPr>
  </w:style>
  <w:style w:type="paragraph" w:styleId="3">
    <w:name w:val="heading 3"/>
    <w:basedOn w:val="a"/>
    <w:next w:val="a"/>
    <w:link w:val="3Char1"/>
    <w:uiPriority w:val="9"/>
    <w:qFormat/>
    <w:pPr>
      <w:keepNext/>
      <w:keepLines/>
      <w:spacing w:before="260" w:after="260" w:line="408" w:lineRule="auto"/>
      <w:outlineLvl w:val="2"/>
    </w:pPr>
    <w:rPr>
      <w:b/>
      <w:bCs/>
      <w:kern w:val="0"/>
      <w:sz w:val="32"/>
      <w:szCs w:val="32"/>
      <w:lang/>
    </w:rPr>
  </w:style>
  <w:style w:type="paragraph" w:styleId="4">
    <w:name w:val="heading 4"/>
    <w:basedOn w:val="a"/>
    <w:next w:val="a"/>
    <w:link w:val="4Char1"/>
    <w:qFormat/>
    <w:pPr>
      <w:keepNext/>
      <w:keepLines/>
      <w:spacing w:before="240" w:after="290" w:line="372" w:lineRule="auto"/>
      <w:outlineLvl w:val="3"/>
    </w:pPr>
    <w:rPr>
      <w:rFonts w:ascii="Cambria" w:hAnsi="Cambria"/>
      <w:b/>
      <w:bCs/>
      <w:kern w:val="0"/>
      <w:sz w:val="24"/>
      <w:szCs w:val="24"/>
      <w:lang/>
    </w:rPr>
  </w:style>
  <w:style w:type="paragraph" w:styleId="5">
    <w:name w:val="heading 5"/>
    <w:basedOn w:val="a"/>
    <w:next w:val="a"/>
    <w:link w:val="5Char1"/>
    <w:uiPriority w:val="9"/>
    <w:semiHidden/>
    <w:unhideWhenUsed/>
    <w:qFormat/>
    <w:pPr>
      <w:keepNext/>
      <w:keepLines/>
      <w:spacing w:before="240" w:after="290" w:line="372" w:lineRule="auto"/>
      <w:outlineLvl w:val="4"/>
    </w:pPr>
    <w:rPr>
      <w:b/>
      <w:bCs/>
      <w:sz w:val="24"/>
      <w:szCs w:val="24"/>
    </w:rPr>
  </w:style>
  <w:style w:type="paragraph" w:styleId="6">
    <w:name w:val="heading 6"/>
    <w:basedOn w:val="a"/>
    <w:next w:val="a"/>
    <w:link w:val="6Char1"/>
    <w:uiPriority w:val="9"/>
    <w:semiHidden/>
    <w:unhideWhenUsed/>
    <w:qFormat/>
    <w:pPr>
      <w:keepNext/>
      <w:keepLines/>
      <w:spacing w:before="240" w:after="64" w:line="312" w:lineRule="auto"/>
      <w:outlineLvl w:val="5"/>
    </w:pPr>
    <w:rPr>
      <w:rFonts w:ascii="Cambria" w:hAnsi="Cambria"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Pr>
      <w:color w:val="0000FF"/>
      <w:u w:val="single"/>
    </w:rPr>
  </w:style>
  <w:style w:type="character" w:styleId="a4">
    <w:name w:val="访问过的超链接"/>
    <w:uiPriority w:val="99"/>
    <w:semiHidden/>
    <w:unhideWhenUsed/>
    <w:rPr>
      <w:color w:val="800080"/>
      <w:u w:val="single"/>
    </w:rPr>
  </w:style>
  <w:style w:type="character" w:customStyle="1" w:styleId="1Char">
    <w:name w:val="标题 1 Char"/>
    <w:link w:val="1"/>
    <w:uiPriority w:val="9"/>
    <w:locked/>
    <w:rPr>
      <w:b/>
      <w:bCs/>
      <w:kern w:val="44"/>
      <w:sz w:val="44"/>
      <w:szCs w:val="44"/>
    </w:rPr>
  </w:style>
  <w:style w:type="character" w:customStyle="1" w:styleId="2Char">
    <w:name w:val="标题 2 Char"/>
    <w:link w:val="2"/>
    <w:uiPriority w:val="9"/>
    <w:locked/>
    <w:rPr>
      <w:rFonts w:ascii="Cambria" w:eastAsia="宋体" w:hAnsi="Cambria" w:cs="Times New Roman" w:hint="default"/>
      <w:b/>
      <w:bCs/>
      <w:kern w:val="2"/>
      <w:sz w:val="32"/>
      <w:szCs w:val="32"/>
    </w:rPr>
  </w:style>
  <w:style w:type="character" w:customStyle="1" w:styleId="3Char">
    <w:name w:val="标题 3 Char"/>
    <w:link w:val="3"/>
    <w:uiPriority w:val="9"/>
    <w:locked/>
    <w:rPr>
      <w:b/>
      <w:bCs/>
      <w:kern w:val="2"/>
      <w:sz w:val="32"/>
      <w:szCs w:val="32"/>
    </w:rPr>
  </w:style>
  <w:style w:type="character" w:customStyle="1" w:styleId="4Char">
    <w:name w:val="标题 4 Char"/>
    <w:link w:val="4"/>
    <w:locked/>
    <w:rPr>
      <w:rFonts w:ascii="Cambria" w:eastAsia="宋体" w:hAnsi="Cambria" w:cs="Times New Roman" w:hint="default"/>
      <w:b/>
      <w:bCs/>
      <w:kern w:val="2"/>
      <w:sz w:val="24"/>
      <w:szCs w:val="24"/>
    </w:rPr>
  </w:style>
  <w:style w:type="character" w:customStyle="1" w:styleId="5Char">
    <w:name w:val="标题 5 Char"/>
    <w:link w:val="5"/>
    <w:uiPriority w:val="9"/>
    <w:semiHidden/>
    <w:locked/>
    <w:rPr>
      <w:b/>
      <w:bCs/>
      <w:kern w:val="2"/>
      <w:sz w:val="24"/>
      <w:szCs w:val="24"/>
    </w:rPr>
  </w:style>
  <w:style w:type="character" w:customStyle="1" w:styleId="6Char">
    <w:name w:val="标题 6 Char"/>
    <w:link w:val="6"/>
    <w:uiPriority w:val="9"/>
    <w:semiHidden/>
    <w:locked/>
    <w:rPr>
      <w:rFonts w:ascii="Cambria" w:eastAsia="宋体" w:hAnsi="Cambria" w:cs="Times New Roman" w:hint="default"/>
      <w:b/>
      <w:bCs/>
      <w:kern w:val="2"/>
      <w:sz w:val="24"/>
      <w:szCs w:val="24"/>
    </w:rPr>
  </w:style>
  <w:style w:type="paragraph" w:styleId="a5">
    <w:name w:val="Normal (Web)"/>
    <w:basedOn w:val="a"/>
    <w:pPr>
      <w:widowControl/>
      <w:spacing w:before="100" w:beforeAutospacing="1" w:after="100" w:afterAutospacing="1"/>
      <w:jc w:val="left"/>
    </w:pPr>
    <w:rPr>
      <w:kern w:val="0"/>
      <w:sz w:val="24"/>
    </w:rPr>
  </w:style>
  <w:style w:type="paragraph" w:styleId="10">
    <w:name w:val="toc 1"/>
    <w:basedOn w:val="a"/>
    <w:next w:val="a"/>
    <w:autoRedefine/>
    <w:uiPriority w:val="39"/>
    <w:semiHidden/>
    <w:unhideWhenUsed/>
    <w:pPr>
      <w:tabs>
        <w:tab w:val="right" w:leader="dot" w:pos="8835"/>
      </w:tabs>
    </w:pPr>
    <w:rPr>
      <w:noProof/>
    </w:rPr>
  </w:style>
  <w:style w:type="paragraph" w:styleId="20">
    <w:name w:val="toc 2"/>
    <w:basedOn w:val="a"/>
    <w:next w:val="a"/>
    <w:autoRedefine/>
    <w:uiPriority w:val="39"/>
    <w:semiHidden/>
    <w:unhideWhenUsed/>
    <w:pPr>
      <w:ind w:leftChars="200" w:left="420"/>
    </w:pPr>
  </w:style>
  <w:style w:type="paragraph" w:styleId="30">
    <w:name w:val="toc 3"/>
    <w:basedOn w:val="a"/>
    <w:next w:val="a"/>
    <w:autoRedefine/>
    <w:uiPriority w:val="39"/>
    <w:semiHidden/>
    <w:unhideWhenUsed/>
    <w:pPr>
      <w:ind w:leftChars="200" w:left="420"/>
    </w:pPr>
  </w:style>
  <w:style w:type="paragraph" w:styleId="a6">
    <w:name w:val="footnote text"/>
    <w:basedOn w:val="a"/>
    <w:link w:val="Char1"/>
    <w:pPr>
      <w:snapToGrid w:val="0"/>
      <w:jc w:val="left"/>
    </w:pPr>
    <w:rPr>
      <w:sz w:val="18"/>
      <w:szCs w:val="18"/>
    </w:rPr>
  </w:style>
  <w:style w:type="character" w:customStyle="1" w:styleId="Char">
    <w:name w:val="脚注文本 Char"/>
    <w:link w:val="a6"/>
    <w:locked/>
    <w:rPr>
      <w:kern w:val="2"/>
      <w:sz w:val="18"/>
      <w:szCs w:val="18"/>
    </w:rPr>
  </w:style>
  <w:style w:type="paragraph" w:styleId="a7">
    <w:name w:val="header"/>
    <w:basedOn w:val="a"/>
    <w:link w:val="Char10"/>
    <w:uiPriority w:val="99"/>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7"/>
    <w:uiPriority w:val="99"/>
    <w:locked/>
    <w:rPr>
      <w:kern w:val="2"/>
      <w:sz w:val="18"/>
      <w:szCs w:val="18"/>
    </w:rPr>
  </w:style>
  <w:style w:type="paragraph" w:styleId="a8">
    <w:name w:val="footer"/>
    <w:basedOn w:val="a"/>
    <w:link w:val="Char11"/>
    <w:uiPriority w:val="99"/>
    <w:pPr>
      <w:tabs>
        <w:tab w:val="center" w:pos="4153"/>
        <w:tab w:val="right" w:pos="8306"/>
      </w:tabs>
      <w:snapToGrid w:val="0"/>
      <w:jc w:val="left"/>
    </w:pPr>
    <w:rPr>
      <w:sz w:val="18"/>
      <w:szCs w:val="18"/>
    </w:rPr>
  </w:style>
  <w:style w:type="character" w:customStyle="1" w:styleId="Char2">
    <w:name w:val="页脚 Char"/>
    <w:link w:val="a8"/>
    <w:uiPriority w:val="99"/>
    <w:locked/>
    <w:rPr>
      <w:kern w:val="2"/>
      <w:sz w:val="18"/>
      <w:szCs w:val="18"/>
    </w:rPr>
  </w:style>
  <w:style w:type="paragraph" w:styleId="a9">
    <w:name w:val="Title"/>
    <w:basedOn w:val="1"/>
    <w:next w:val="2"/>
    <w:link w:val="Char12"/>
    <w:uiPriority w:val="10"/>
    <w:qFormat/>
    <w:pPr>
      <w:keepNext w:val="0"/>
      <w:keepLines w:val="0"/>
      <w:spacing w:before="240" w:after="60" w:line="240" w:lineRule="auto"/>
      <w:jc w:val="center"/>
    </w:pPr>
    <w:rPr>
      <w:rFonts w:ascii="Cambria" w:hAnsi="Cambria"/>
      <w:kern w:val="0"/>
      <w:sz w:val="32"/>
      <w:szCs w:val="32"/>
    </w:rPr>
  </w:style>
  <w:style w:type="character" w:customStyle="1" w:styleId="Char3">
    <w:name w:val="标题 Char"/>
    <w:link w:val="a9"/>
    <w:uiPriority w:val="10"/>
    <w:locked/>
    <w:rPr>
      <w:rFonts w:ascii="Cambria" w:hAnsi="Cambria" w:cs="Times New Roman" w:hint="default"/>
      <w:b/>
      <w:bCs/>
      <w:kern w:val="2"/>
      <w:sz w:val="32"/>
      <w:szCs w:val="32"/>
    </w:rPr>
  </w:style>
  <w:style w:type="paragraph" w:styleId="aa">
    <w:name w:val="Subtitle"/>
    <w:basedOn w:val="2"/>
    <w:next w:val="3"/>
    <w:link w:val="Char13"/>
    <w:qFormat/>
    <w:pPr>
      <w:spacing w:before="240" w:after="60" w:line="312" w:lineRule="auto"/>
      <w:jc w:val="left"/>
    </w:pPr>
    <w:rPr>
      <w:bCs w:val="0"/>
      <w:kern w:val="24"/>
      <w:sz w:val="24"/>
    </w:rPr>
  </w:style>
  <w:style w:type="character" w:customStyle="1" w:styleId="Char4">
    <w:name w:val="副标题 Char"/>
    <w:link w:val="aa"/>
    <w:locked/>
    <w:rPr>
      <w:rFonts w:ascii="Cambria" w:hAnsi="Cambria" w:cs="Times New Roman" w:hint="default"/>
      <w:b/>
      <w:bCs/>
      <w:kern w:val="24"/>
      <w:sz w:val="32"/>
      <w:szCs w:val="32"/>
    </w:rPr>
  </w:style>
  <w:style w:type="paragraph" w:styleId="ab">
    <w:name w:val="Date"/>
    <w:basedOn w:val="a"/>
    <w:next w:val="a"/>
    <w:link w:val="Char14"/>
    <w:rPr>
      <w:sz w:val="32"/>
      <w:lang/>
    </w:rPr>
  </w:style>
  <w:style w:type="character" w:customStyle="1" w:styleId="Char5">
    <w:name w:val="日期 Char"/>
    <w:link w:val="ab"/>
    <w:locked/>
    <w:rPr>
      <w:kern w:val="2"/>
      <w:sz w:val="21"/>
    </w:rPr>
  </w:style>
  <w:style w:type="paragraph" w:styleId="ac">
    <w:name w:val="Document Map"/>
    <w:basedOn w:val="a"/>
    <w:link w:val="Char15"/>
    <w:pPr>
      <w:shd w:val="clear" w:color="auto" w:fill="000080"/>
    </w:pPr>
  </w:style>
  <w:style w:type="character" w:customStyle="1" w:styleId="Char6">
    <w:name w:val="文档结构图 Char"/>
    <w:link w:val="ac"/>
    <w:locked/>
    <w:rPr>
      <w:rFonts w:ascii="宋体" w:eastAsia="宋体" w:hAnsi="宋体" w:hint="eastAsia"/>
      <w:kern w:val="2"/>
      <w:sz w:val="18"/>
      <w:szCs w:val="18"/>
    </w:rPr>
  </w:style>
  <w:style w:type="paragraph" w:styleId="ad">
    <w:name w:val="Balloon Text"/>
    <w:basedOn w:val="a"/>
    <w:link w:val="Char16"/>
    <w:uiPriority w:val="99"/>
    <w:semiHidden/>
    <w:unhideWhenUsed/>
    <w:rPr>
      <w:sz w:val="18"/>
      <w:szCs w:val="18"/>
    </w:rPr>
  </w:style>
  <w:style w:type="character" w:customStyle="1" w:styleId="Char7">
    <w:name w:val="批注框文本 Char"/>
    <w:link w:val="ad"/>
    <w:uiPriority w:val="99"/>
    <w:semiHidden/>
    <w:locked/>
    <w:rPr>
      <w:kern w:val="2"/>
      <w:sz w:val="18"/>
      <w:szCs w:val="18"/>
    </w:rPr>
  </w:style>
  <w:style w:type="paragraph" w:styleId="TOC">
    <w:name w:val="TOC Heading"/>
    <w:basedOn w:val="1"/>
    <w:next w:val="a"/>
    <w:uiPriority w:val="39"/>
    <w:semiHidden/>
    <w:unhideWhenUsed/>
    <w:qFormat/>
    <w:pPr>
      <w:widowControl/>
      <w:spacing w:before="480" w:after="0" w:line="276" w:lineRule="auto"/>
      <w:jc w:val="left"/>
      <w:outlineLvl w:val="9"/>
    </w:pPr>
    <w:rPr>
      <w:rFonts w:ascii="Cambria" w:hAnsi="Cambria"/>
      <w:color w:val="365F91"/>
      <w:kern w:val="0"/>
      <w:sz w:val="24"/>
      <w:szCs w:val="24"/>
      <w:lang w:val="en-US" w:eastAsia="zh-CN"/>
    </w:rPr>
  </w:style>
  <w:style w:type="paragraph" w:customStyle="1" w:styleId="msonormal0">
    <w:name w:val="msonormal"/>
    <w:basedOn w:val="a"/>
    <w:pPr>
      <w:widowControl/>
      <w:spacing w:before="100" w:beforeAutospacing="1" w:after="100" w:afterAutospacing="1"/>
      <w:jc w:val="left"/>
    </w:pPr>
    <w:rPr>
      <w:kern w:val="0"/>
      <w:sz w:val="24"/>
    </w:rPr>
  </w:style>
  <w:style w:type="paragraph" w:customStyle="1" w:styleId="XBRLTitle6">
    <w:name w:val="XBRLTitle6"/>
    <w:basedOn w:val="aa"/>
    <w:next w:val="4"/>
    <w:qFormat/>
    <w:pPr>
      <w:numPr>
        <w:ilvl w:val="5"/>
        <w:numId w:val="2"/>
      </w:numPr>
      <w:spacing w:beforeLines="50" w:after="0" w:line="240" w:lineRule="auto"/>
      <w:outlineLvl w:val="9"/>
    </w:pPr>
    <w:rPr>
      <w:bCs/>
    </w:rPr>
  </w:style>
  <w:style w:type="paragraph" w:customStyle="1" w:styleId="ae">
    <w:name w:val="次标题"/>
    <w:basedOn w:val="3"/>
    <w:next w:val="a"/>
    <w:pPr>
      <w:spacing w:before="120" w:after="120"/>
      <w:jc w:val="left"/>
    </w:pPr>
    <w:rPr>
      <w:sz w:val="21"/>
    </w:rPr>
  </w:style>
  <w:style w:type="paragraph" w:customStyle="1" w:styleId="XBRL6">
    <w:name w:val="XBRL标题6"/>
    <w:basedOn w:val="aa"/>
    <w:next w:val="4"/>
    <w:qFormat/>
    <w:pPr>
      <w:spacing w:beforeLines="50" w:after="0" w:line="240" w:lineRule="auto"/>
      <w:outlineLvl w:val="9"/>
    </w:pPr>
    <w:rPr>
      <w:bCs/>
    </w:rPr>
  </w:style>
  <w:style w:type="paragraph" w:customStyle="1" w:styleId="XBRL2">
    <w:name w:val="XBRL标题2"/>
    <w:basedOn w:val="aa"/>
    <w:next w:val="4"/>
    <w:qFormat/>
    <w:pPr>
      <w:spacing w:beforeLines="50" w:after="0" w:line="240" w:lineRule="auto"/>
    </w:pPr>
    <w:rPr>
      <w:bCs/>
    </w:rPr>
  </w:style>
  <w:style w:type="paragraph" w:customStyle="1" w:styleId="XBRL3">
    <w:name w:val="XBRL标题3"/>
    <w:basedOn w:val="aa"/>
    <w:next w:val="4"/>
    <w:qFormat/>
    <w:pPr>
      <w:spacing w:beforeLines="50" w:after="0" w:line="240" w:lineRule="auto"/>
      <w:outlineLvl w:val="9"/>
    </w:pPr>
    <w:rPr>
      <w:bCs/>
    </w:rPr>
  </w:style>
  <w:style w:type="paragraph" w:customStyle="1" w:styleId="XBRLTitle1">
    <w:name w:val="XBRLTitle1"/>
    <w:basedOn w:val="1"/>
    <w:next w:val="2"/>
    <w:qFormat/>
    <w:pPr>
      <w:keepNext w:val="0"/>
      <w:keepLines w:val="0"/>
      <w:numPr>
        <w:numId w:val="2"/>
      </w:numPr>
      <w:spacing w:beforeLines="50" w:after="0" w:line="240" w:lineRule="auto"/>
      <w:jc w:val="left"/>
    </w:pPr>
    <w:rPr>
      <w:rFonts w:hAnsi="Cambria"/>
      <w:sz w:val="24"/>
      <w:szCs w:val="32"/>
    </w:rPr>
  </w:style>
  <w:style w:type="paragraph" w:customStyle="1" w:styleId="XBRLTitle2">
    <w:name w:val="XBRLTitle2"/>
    <w:basedOn w:val="aa"/>
    <w:next w:val="4"/>
    <w:qFormat/>
    <w:pPr>
      <w:keepNext w:val="0"/>
      <w:keepLines w:val="0"/>
      <w:numPr>
        <w:ilvl w:val="1"/>
        <w:numId w:val="2"/>
      </w:numPr>
      <w:spacing w:beforeLines="50" w:after="0" w:line="240" w:lineRule="auto"/>
    </w:pPr>
    <w:rPr>
      <w:rFonts w:ascii="宋体"/>
      <w:bCs/>
    </w:rPr>
  </w:style>
  <w:style w:type="paragraph" w:customStyle="1" w:styleId="XBRLTitle5">
    <w:name w:val="XBRLTitle5"/>
    <w:basedOn w:val="aa"/>
    <w:next w:val="4"/>
    <w:qFormat/>
    <w:pPr>
      <w:numPr>
        <w:ilvl w:val="4"/>
        <w:numId w:val="2"/>
      </w:numPr>
      <w:spacing w:beforeLines="50" w:after="0" w:line="240" w:lineRule="auto"/>
      <w:outlineLvl w:val="9"/>
    </w:pPr>
    <w:rPr>
      <w:bCs/>
    </w:rPr>
  </w:style>
  <w:style w:type="paragraph" w:customStyle="1" w:styleId="Char8">
    <w:name w:val="Char"/>
    <w:basedOn w:val="a"/>
  </w:style>
  <w:style w:type="paragraph" w:customStyle="1" w:styleId="CharCharCharCharCharChar1CharCharChar">
    <w:name w:val="Char Char Char Char Char Char1 Char Char Char"/>
    <w:basedOn w:val="a"/>
    <w:pPr>
      <w:autoSpaceDE w:val="0"/>
      <w:autoSpaceDN w:val="0"/>
      <w:adjustRightInd w:val="0"/>
      <w:jc w:val="left"/>
    </w:pPr>
  </w:style>
  <w:style w:type="paragraph" w:customStyle="1" w:styleId="XBRL1">
    <w:name w:val="XBRL标题1"/>
    <w:basedOn w:val="1"/>
    <w:next w:val="2"/>
    <w:qFormat/>
    <w:pPr>
      <w:spacing w:beforeLines="50" w:after="0" w:line="240" w:lineRule="auto"/>
      <w:jc w:val="center"/>
    </w:pPr>
    <w:rPr>
      <w:rFonts w:ascii="Cambria" w:hAnsi="Cambria"/>
      <w:sz w:val="24"/>
    </w:rPr>
  </w:style>
  <w:style w:type="paragraph" w:customStyle="1" w:styleId="XBRL5">
    <w:name w:val="XBRL标题5"/>
    <w:basedOn w:val="aa"/>
    <w:next w:val="4"/>
    <w:qFormat/>
    <w:pPr>
      <w:spacing w:beforeLines="50" w:after="0" w:line="240" w:lineRule="auto"/>
      <w:outlineLvl w:val="9"/>
    </w:pPr>
    <w:rPr>
      <w:bCs/>
    </w:rPr>
  </w:style>
  <w:style w:type="paragraph" w:customStyle="1" w:styleId="XBRL4">
    <w:name w:val="XBRL标题4"/>
    <w:basedOn w:val="aa"/>
    <w:next w:val="4"/>
    <w:qFormat/>
    <w:pPr>
      <w:spacing w:beforeLines="50" w:after="0" w:line="240" w:lineRule="auto"/>
      <w:outlineLvl w:val="9"/>
    </w:pPr>
    <w:rPr>
      <w:bCs/>
    </w:rPr>
  </w:style>
  <w:style w:type="paragraph" w:customStyle="1" w:styleId="XBRLTitle4">
    <w:name w:val="XBRLTitle4"/>
    <w:basedOn w:val="aa"/>
    <w:next w:val="4"/>
    <w:qFormat/>
    <w:pPr>
      <w:numPr>
        <w:ilvl w:val="3"/>
        <w:numId w:val="2"/>
      </w:numPr>
      <w:spacing w:beforeLines="50" w:after="0" w:line="240" w:lineRule="auto"/>
      <w:outlineLvl w:val="9"/>
    </w:pPr>
    <w:rPr>
      <w:bCs/>
    </w:rPr>
  </w:style>
  <w:style w:type="paragraph" w:customStyle="1" w:styleId="xl33">
    <w:name w:val="xl33"/>
    <w:basedOn w:val="a"/>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BRLTitle3">
    <w:name w:val="XBRLTitle3"/>
    <w:basedOn w:val="aa"/>
    <w:next w:val="4"/>
    <w:autoRedefine/>
    <w:qFormat/>
    <w:pPr>
      <w:keepNext w:val="0"/>
      <w:keepLines w:val="0"/>
      <w:numPr>
        <w:ilvl w:val="2"/>
        <w:numId w:val="2"/>
      </w:numPr>
      <w:spacing w:beforeLines="50" w:after="0" w:line="360" w:lineRule="auto"/>
      <w:ind w:left="0" w:firstLine="0"/>
      <w:outlineLvl w:val="9"/>
    </w:pPr>
    <w:rPr>
      <w:rFonts w:ascii="宋体"/>
      <w:bCs/>
    </w:rPr>
  </w:style>
  <w:style w:type="paragraph" w:customStyle="1" w:styleId="Default">
    <w:name w:val="Default"/>
    <w:basedOn w:val="a"/>
    <w:pPr>
      <w:autoSpaceDE w:val="0"/>
      <w:autoSpaceDN w:val="0"/>
      <w:adjustRightInd w:val="0"/>
      <w:jc w:val="left"/>
    </w:pPr>
    <w:rPr>
      <w:rFonts w:ascii="仿宋" w:eastAsia="仿宋" w:hAnsi="仿宋"/>
      <w:color w:val="000000"/>
      <w:kern w:val="0"/>
      <w:sz w:val="24"/>
      <w:szCs w:val="24"/>
    </w:rPr>
  </w:style>
  <w:style w:type="character" w:styleId="af">
    <w:name w:val="footnote reference"/>
    <w:rPr>
      <w:vertAlign w:val="superscript"/>
    </w:rPr>
  </w:style>
  <w:style w:type="character" w:customStyle="1" w:styleId="11">
    <w:name w:val="标题 1 字符"/>
    <w:link w:val="1"/>
    <w:uiPriority w:val="9"/>
    <w:locked/>
    <w:rPr>
      <w:b/>
      <w:bCs/>
      <w:kern w:val="44"/>
      <w:sz w:val="44"/>
      <w:szCs w:val="44"/>
    </w:rPr>
  </w:style>
  <w:style w:type="character" w:customStyle="1" w:styleId="21">
    <w:name w:val="标题 2 字符"/>
    <w:link w:val="2"/>
    <w:uiPriority w:val="9"/>
    <w:locked/>
    <w:rPr>
      <w:rFonts w:ascii="Cambria" w:eastAsia="宋体" w:hAnsi="Cambria" w:cs="Times New Roman" w:hint="default"/>
      <w:b/>
      <w:bCs/>
      <w:kern w:val="2"/>
      <w:sz w:val="32"/>
      <w:szCs w:val="32"/>
    </w:rPr>
  </w:style>
  <w:style w:type="character" w:customStyle="1" w:styleId="31">
    <w:name w:val="标题 3 字符"/>
    <w:link w:val="3"/>
    <w:uiPriority w:val="9"/>
    <w:locked/>
    <w:rPr>
      <w:b/>
      <w:bCs/>
      <w:kern w:val="2"/>
      <w:sz w:val="32"/>
      <w:szCs w:val="32"/>
    </w:rPr>
  </w:style>
  <w:style w:type="character" w:customStyle="1" w:styleId="40">
    <w:name w:val="标题 4 字符"/>
    <w:link w:val="4"/>
    <w:locked/>
    <w:rPr>
      <w:rFonts w:ascii="Cambria" w:eastAsia="宋体" w:hAnsi="Cambria" w:cs="Times New Roman" w:hint="default"/>
      <w:b/>
      <w:bCs/>
      <w:kern w:val="2"/>
      <w:sz w:val="24"/>
      <w:szCs w:val="24"/>
    </w:rPr>
  </w:style>
  <w:style w:type="character" w:customStyle="1" w:styleId="af0">
    <w:name w:val="脚注文本 字符"/>
    <w:link w:val="a6"/>
    <w:locked/>
    <w:rPr>
      <w:kern w:val="2"/>
      <w:sz w:val="18"/>
      <w:szCs w:val="18"/>
    </w:rPr>
  </w:style>
  <w:style w:type="character" w:customStyle="1" w:styleId="af1">
    <w:name w:val="页眉 字符"/>
    <w:link w:val="a7"/>
    <w:locked/>
    <w:rPr>
      <w:kern w:val="2"/>
      <w:sz w:val="18"/>
      <w:szCs w:val="18"/>
    </w:rPr>
  </w:style>
  <w:style w:type="character" w:customStyle="1" w:styleId="af2">
    <w:name w:val="页脚 字符"/>
    <w:link w:val="a8"/>
    <w:uiPriority w:val="99"/>
    <w:locked/>
    <w:rPr>
      <w:kern w:val="2"/>
      <w:sz w:val="18"/>
      <w:szCs w:val="18"/>
    </w:rPr>
  </w:style>
  <w:style w:type="character" w:customStyle="1" w:styleId="af3">
    <w:name w:val="标题 字符"/>
    <w:link w:val="a9"/>
    <w:uiPriority w:val="10"/>
    <w:locked/>
    <w:rPr>
      <w:rFonts w:ascii="Cambria" w:eastAsia="宋体" w:hAnsi="Cambria" w:cs="Times New Roman" w:hint="default"/>
      <w:b/>
      <w:bCs/>
      <w:kern w:val="2"/>
      <w:sz w:val="32"/>
      <w:szCs w:val="32"/>
    </w:rPr>
  </w:style>
  <w:style w:type="character" w:customStyle="1" w:styleId="af4">
    <w:name w:val="副标题 字符"/>
    <w:link w:val="aa"/>
    <w:locked/>
    <w:rPr>
      <w:rFonts w:ascii="Calibri" w:eastAsia="宋体" w:hAnsi="Calibri" w:cs="Times New Roman" w:hint="default"/>
      <w:b/>
      <w:bCs/>
      <w:kern w:val="24"/>
      <w:sz w:val="32"/>
      <w:szCs w:val="32"/>
    </w:rPr>
  </w:style>
  <w:style w:type="character" w:customStyle="1" w:styleId="af5">
    <w:name w:val="日期 字符"/>
    <w:link w:val="ab"/>
    <w:locked/>
    <w:rPr>
      <w:kern w:val="2"/>
      <w:sz w:val="21"/>
    </w:rPr>
  </w:style>
  <w:style w:type="character" w:customStyle="1" w:styleId="af6">
    <w:name w:val="文档结构图 字符"/>
    <w:link w:val="ac"/>
    <w:locked/>
    <w:rPr>
      <w:rFonts w:ascii="Microsoft YaHei UI" w:eastAsia="Microsoft YaHei UI" w:hAnsi="Microsoft YaHei UI" w:hint="eastAsia"/>
      <w:kern w:val="2"/>
      <w:sz w:val="18"/>
      <w:szCs w:val="18"/>
    </w:rPr>
  </w:style>
  <w:style w:type="character" w:customStyle="1" w:styleId="af7">
    <w:name w:val="批注框文本 字符"/>
    <w:link w:val="ad"/>
    <w:uiPriority w:val="99"/>
    <w:semiHidden/>
    <w:locked/>
    <w:rPr>
      <w:kern w:val="2"/>
      <w:sz w:val="18"/>
      <w:szCs w:val="18"/>
    </w:rPr>
  </w:style>
  <w:style w:type="character" w:customStyle="1" w:styleId="1Char1">
    <w:name w:val="标题 1 Char1"/>
    <w:link w:val="1"/>
    <w:uiPriority w:val="9"/>
    <w:locked/>
    <w:rPr>
      <w:b/>
      <w:bCs/>
      <w:kern w:val="44"/>
      <w:sz w:val="44"/>
      <w:szCs w:val="44"/>
    </w:rPr>
  </w:style>
  <w:style w:type="character" w:customStyle="1" w:styleId="2Char1">
    <w:name w:val="标题 2 Char1"/>
    <w:link w:val="2"/>
    <w:uiPriority w:val="9"/>
    <w:locked/>
    <w:rPr>
      <w:rFonts w:ascii="Cambria" w:eastAsia="宋体" w:hAnsi="Cambria" w:cs="宋体" w:hint="default"/>
      <w:b/>
      <w:bCs/>
      <w:sz w:val="32"/>
      <w:szCs w:val="32"/>
    </w:rPr>
  </w:style>
  <w:style w:type="character" w:customStyle="1" w:styleId="3Char1">
    <w:name w:val="标题 3 Char1"/>
    <w:link w:val="3"/>
    <w:uiPriority w:val="9"/>
    <w:locked/>
    <w:rPr>
      <w:b/>
      <w:bCs/>
      <w:sz w:val="32"/>
      <w:szCs w:val="32"/>
    </w:rPr>
  </w:style>
  <w:style w:type="character" w:customStyle="1" w:styleId="4Char1">
    <w:name w:val="标题 4 Char1"/>
    <w:link w:val="4"/>
    <w:semiHidden/>
    <w:locked/>
    <w:rPr>
      <w:rFonts w:ascii="Cambria" w:eastAsia="宋体" w:hAnsi="Cambria" w:cs="宋体" w:hint="default"/>
      <w:b/>
      <w:bCs/>
      <w:sz w:val="24"/>
      <w:szCs w:val="24"/>
    </w:rPr>
  </w:style>
  <w:style w:type="character" w:customStyle="1" w:styleId="Char1">
    <w:name w:val="脚注文本 Char1"/>
    <w:link w:val="a6"/>
    <w:locked/>
    <w:rPr>
      <w:kern w:val="2"/>
      <w:sz w:val="18"/>
      <w:szCs w:val="18"/>
    </w:rPr>
  </w:style>
  <w:style w:type="character" w:customStyle="1" w:styleId="Char10">
    <w:name w:val="页眉 Char1"/>
    <w:link w:val="a7"/>
    <w:locked/>
    <w:rPr>
      <w:kern w:val="2"/>
      <w:sz w:val="18"/>
      <w:szCs w:val="18"/>
    </w:rPr>
  </w:style>
  <w:style w:type="character" w:customStyle="1" w:styleId="Char11">
    <w:name w:val="页脚 Char1"/>
    <w:link w:val="a8"/>
    <w:uiPriority w:val="99"/>
    <w:locked/>
    <w:rPr>
      <w:kern w:val="2"/>
      <w:sz w:val="18"/>
      <w:szCs w:val="18"/>
    </w:rPr>
  </w:style>
  <w:style w:type="character" w:customStyle="1" w:styleId="Char12">
    <w:name w:val="标题 Char1"/>
    <w:link w:val="a9"/>
    <w:uiPriority w:val="10"/>
    <w:locked/>
    <w:rPr>
      <w:rFonts w:ascii="Cambria" w:hAnsi="Cambria" w:cs="宋体" w:hint="default"/>
      <w:b/>
      <w:bCs/>
      <w:sz w:val="32"/>
      <w:szCs w:val="32"/>
    </w:rPr>
  </w:style>
  <w:style w:type="character" w:customStyle="1" w:styleId="Char13">
    <w:name w:val="副标题 Char1"/>
    <w:link w:val="aa"/>
    <w:locked/>
    <w:rPr>
      <w:rFonts w:ascii="Cambria" w:eastAsia="宋体" w:hAnsi="Cambria" w:cs="宋体" w:hint="default"/>
      <w:b/>
      <w:bCs w:val="0"/>
      <w:kern w:val="24"/>
      <w:sz w:val="24"/>
      <w:szCs w:val="32"/>
    </w:rPr>
  </w:style>
  <w:style w:type="character" w:customStyle="1" w:styleId="Char14">
    <w:name w:val="日期 Char1"/>
    <w:link w:val="ab"/>
    <w:locked/>
    <w:rPr>
      <w:rFonts w:ascii="宋体" w:eastAsia="宋体" w:hAnsi="宋体" w:hint="eastAsia"/>
      <w:kern w:val="2"/>
      <w:sz w:val="32"/>
    </w:rPr>
  </w:style>
  <w:style w:type="character" w:customStyle="1" w:styleId="Char15">
    <w:name w:val="文档结构图 Char1"/>
    <w:link w:val="ac"/>
    <w:locked/>
    <w:rPr>
      <w:rFonts w:ascii="宋体" w:eastAsia="宋体" w:hAnsi="宋体" w:hint="eastAsia"/>
      <w:kern w:val="2"/>
      <w:sz w:val="18"/>
      <w:szCs w:val="18"/>
    </w:rPr>
  </w:style>
  <w:style w:type="character" w:customStyle="1" w:styleId="Char16">
    <w:name w:val="批注框文本 Char1"/>
    <w:link w:val="ad"/>
    <w:uiPriority w:val="99"/>
    <w:semiHidden/>
    <w:locked/>
    <w:rPr>
      <w:kern w:val="2"/>
      <w:sz w:val="18"/>
      <w:szCs w:val="18"/>
    </w:rPr>
  </w:style>
  <w:style w:type="character" w:customStyle="1" w:styleId="5Char1">
    <w:name w:val="标题 5 Char1"/>
    <w:link w:val="5"/>
    <w:uiPriority w:val="9"/>
    <w:semiHidden/>
    <w:locked/>
    <w:rPr>
      <w:b/>
      <w:bCs/>
      <w:kern w:val="2"/>
      <w:sz w:val="24"/>
      <w:szCs w:val="24"/>
    </w:rPr>
  </w:style>
  <w:style w:type="character" w:customStyle="1" w:styleId="6Char1">
    <w:name w:val="标题 6 Char1"/>
    <w:link w:val="6"/>
    <w:uiPriority w:val="9"/>
    <w:semiHidden/>
    <w:locked/>
    <w:rPr>
      <w:rFonts w:ascii="Cambria" w:eastAsia="宋体" w:hAnsi="Cambria" w:cs="Times New Roman" w:hint="default"/>
      <w:b/>
      <w:bCs/>
      <w:kern w:val="2"/>
      <w:sz w:val="24"/>
      <w:szCs w:val="24"/>
    </w:rPr>
  </w:style>
  <w:style w:type="character" w:customStyle="1" w:styleId="12">
    <w:name w:val="页眉 字符1"/>
    <w:locked/>
    <w:rPr>
      <w:kern w:val="2"/>
      <w:sz w:val="18"/>
      <w:szCs w:val="18"/>
    </w:rPr>
  </w:style>
  <w:style w:type="table" w:styleId="af8">
    <w:name w:val="Table Grid"/>
    <w:basedOn w:val="a1"/>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removednode">
    <w:name w:val="removednode"/>
    <w:basedOn w:val="a"/>
    <w:pPr>
      <w:widowControl/>
      <w:spacing w:before="100" w:beforeAutospacing="1" w:after="100" w:afterAutospacing="1"/>
      <w:jc w:val="left"/>
    </w:pPr>
    <w:rPr>
      <w:kern w:val="0"/>
      <w:sz w:val="24"/>
    </w:rPr>
  </w:style>
</w:styles>
</file>

<file path=word/webSettings.xml><?xml version="1.0" encoding="utf-8"?>
<w:webSettings xmlns:r="http://schemas.openxmlformats.org/officeDocument/2006/relationships" xmlns:w="http://schemas.openxmlformats.org/wordprocessingml/2006/main">
  <w:divs>
    <w:div w:id="24641598">
      <w:marLeft w:val="0"/>
      <w:marRight w:val="0"/>
      <w:marTop w:val="0"/>
      <w:marBottom w:val="0"/>
      <w:divBdr>
        <w:top w:val="none" w:sz="0" w:space="0" w:color="auto"/>
        <w:left w:val="none" w:sz="0" w:space="0" w:color="auto"/>
        <w:bottom w:val="none" w:sz="0" w:space="0" w:color="auto"/>
        <w:right w:val="none" w:sz="0" w:space="0" w:color="auto"/>
      </w:divBdr>
    </w:div>
    <w:div w:id="204290882">
      <w:marLeft w:val="0"/>
      <w:marRight w:val="0"/>
      <w:marTop w:val="0"/>
      <w:marBottom w:val="0"/>
      <w:divBdr>
        <w:top w:val="none" w:sz="0" w:space="0" w:color="auto"/>
        <w:left w:val="none" w:sz="0" w:space="0" w:color="auto"/>
        <w:bottom w:val="none" w:sz="0" w:space="0" w:color="auto"/>
        <w:right w:val="none" w:sz="0" w:space="0" w:color="auto"/>
      </w:divBdr>
      <w:divsChild>
        <w:div w:id="1836067890">
          <w:marLeft w:val="0"/>
          <w:marRight w:val="0"/>
          <w:marTop w:val="0"/>
          <w:marBottom w:val="0"/>
          <w:divBdr>
            <w:top w:val="none" w:sz="0" w:space="0" w:color="auto"/>
            <w:left w:val="none" w:sz="0" w:space="0" w:color="auto"/>
            <w:bottom w:val="none" w:sz="0" w:space="0" w:color="auto"/>
            <w:right w:val="none" w:sz="0" w:space="0" w:color="auto"/>
          </w:divBdr>
          <w:divsChild>
            <w:div w:id="1365204572">
              <w:marLeft w:val="0"/>
              <w:marRight w:val="0"/>
              <w:marTop w:val="0"/>
              <w:marBottom w:val="0"/>
              <w:divBdr>
                <w:top w:val="none" w:sz="0" w:space="0" w:color="auto"/>
                <w:left w:val="none" w:sz="0" w:space="0" w:color="auto"/>
                <w:bottom w:val="none" w:sz="0" w:space="0" w:color="auto"/>
                <w:right w:val="none" w:sz="0" w:space="0" w:color="auto"/>
              </w:divBdr>
            </w:div>
            <w:div w:id="167005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067354">
      <w:marLeft w:val="0"/>
      <w:marRight w:val="0"/>
      <w:marTop w:val="0"/>
      <w:marBottom w:val="0"/>
      <w:divBdr>
        <w:top w:val="none" w:sz="0" w:space="0" w:color="auto"/>
        <w:left w:val="none" w:sz="0" w:space="0" w:color="auto"/>
        <w:bottom w:val="none" w:sz="0" w:space="0" w:color="auto"/>
        <w:right w:val="none" w:sz="0" w:space="0" w:color="auto"/>
      </w:divBdr>
    </w:div>
    <w:div w:id="1838615458">
      <w:marLeft w:val="0"/>
      <w:marRight w:val="0"/>
      <w:marTop w:val="0"/>
      <w:marBottom w:val="0"/>
      <w:divBdr>
        <w:top w:val="none" w:sz="0" w:space="0" w:color="auto"/>
        <w:left w:val="none" w:sz="0" w:space="0" w:color="auto"/>
        <w:bottom w:val="none" w:sz="0" w:space="0" w:color="auto"/>
        <w:right w:val="none" w:sz="0" w:space="0" w:color="auto"/>
      </w:divBdr>
      <w:divsChild>
        <w:div w:id="1547109526">
          <w:marLeft w:val="0"/>
          <w:marRight w:val="0"/>
          <w:marTop w:val="0"/>
          <w:marBottom w:val="0"/>
          <w:divBdr>
            <w:top w:val="none" w:sz="0" w:space="0" w:color="auto"/>
            <w:left w:val="none" w:sz="0" w:space="0" w:color="auto"/>
            <w:bottom w:val="none" w:sz="0" w:space="0" w:color="auto"/>
            <w:right w:val="none" w:sz="0" w:space="0" w:color="auto"/>
          </w:divBdr>
          <w:divsChild>
            <w:div w:id="977566884">
              <w:marLeft w:val="0"/>
              <w:marRight w:val="0"/>
              <w:marTop w:val="0"/>
              <w:marBottom w:val="0"/>
              <w:divBdr>
                <w:top w:val="none" w:sz="0" w:space="0" w:color="auto"/>
                <w:left w:val="none" w:sz="0" w:space="0" w:color="auto"/>
                <w:bottom w:val="none" w:sz="0" w:space="0" w:color="auto"/>
                <w:right w:val="none" w:sz="0" w:space="0" w:color="auto"/>
              </w:divBdr>
            </w:div>
            <w:div w:id="1162895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656196">
      <w:marLeft w:val="0"/>
      <w:marRight w:val="0"/>
      <w:marTop w:val="0"/>
      <w:marBottom w:val="0"/>
      <w:divBdr>
        <w:top w:val="none" w:sz="0" w:space="0" w:color="auto"/>
        <w:left w:val="none" w:sz="0" w:space="0" w:color="auto"/>
        <w:bottom w:val="none" w:sz="0" w:space="0" w:color="auto"/>
        <w:right w:val="none" w:sz="0" w:space="0" w:color="auto"/>
      </w:divBdr>
    </w:div>
    <w:div w:id="2026587047">
      <w:marLeft w:val="0"/>
      <w:marRight w:val="0"/>
      <w:marTop w:val="0"/>
      <w:marBottom w:val="0"/>
      <w:divBdr>
        <w:top w:val="none" w:sz="0" w:space="0" w:color="auto"/>
        <w:left w:val="none" w:sz="0" w:space="0" w:color="auto"/>
        <w:bottom w:val="none" w:sz="0" w:space="0" w:color="auto"/>
        <w:right w:val="none" w:sz="0" w:space="0" w:color="auto"/>
      </w:divBdr>
      <w:divsChild>
        <w:div w:id="828788788">
          <w:marLeft w:val="0"/>
          <w:marRight w:val="0"/>
          <w:marTop w:val="0"/>
          <w:marBottom w:val="0"/>
          <w:divBdr>
            <w:top w:val="none" w:sz="0" w:space="0" w:color="auto"/>
            <w:left w:val="none" w:sz="0" w:space="0" w:color="auto"/>
            <w:bottom w:val="none" w:sz="0" w:space="0" w:color="auto"/>
            <w:right w:val="none" w:sz="0" w:space="0" w:color="auto"/>
          </w:divBdr>
        </w:div>
        <w:div w:id="1302736700">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relyOnVML/>
  <w:allowPNG/>
  <w:doNotRelyOnCSS/>
  <w:targetScreenSz w:val="1024x768"/>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D17DFB-1A21-49C0-85DC-DF618ED7F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951</Words>
  <Characters>5421</Characters>
  <Application>Microsoft Office Word</Application>
  <DocSecurity>4</DocSecurity>
  <Lines>45</Lines>
  <Paragraphs>12</Paragraphs>
  <ScaleCrop>false</ScaleCrop>
  <Company/>
  <LinksUpToDate>false</LinksUpToDate>
  <CharactersWithSpaces>6360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yss</dc:creator>
  <cp:keywords/>
  <dc:description/>
  <cp:lastModifiedBy>ZHONGM</cp:lastModifiedBy>
  <cp:revision>2</cp:revision>
  <dcterms:created xsi:type="dcterms:W3CDTF">2024-11-06T16:00:00Z</dcterms:created>
  <dcterms:modified xsi:type="dcterms:W3CDTF">2024-11-06T16:00:00Z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2052-9.1.0.5113</vt:lpwstr>
  </property>
</Properties>
</file>