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6F9" w:rsidRDefault="00BC36F9">
      <w:pPr>
        <w:spacing w:line="360" w:lineRule="auto"/>
        <w:jc w:val="center"/>
        <w:rPr>
          <w:rFonts w:ascii="楷体_GB2312" w:eastAsia="楷体_GB2312"/>
          <w:b/>
          <w:sz w:val="44"/>
          <w:szCs w:val="44"/>
        </w:rPr>
      </w:pPr>
      <w:bookmarkStart w:id="0" w:name="_Toc376250735"/>
    </w:p>
    <w:p w:rsidR="00BC36F9" w:rsidRDefault="00BC36F9">
      <w:pPr>
        <w:spacing w:line="360" w:lineRule="auto"/>
        <w:jc w:val="center"/>
        <w:rPr>
          <w:rFonts w:ascii="楷体_GB2312" w:eastAsia="楷体_GB2312"/>
          <w:b/>
          <w:sz w:val="44"/>
          <w:szCs w:val="44"/>
        </w:rPr>
      </w:pPr>
    </w:p>
    <w:p w:rsidR="00BC36F9" w:rsidRDefault="00BC36F9">
      <w:pPr>
        <w:spacing w:line="360" w:lineRule="auto"/>
        <w:jc w:val="center"/>
        <w:rPr>
          <w:rFonts w:ascii="楷体_GB2312" w:eastAsia="楷体_GB2312"/>
          <w:b/>
          <w:sz w:val="44"/>
          <w:szCs w:val="44"/>
        </w:rPr>
      </w:pPr>
    </w:p>
    <w:p w:rsidR="00BC36F9" w:rsidRDefault="0030070B">
      <w:pPr>
        <w:adjustRightInd w:val="0"/>
        <w:snapToGrid w:val="0"/>
        <w:jc w:val="center"/>
        <w:rPr>
          <w:rFonts w:ascii="楷体_GB2312" w:eastAsia="楷体_GB2312"/>
          <w:b/>
          <w:sz w:val="44"/>
          <w:szCs w:val="44"/>
        </w:rPr>
      </w:pPr>
      <w:r>
        <w:rPr>
          <w:rFonts w:ascii="楷体_GB2312" w:eastAsia="楷体_GB2312" w:hint="eastAsia"/>
          <w:b/>
          <w:sz w:val="44"/>
          <w:szCs w:val="44"/>
        </w:rPr>
        <w:t>兴业聚享</w:t>
      </w:r>
      <w:r>
        <w:rPr>
          <w:rFonts w:ascii="楷体_GB2312" w:eastAsia="楷体_GB2312" w:hint="eastAsia"/>
          <w:b/>
          <w:sz w:val="44"/>
          <w:szCs w:val="44"/>
        </w:rPr>
        <w:t>6</w:t>
      </w:r>
      <w:r>
        <w:rPr>
          <w:rFonts w:ascii="楷体_GB2312" w:eastAsia="楷体_GB2312" w:hint="eastAsia"/>
          <w:b/>
          <w:sz w:val="44"/>
          <w:szCs w:val="44"/>
        </w:rPr>
        <w:t>个月持有期混合型证券投资基金</w:t>
      </w:r>
    </w:p>
    <w:p w:rsidR="00BC36F9" w:rsidRDefault="0030070B">
      <w:pPr>
        <w:adjustRightInd w:val="0"/>
        <w:snapToGrid w:val="0"/>
        <w:jc w:val="center"/>
        <w:rPr>
          <w:rFonts w:ascii="楷体_GB2312" w:eastAsia="楷体_GB2312"/>
          <w:b/>
          <w:sz w:val="44"/>
          <w:szCs w:val="44"/>
        </w:rPr>
      </w:pPr>
      <w:r>
        <w:rPr>
          <w:rFonts w:ascii="楷体_GB2312" w:eastAsia="楷体_GB2312" w:hint="eastAsia"/>
          <w:b/>
          <w:sz w:val="44"/>
          <w:szCs w:val="44"/>
        </w:rPr>
        <w:t>基金份额发售公告</w:t>
      </w:r>
    </w:p>
    <w:p w:rsidR="00BC36F9" w:rsidRDefault="00BC36F9">
      <w:pPr>
        <w:adjustRightInd w:val="0"/>
        <w:snapToGrid w:val="0"/>
        <w:jc w:val="center"/>
        <w:rPr>
          <w:rFonts w:ascii="楷体_GB2312" w:eastAsia="楷体_GB2312"/>
          <w:b/>
          <w:sz w:val="44"/>
          <w:szCs w:val="44"/>
        </w:rPr>
      </w:pPr>
    </w:p>
    <w:p w:rsidR="00BC36F9" w:rsidRDefault="00BC36F9">
      <w:pPr>
        <w:spacing w:line="360" w:lineRule="auto"/>
        <w:jc w:val="center"/>
        <w:rPr>
          <w:rFonts w:ascii="楷体_GB2312" w:eastAsia="楷体_GB2312"/>
          <w:b/>
          <w:sz w:val="48"/>
          <w:szCs w:val="48"/>
        </w:rPr>
      </w:pPr>
    </w:p>
    <w:p w:rsidR="00BC36F9" w:rsidRDefault="00BC36F9">
      <w:pPr>
        <w:spacing w:line="360" w:lineRule="auto"/>
        <w:jc w:val="center"/>
        <w:rPr>
          <w:rFonts w:ascii="楷体_GB2312" w:eastAsia="楷体_GB2312"/>
          <w:b/>
          <w:sz w:val="32"/>
          <w:szCs w:val="32"/>
        </w:rPr>
      </w:pPr>
    </w:p>
    <w:p w:rsidR="00BC36F9" w:rsidRDefault="00BC36F9">
      <w:pPr>
        <w:spacing w:before="156" w:after="156" w:line="300" w:lineRule="auto"/>
        <w:rPr>
          <w:rFonts w:ascii="楷体_GB2312" w:eastAsia="楷体_GB2312" w:cs="Arial"/>
          <w:b/>
          <w:sz w:val="24"/>
        </w:rPr>
      </w:pPr>
    </w:p>
    <w:p w:rsidR="00BC36F9" w:rsidRDefault="00BC36F9">
      <w:pPr>
        <w:spacing w:line="300" w:lineRule="auto"/>
        <w:rPr>
          <w:rFonts w:ascii="宋体" w:cs="Arial"/>
          <w:b/>
          <w:bCs/>
          <w:sz w:val="24"/>
        </w:rPr>
      </w:pPr>
    </w:p>
    <w:p w:rsidR="00BC36F9" w:rsidRDefault="00BC36F9">
      <w:pPr>
        <w:spacing w:line="300" w:lineRule="auto"/>
        <w:rPr>
          <w:rFonts w:ascii="宋体" w:cs="Arial"/>
          <w:b/>
          <w:bCs/>
          <w:sz w:val="24"/>
        </w:rPr>
      </w:pPr>
    </w:p>
    <w:p w:rsidR="00BC36F9" w:rsidRDefault="00BC36F9">
      <w:pPr>
        <w:spacing w:line="300" w:lineRule="auto"/>
        <w:jc w:val="center"/>
        <w:rPr>
          <w:rFonts w:ascii="宋体" w:cs="Arial"/>
          <w:b/>
          <w:bCs/>
          <w:sz w:val="24"/>
        </w:rPr>
      </w:pPr>
    </w:p>
    <w:p w:rsidR="00BC36F9" w:rsidRDefault="00BC36F9">
      <w:pPr>
        <w:spacing w:line="300" w:lineRule="auto"/>
        <w:jc w:val="center"/>
        <w:rPr>
          <w:rFonts w:ascii="宋体" w:cs="Arial"/>
          <w:sz w:val="24"/>
        </w:rPr>
      </w:pPr>
    </w:p>
    <w:p w:rsidR="00BC36F9" w:rsidRDefault="00BC36F9">
      <w:pPr>
        <w:spacing w:line="300" w:lineRule="auto"/>
        <w:jc w:val="center"/>
        <w:rPr>
          <w:rFonts w:ascii="楷体_GB2312" w:eastAsia="楷体_GB2312" w:cs="Arial"/>
          <w:b/>
          <w:bCs/>
          <w:sz w:val="24"/>
        </w:rPr>
      </w:pPr>
    </w:p>
    <w:p w:rsidR="00BC36F9" w:rsidRDefault="00BC36F9">
      <w:pPr>
        <w:spacing w:line="300" w:lineRule="auto"/>
        <w:rPr>
          <w:rFonts w:ascii="楷体_GB2312" w:eastAsia="楷体_GB2312" w:cs="Arial"/>
          <w:b/>
          <w:bCs/>
          <w:sz w:val="24"/>
        </w:rPr>
      </w:pPr>
    </w:p>
    <w:p w:rsidR="00BC36F9" w:rsidRDefault="0030070B">
      <w:pPr>
        <w:spacing w:line="360" w:lineRule="auto"/>
        <w:ind w:firstLineChars="600" w:firstLine="1680"/>
        <w:rPr>
          <w:rFonts w:ascii="楷体_GB2312" w:eastAsia="楷体_GB2312"/>
          <w:sz w:val="28"/>
          <w:szCs w:val="28"/>
        </w:rPr>
      </w:pPr>
      <w:r>
        <w:rPr>
          <w:rFonts w:ascii="楷体_GB2312" w:eastAsia="楷体_GB2312" w:hint="eastAsia"/>
          <w:sz w:val="28"/>
          <w:szCs w:val="28"/>
        </w:rPr>
        <w:t>基金管理人</w:t>
      </w:r>
      <w:r>
        <w:rPr>
          <w:rFonts w:ascii="楷体_GB2312" w:eastAsia="楷体_GB2312" w:hint="eastAsia"/>
          <w:sz w:val="28"/>
          <w:szCs w:val="28"/>
        </w:rPr>
        <w:t xml:space="preserve">: </w:t>
      </w:r>
      <w:r>
        <w:rPr>
          <w:rFonts w:ascii="楷体_GB2312" w:eastAsia="楷体_GB2312" w:hint="eastAsia"/>
          <w:color w:val="000000"/>
          <w:sz w:val="28"/>
          <w:szCs w:val="28"/>
        </w:rPr>
        <w:t>兴业基金管理有限公司</w:t>
      </w:r>
    </w:p>
    <w:p w:rsidR="00BC36F9" w:rsidRDefault="0030070B">
      <w:pPr>
        <w:spacing w:line="360" w:lineRule="auto"/>
        <w:ind w:firstLineChars="600" w:firstLine="1680"/>
        <w:rPr>
          <w:rFonts w:ascii="宋体"/>
          <w:b/>
          <w:bCs/>
          <w:sz w:val="28"/>
          <w:szCs w:val="28"/>
        </w:rPr>
      </w:pPr>
      <w:r>
        <w:rPr>
          <w:rFonts w:ascii="楷体_GB2312" w:eastAsia="楷体_GB2312" w:hint="eastAsia"/>
          <w:sz w:val="28"/>
          <w:szCs w:val="28"/>
        </w:rPr>
        <w:t>基金托管人</w:t>
      </w:r>
      <w:r>
        <w:rPr>
          <w:rFonts w:ascii="楷体_GB2312" w:eastAsia="楷体_GB2312" w:hint="eastAsia"/>
          <w:sz w:val="28"/>
          <w:szCs w:val="28"/>
        </w:rPr>
        <w:t>:</w:t>
      </w:r>
      <w:r>
        <w:rPr>
          <w:rFonts w:ascii="楷体_GB2312" w:eastAsia="楷体_GB2312" w:hint="eastAsia"/>
          <w:color w:val="000000"/>
          <w:sz w:val="28"/>
          <w:szCs w:val="28"/>
        </w:rPr>
        <w:t xml:space="preserve"> </w:t>
      </w:r>
      <w:r>
        <w:rPr>
          <w:rFonts w:ascii="楷体_GB2312" w:eastAsia="楷体_GB2312" w:hint="eastAsia"/>
          <w:color w:val="000000"/>
          <w:sz w:val="28"/>
          <w:szCs w:val="28"/>
        </w:rPr>
        <w:t>北京银行股份有限公司</w:t>
      </w:r>
    </w:p>
    <w:p w:rsidR="00BC36F9" w:rsidRDefault="00BC36F9">
      <w:pPr>
        <w:spacing w:line="360" w:lineRule="auto"/>
        <w:ind w:firstLineChars="600" w:firstLine="1680"/>
        <w:rPr>
          <w:rFonts w:ascii="楷体_GB2312" w:eastAsia="楷体_GB2312"/>
          <w:sz w:val="28"/>
          <w:szCs w:val="28"/>
        </w:rPr>
        <w:sectPr w:rsidR="00BC36F9">
          <w:headerReference w:type="default" r:id="rId9"/>
          <w:pgSz w:w="11906" w:h="16838"/>
          <w:pgMar w:top="1440" w:right="1800" w:bottom="1440" w:left="1800" w:header="851" w:footer="992" w:gutter="0"/>
          <w:pgNumType w:start="0"/>
          <w:cols w:space="720"/>
          <w:docGrid w:type="lines" w:linePitch="312"/>
        </w:sectPr>
      </w:pPr>
    </w:p>
    <w:bookmarkEnd w:id="0"/>
    <w:p w:rsidR="00BC36F9" w:rsidRDefault="00BC36F9" w:rsidP="0030070B">
      <w:pPr>
        <w:spacing w:beforeLines="100" w:afterLines="100"/>
        <w:jc w:val="center"/>
        <w:rPr>
          <w:b/>
          <w:sz w:val="24"/>
        </w:rPr>
      </w:pPr>
    </w:p>
    <w:p w:rsidR="00BC36F9" w:rsidRDefault="00BC36F9" w:rsidP="0030070B">
      <w:pPr>
        <w:spacing w:beforeLines="100" w:afterLines="100"/>
        <w:jc w:val="center"/>
        <w:rPr>
          <w:b/>
          <w:sz w:val="24"/>
        </w:rPr>
      </w:pPr>
    </w:p>
    <w:p w:rsidR="00BC36F9" w:rsidRDefault="0030070B">
      <w:pPr>
        <w:widowControl/>
        <w:jc w:val="left"/>
        <w:rPr>
          <w:b/>
          <w:sz w:val="24"/>
        </w:rPr>
      </w:pPr>
      <w:r>
        <w:rPr>
          <w:b/>
          <w:sz w:val="24"/>
        </w:rPr>
        <w:br w:type="page"/>
      </w:r>
    </w:p>
    <w:p w:rsidR="00BC36F9" w:rsidRDefault="00BC36F9" w:rsidP="0030070B">
      <w:pPr>
        <w:spacing w:beforeLines="100" w:afterLines="100"/>
        <w:jc w:val="center"/>
        <w:rPr>
          <w:b/>
          <w:sz w:val="24"/>
        </w:rPr>
        <w:sectPr w:rsidR="00BC36F9">
          <w:footerReference w:type="default" r:id="rId10"/>
          <w:type w:val="continuous"/>
          <w:pgSz w:w="11906" w:h="16838"/>
          <w:pgMar w:top="1440" w:right="1800" w:bottom="1440" w:left="1800" w:header="851" w:footer="992" w:gutter="0"/>
          <w:pgNumType w:start="1"/>
          <w:cols w:space="720"/>
          <w:docGrid w:type="lines" w:linePitch="312"/>
        </w:sectPr>
      </w:pPr>
    </w:p>
    <w:p w:rsidR="00BC36F9" w:rsidRDefault="0030070B" w:rsidP="0030070B">
      <w:pPr>
        <w:spacing w:beforeLines="100" w:afterLines="100"/>
        <w:jc w:val="center"/>
        <w:rPr>
          <w:b/>
          <w:sz w:val="28"/>
          <w:szCs w:val="28"/>
        </w:rPr>
      </w:pPr>
      <w:r>
        <w:rPr>
          <w:b/>
          <w:sz w:val="28"/>
          <w:szCs w:val="28"/>
        </w:rPr>
        <w:lastRenderedPageBreak/>
        <w:t>重要提示</w:t>
      </w:r>
    </w:p>
    <w:p w:rsidR="00BC36F9" w:rsidRDefault="0030070B">
      <w:pPr>
        <w:spacing w:line="360" w:lineRule="auto"/>
        <w:ind w:firstLineChars="200" w:firstLine="480"/>
        <w:rPr>
          <w:rFonts w:ascii="宋体"/>
          <w:color w:val="000000"/>
          <w:kern w:val="0"/>
          <w:sz w:val="24"/>
        </w:rPr>
      </w:pPr>
      <w:r>
        <w:rPr>
          <w:rFonts w:ascii="宋体" w:hint="eastAsia"/>
          <w:color w:val="000000"/>
          <w:kern w:val="0"/>
          <w:sz w:val="24"/>
        </w:rPr>
        <w:t>1</w:t>
      </w:r>
      <w:r>
        <w:rPr>
          <w:rFonts w:ascii="宋体" w:hint="eastAsia"/>
          <w:color w:val="000000"/>
          <w:kern w:val="0"/>
          <w:sz w:val="24"/>
        </w:rPr>
        <w:t>、兴业聚享</w:t>
      </w:r>
      <w:r>
        <w:rPr>
          <w:rFonts w:ascii="宋体" w:hint="eastAsia"/>
          <w:color w:val="000000"/>
          <w:kern w:val="0"/>
          <w:sz w:val="24"/>
        </w:rPr>
        <w:t>6</w:t>
      </w:r>
      <w:r>
        <w:rPr>
          <w:rFonts w:ascii="宋体" w:hint="eastAsia"/>
          <w:color w:val="000000"/>
          <w:kern w:val="0"/>
          <w:sz w:val="24"/>
        </w:rPr>
        <w:t>个月持有期混合型证券投资基金（以下简称“本基金”）的募集已获中国证监会</w:t>
      </w:r>
      <w:r>
        <w:rPr>
          <w:rFonts w:ascii="宋体" w:hAnsi="宋体"/>
          <w:bCs/>
          <w:sz w:val="24"/>
        </w:rPr>
        <w:t>2024</w:t>
      </w:r>
      <w:r>
        <w:rPr>
          <w:rFonts w:ascii="宋体" w:hAnsi="宋体" w:hint="eastAsia"/>
          <w:bCs/>
          <w:sz w:val="24"/>
        </w:rPr>
        <w:t>年</w:t>
      </w:r>
      <w:r>
        <w:rPr>
          <w:rFonts w:ascii="宋体" w:hAnsi="宋体"/>
          <w:bCs/>
          <w:sz w:val="24"/>
        </w:rPr>
        <w:t>6</w:t>
      </w:r>
      <w:r>
        <w:rPr>
          <w:rFonts w:ascii="宋体" w:hAnsi="宋体" w:hint="eastAsia"/>
          <w:bCs/>
          <w:sz w:val="24"/>
        </w:rPr>
        <w:t>月</w:t>
      </w:r>
      <w:r>
        <w:rPr>
          <w:rFonts w:ascii="宋体" w:hAnsi="宋体"/>
          <w:bCs/>
          <w:sz w:val="24"/>
        </w:rPr>
        <w:t>18</w:t>
      </w:r>
      <w:r>
        <w:rPr>
          <w:rFonts w:ascii="宋体" w:hAnsi="宋体" w:hint="eastAsia"/>
          <w:bCs/>
          <w:sz w:val="24"/>
        </w:rPr>
        <w:t>日</w:t>
      </w:r>
      <w:r>
        <w:rPr>
          <w:rFonts w:ascii="宋体" w:hint="eastAsia"/>
          <w:color w:val="000000"/>
          <w:kern w:val="0"/>
          <w:sz w:val="24"/>
        </w:rPr>
        <w:t>证监许可</w:t>
      </w:r>
      <w:r>
        <w:rPr>
          <w:rFonts w:ascii="宋体"/>
          <w:bCs/>
          <w:color w:val="000000"/>
          <w:sz w:val="24"/>
        </w:rPr>
        <w:t>[2024]</w:t>
      </w:r>
      <w:r>
        <w:t xml:space="preserve"> </w:t>
      </w:r>
      <w:r>
        <w:rPr>
          <w:rFonts w:ascii="宋体"/>
          <w:bCs/>
          <w:color w:val="000000"/>
          <w:sz w:val="24"/>
        </w:rPr>
        <w:t>934</w:t>
      </w:r>
      <w:r>
        <w:rPr>
          <w:rFonts w:ascii="宋体" w:hint="eastAsia"/>
          <w:bCs/>
          <w:color w:val="000000"/>
          <w:sz w:val="24"/>
        </w:rPr>
        <w:t>号</w:t>
      </w:r>
      <w:r>
        <w:rPr>
          <w:rFonts w:ascii="宋体" w:hint="eastAsia"/>
          <w:color w:val="000000"/>
          <w:kern w:val="0"/>
          <w:sz w:val="24"/>
        </w:rPr>
        <w:t>文准予募集注册。</w:t>
      </w:r>
      <w:r>
        <w:rPr>
          <w:rFonts w:ascii="宋体"/>
          <w:color w:val="000000"/>
          <w:kern w:val="0"/>
          <w:sz w:val="24"/>
        </w:rPr>
        <w:t>中国证监会对本基金</w:t>
      </w:r>
      <w:r>
        <w:rPr>
          <w:rFonts w:ascii="宋体" w:hint="eastAsia"/>
          <w:color w:val="000000"/>
          <w:kern w:val="0"/>
          <w:sz w:val="24"/>
        </w:rPr>
        <w:t>募集</w:t>
      </w:r>
      <w:r>
        <w:rPr>
          <w:rFonts w:ascii="宋体"/>
          <w:color w:val="000000"/>
          <w:kern w:val="0"/>
          <w:sz w:val="24"/>
        </w:rPr>
        <w:t>的</w:t>
      </w:r>
      <w:r>
        <w:rPr>
          <w:rFonts w:ascii="宋体" w:hint="eastAsia"/>
          <w:color w:val="000000"/>
          <w:kern w:val="0"/>
          <w:sz w:val="24"/>
        </w:rPr>
        <w:t>注册</w:t>
      </w:r>
      <w:r>
        <w:rPr>
          <w:rFonts w:ascii="宋体"/>
          <w:color w:val="000000"/>
          <w:kern w:val="0"/>
          <w:sz w:val="24"/>
        </w:rPr>
        <w:t>并不代表</w:t>
      </w:r>
      <w:r>
        <w:rPr>
          <w:rFonts w:ascii="宋体" w:hint="eastAsia"/>
          <w:color w:val="000000"/>
          <w:kern w:val="0"/>
          <w:sz w:val="24"/>
        </w:rPr>
        <w:t>其</w:t>
      </w:r>
      <w:r>
        <w:rPr>
          <w:rFonts w:ascii="宋体"/>
          <w:color w:val="000000"/>
          <w:kern w:val="0"/>
          <w:sz w:val="24"/>
        </w:rPr>
        <w:t>对本基金的</w:t>
      </w:r>
      <w:r>
        <w:rPr>
          <w:rFonts w:ascii="宋体" w:hint="eastAsia"/>
          <w:color w:val="000000"/>
          <w:kern w:val="0"/>
          <w:sz w:val="24"/>
        </w:rPr>
        <w:t>投资价值</w:t>
      </w:r>
      <w:r>
        <w:rPr>
          <w:rFonts w:ascii="宋体"/>
          <w:color w:val="000000"/>
          <w:kern w:val="0"/>
          <w:sz w:val="24"/>
        </w:rPr>
        <w:t>和</w:t>
      </w:r>
      <w:r>
        <w:rPr>
          <w:rFonts w:ascii="宋体" w:hint="eastAsia"/>
          <w:color w:val="000000"/>
          <w:kern w:val="0"/>
          <w:sz w:val="24"/>
        </w:rPr>
        <w:t>市场前景</w:t>
      </w:r>
      <w:r>
        <w:rPr>
          <w:rFonts w:ascii="宋体"/>
          <w:color w:val="000000"/>
          <w:kern w:val="0"/>
          <w:sz w:val="24"/>
        </w:rPr>
        <w:t>作出实质性判断或保证</w:t>
      </w:r>
      <w:r>
        <w:rPr>
          <w:rFonts w:ascii="宋体" w:hint="eastAsia"/>
          <w:color w:val="000000"/>
          <w:kern w:val="0"/>
          <w:sz w:val="24"/>
        </w:rPr>
        <w:t>，也不表明投资于本基金没有风险。</w:t>
      </w:r>
    </w:p>
    <w:p w:rsidR="00BC36F9" w:rsidRDefault="0030070B">
      <w:pPr>
        <w:spacing w:line="360" w:lineRule="auto"/>
        <w:ind w:firstLineChars="200" w:firstLine="480"/>
        <w:rPr>
          <w:bCs/>
          <w:sz w:val="24"/>
        </w:rPr>
      </w:pPr>
      <w:r>
        <w:rPr>
          <w:rFonts w:ascii="宋体" w:hint="eastAsia"/>
          <w:color w:val="000000"/>
          <w:kern w:val="0"/>
          <w:sz w:val="24"/>
        </w:rPr>
        <w:t>2</w:t>
      </w:r>
      <w:r>
        <w:rPr>
          <w:rFonts w:ascii="宋体" w:hint="eastAsia"/>
          <w:color w:val="000000"/>
          <w:kern w:val="0"/>
          <w:sz w:val="24"/>
        </w:rPr>
        <w:t>、本基金的基金类别是混合型证券投资基金，基金运作方式是契约型开放式，基金存续期限为不定期</w:t>
      </w:r>
      <w:r>
        <w:rPr>
          <w:rFonts w:hint="eastAsia"/>
          <w:bCs/>
          <w:sz w:val="24"/>
        </w:rPr>
        <w:t>。</w:t>
      </w:r>
    </w:p>
    <w:p w:rsidR="00BC36F9" w:rsidRDefault="0030070B">
      <w:pPr>
        <w:spacing w:line="360" w:lineRule="auto"/>
        <w:ind w:firstLineChars="200" w:firstLine="480"/>
        <w:rPr>
          <w:bCs/>
          <w:sz w:val="24"/>
        </w:rPr>
      </w:pPr>
      <w:r>
        <w:rPr>
          <w:rFonts w:hint="eastAsia"/>
          <w:bCs/>
          <w:sz w:val="24"/>
        </w:rPr>
        <w:t>本基金每个开放日开放申购，但投资人每笔认购</w:t>
      </w:r>
      <w:r>
        <w:rPr>
          <w:rFonts w:hint="eastAsia"/>
          <w:bCs/>
          <w:sz w:val="24"/>
        </w:rPr>
        <w:t>/</w:t>
      </w:r>
      <w:r>
        <w:rPr>
          <w:rFonts w:hint="eastAsia"/>
          <w:bCs/>
          <w:sz w:val="24"/>
        </w:rPr>
        <w:t>申购的基金份额需至少持有满</w:t>
      </w:r>
      <w:r>
        <w:rPr>
          <w:rFonts w:hint="eastAsia"/>
          <w:bCs/>
          <w:sz w:val="24"/>
        </w:rPr>
        <w:t>6</w:t>
      </w:r>
      <w:r>
        <w:rPr>
          <w:rFonts w:hint="eastAsia"/>
          <w:bCs/>
          <w:sz w:val="24"/>
        </w:rPr>
        <w:t>个月，基金份额持有人在</w:t>
      </w:r>
      <w:r>
        <w:rPr>
          <w:rFonts w:hint="eastAsia"/>
          <w:bCs/>
          <w:sz w:val="24"/>
        </w:rPr>
        <w:t>6</w:t>
      </w:r>
      <w:r>
        <w:rPr>
          <w:rFonts w:hint="eastAsia"/>
          <w:bCs/>
          <w:sz w:val="24"/>
        </w:rPr>
        <w:t>个月锁定持有期内不能提出赎回及转换转出申请。</w:t>
      </w:r>
    </w:p>
    <w:p w:rsidR="00BC36F9" w:rsidRDefault="0030070B">
      <w:pPr>
        <w:spacing w:line="360" w:lineRule="auto"/>
        <w:ind w:firstLineChars="200" w:firstLine="480"/>
        <w:rPr>
          <w:rFonts w:ascii="宋体"/>
          <w:color w:val="000000"/>
          <w:kern w:val="0"/>
          <w:sz w:val="24"/>
        </w:rPr>
      </w:pPr>
      <w:r>
        <w:rPr>
          <w:rFonts w:ascii="宋体" w:hint="eastAsia"/>
          <w:color w:val="000000"/>
          <w:kern w:val="0"/>
          <w:sz w:val="24"/>
        </w:rPr>
        <w:t>3</w:t>
      </w:r>
      <w:r>
        <w:rPr>
          <w:rFonts w:ascii="宋体" w:hint="eastAsia"/>
          <w:color w:val="000000"/>
          <w:kern w:val="0"/>
          <w:sz w:val="24"/>
        </w:rPr>
        <w:t>、本</w:t>
      </w:r>
      <w:r>
        <w:rPr>
          <w:rFonts w:ascii="宋体" w:hint="eastAsia"/>
          <w:color w:val="000000"/>
          <w:kern w:val="0"/>
          <w:sz w:val="24"/>
        </w:rPr>
        <w:t>基金的基金管理人和登记机构为</w:t>
      </w:r>
      <w:r>
        <w:rPr>
          <w:rFonts w:ascii="宋体"/>
          <w:color w:val="000000"/>
          <w:kern w:val="0"/>
          <w:sz w:val="24"/>
        </w:rPr>
        <w:t>兴业</w:t>
      </w:r>
      <w:r>
        <w:rPr>
          <w:rFonts w:ascii="宋体" w:hint="eastAsia"/>
          <w:color w:val="000000"/>
          <w:kern w:val="0"/>
          <w:sz w:val="24"/>
        </w:rPr>
        <w:t>基金管理有限公司（以下简称“本公司”、“兴业基金”），基金托管人为北京银行股份有限公司。</w:t>
      </w:r>
    </w:p>
    <w:p w:rsidR="00BC36F9" w:rsidRDefault="0030070B">
      <w:pPr>
        <w:spacing w:line="360" w:lineRule="auto"/>
        <w:ind w:firstLine="480"/>
        <w:rPr>
          <w:rFonts w:ascii="宋体"/>
          <w:bCs/>
          <w:color w:val="000000"/>
          <w:sz w:val="24"/>
        </w:rPr>
      </w:pPr>
      <w:r>
        <w:rPr>
          <w:rFonts w:ascii="宋体" w:hint="eastAsia"/>
          <w:color w:val="000000"/>
          <w:kern w:val="0"/>
          <w:sz w:val="24"/>
        </w:rPr>
        <w:t>4</w:t>
      </w:r>
      <w:r>
        <w:rPr>
          <w:rFonts w:ascii="宋体" w:hint="eastAsia"/>
          <w:color w:val="000000"/>
          <w:kern w:val="0"/>
          <w:sz w:val="24"/>
        </w:rPr>
        <w:t>、本基金募集对象包括</w:t>
      </w:r>
      <w:r>
        <w:rPr>
          <w:rFonts w:ascii="宋体" w:hAnsi="宋体"/>
          <w:bCs/>
          <w:sz w:val="24"/>
        </w:rPr>
        <w:t>符合法律法规规定的可投资于证券投资基金的个人投资者、机构投资者、合格境外投资者以及法律法规或中国证监会允许购买证券投资基金的其他投资人。</w:t>
      </w:r>
    </w:p>
    <w:p w:rsidR="00BC36F9" w:rsidRDefault="0030070B">
      <w:pPr>
        <w:spacing w:line="360" w:lineRule="auto"/>
        <w:ind w:firstLineChars="200" w:firstLine="480"/>
        <w:rPr>
          <w:rFonts w:ascii="宋体"/>
          <w:color w:val="000000"/>
          <w:kern w:val="0"/>
          <w:sz w:val="24"/>
        </w:rPr>
      </w:pPr>
      <w:r>
        <w:rPr>
          <w:rFonts w:ascii="宋体" w:hint="eastAsia"/>
          <w:bCs/>
          <w:color w:val="000000"/>
          <w:sz w:val="24"/>
        </w:rPr>
        <w:t>5</w:t>
      </w:r>
      <w:r>
        <w:rPr>
          <w:rFonts w:ascii="宋体" w:hint="eastAsia"/>
          <w:bCs/>
          <w:color w:val="000000"/>
          <w:sz w:val="24"/>
        </w:rPr>
        <w:t>、</w:t>
      </w:r>
      <w:r>
        <w:rPr>
          <w:rFonts w:ascii="宋体"/>
          <w:bCs/>
          <w:color w:val="000000"/>
          <w:sz w:val="24"/>
        </w:rPr>
        <w:t>本基金</w:t>
      </w:r>
      <w:r>
        <w:rPr>
          <w:rFonts w:ascii="宋体" w:hint="eastAsia"/>
          <w:bCs/>
          <w:color w:val="000000"/>
          <w:sz w:val="24"/>
        </w:rPr>
        <w:t>自</w:t>
      </w:r>
      <w:r>
        <w:rPr>
          <w:rFonts w:ascii="宋体"/>
          <w:bCs/>
          <w:color w:val="000000"/>
          <w:sz w:val="24"/>
        </w:rPr>
        <w:t>2024</w:t>
      </w:r>
      <w:r>
        <w:rPr>
          <w:rFonts w:ascii="宋体" w:hint="eastAsia"/>
          <w:bCs/>
          <w:color w:val="000000"/>
          <w:sz w:val="24"/>
        </w:rPr>
        <w:t>年</w:t>
      </w:r>
      <w:r>
        <w:rPr>
          <w:rFonts w:ascii="宋体"/>
          <w:bCs/>
          <w:color w:val="000000"/>
          <w:sz w:val="24"/>
        </w:rPr>
        <w:t>11</w:t>
      </w:r>
      <w:r>
        <w:rPr>
          <w:rFonts w:ascii="宋体" w:hint="eastAsia"/>
          <w:bCs/>
          <w:color w:val="000000"/>
          <w:sz w:val="24"/>
        </w:rPr>
        <w:t>月</w:t>
      </w:r>
      <w:r>
        <w:rPr>
          <w:rFonts w:ascii="宋体"/>
          <w:bCs/>
          <w:color w:val="000000"/>
          <w:sz w:val="24"/>
        </w:rPr>
        <w:t>18</w:t>
      </w:r>
      <w:r>
        <w:rPr>
          <w:rFonts w:ascii="宋体" w:hint="eastAsia"/>
          <w:bCs/>
          <w:color w:val="000000"/>
          <w:sz w:val="24"/>
        </w:rPr>
        <w:t>日至</w:t>
      </w:r>
      <w:r>
        <w:rPr>
          <w:rFonts w:ascii="宋体"/>
          <w:bCs/>
          <w:color w:val="000000"/>
          <w:sz w:val="24"/>
        </w:rPr>
        <w:t>2024</w:t>
      </w:r>
      <w:r>
        <w:rPr>
          <w:rFonts w:ascii="宋体" w:hint="eastAsia"/>
          <w:bCs/>
          <w:color w:val="000000"/>
          <w:sz w:val="24"/>
        </w:rPr>
        <w:t>年</w:t>
      </w:r>
      <w:r>
        <w:rPr>
          <w:rFonts w:ascii="宋体"/>
          <w:bCs/>
          <w:color w:val="000000"/>
          <w:sz w:val="24"/>
        </w:rPr>
        <w:t>12</w:t>
      </w:r>
      <w:r>
        <w:rPr>
          <w:rFonts w:ascii="宋体" w:hint="eastAsia"/>
          <w:bCs/>
          <w:color w:val="000000"/>
          <w:sz w:val="24"/>
        </w:rPr>
        <w:t>月</w:t>
      </w:r>
      <w:r>
        <w:rPr>
          <w:rFonts w:ascii="宋体"/>
          <w:bCs/>
          <w:color w:val="000000"/>
          <w:sz w:val="24"/>
        </w:rPr>
        <w:t>6</w:t>
      </w:r>
      <w:r>
        <w:rPr>
          <w:rFonts w:ascii="宋体" w:hint="eastAsia"/>
          <w:bCs/>
          <w:color w:val="000000"/>
          <w:sz w:val="24"/>
        </w:rPr>
        <w:t>日通过基金管理人指定的销售机构</w:t>
      </w:r>
      <w:r>
        <w:rPr>
          <w:rFonts w:ascii="宋体"/>
          <w:bCs/>
          <w:color w:val="000000"/>
          <w:sz w:val="24"/>
        </w:rPr>
        <w:t>公开发售。本基金的募集期</w:t>
      </w:r>
      <w:r>
        <w:rPr>
          <w:rFonts w:ascii="宋体"/>
          <w:color w:val="000000"/>
          <w:kern w:val="0"/>
          <w:sz w:val="24"/>
        </w:rPr>
        <w:t>限不超过</w:t>
      </w:r>
      <w:r>
        <w:rPr>
          <w:rFonts w:ascii="宋体"/>
          <w:color w:val="000000"/>
          <w:kern w:val="0"/>
          <w:sz w:val="24"/>
        </w:rPr>
        <w:t>3</w:t>
      </w:r>
      <w:r>
        <w:rPr>
          <w:rFonts w:ascii="宋体"/>
          <w:color w:val="000000"/>
          <w:kern w:val="0"/>
          <w:sz w:val="24"/>
        </w:rPr>
        <w:t>个月，自基金份额开始发售之日起计算。</w:t>
      </w:r>
      <w:r>
        <w:rPr>
          <w:rFonts w:ascii="宋体" w:hint="eastAsia"/>
          <w:bCs/>
          <w:color w:val="000000"/>
          <w:sz w:val="24"/>
        </w:rPr>
        <w:t>基金管理人根据认购的情况可适当调整募集时间，并及时公告，但最长不超过法定募集期限。</w:t>
      </w:r>
    </w:p>
    <w:p w:rsidR="00BC36F9" w:rsidRDefault="0030070B">
      <w:pPr>
        <w:spacing w:line="360" w:lineRule="auto"/>
        <w:ind w:firstLineChars="200" w:firstLine="480"/>
        <w:rPr>
          <w:rFonts w:ascii="宋体"/>
          <w:kern w:val="0"/>
          <w:sz w:val="24"/>
        </w:rPr>
      </w:pPr>
      <w:r>
        <w:rPr>
          <w:rFonts w:ascii="宋体" w:hint="eastAsia"/>
          <w:color w:val="000000"/>
          <w:kern w:val="0"/>
          <w:sz w:val="24"/>
        </w:rPr>
        <w:t>6</w:t>
      </w:r>
      <w:r>
        <w:rPr>
          <w:rFonts w:ascii="宋体" w:hint="eastAsia"/>
          <w:color w:val="000000"/>
          <w:kern w:val="0"/>
          <w:sz w:val="24"/>
        </w:rPr>
        <w:t>、本基金通过</w:t>
      </w:r>
      <w:r>
        <w:rPr>
          <w:rFonts w:ascii="宋体" w:hint="eastAsia"/>
          <w:color w:val="000000"/>
          <w:sz w:val="24"/>
        </w:rPr>
        <w:t>兴业</w:t>
      </w:r>
      <w:r>
        <w:rPr>
          <w:rFonts w:ascii="宋体"/>
          <w:color w:val="000000"/>
          <w:sz w:val="24"/>
        </w:rPr>
        <w:t>基金管理有限公司直销</w:t>
      </w:r>
      <w:r>
        <w:rPr>
          <w:rFonts w:ascii="宋体" w:hint="eastAsia"/>
          <w:color w:val="000000"/>
          <w:sz w:val="24"/>
        </w:rPr>
        <w:t>机构及其他销售机构进行公开发售，</w:t>
      </w:r>
      <w:r>
        <w:rPr>
          <w:rFonts w:ascii="宋体" w:hint="eastAsia"/>
          <w:bCs/>
          <w:color w:val="000000"/>
          <w:sz w:val="24"/>
        </w:rPr>
        <w:t>基金管理人可根据情况变更或增减销售机构，并在基金管理人</w:t>
      </w:r>
      <w:r>
        <w:rPr>
          <w:rFonts w:ascii="宋体"/>
          <w:bCs/>
          <w:color w:val="000000"/>
          <w:sz w:val="24"/>
        </w:rPr>
        <w:t>网站公示</w:t>
      </w:r>
      <w:r>
        <w:rPr>
          <w:rFonts w:ascii="宋体" w:hint="eastAsia"/>
          <w:bCs/>
          <w:color w:val="000000"/>
          <w:sz w:val="24"/>
        </w:rPr>
        <w:t>。基金份额发售机构办理本基金开户、认购等业务的网点、日期、时间和程序等事项参照各基金份额发售机构的具体规定。</w:t>
      </w:r>
    </w:p>
    <w:p w:rsidR="00BC36F9" w:rsidRDefault="0030070B">
      <w:pPr>
        <w:spacing w:line="360" w:lineRule="auto"/>
        <w:ind w:firstLineChars="200" w:firstLine="480"/>
        <w:rPr>
          <w:rFonts w:ascii="宋体"/>
          <w:bCs/>
          <w:color w:val="000000"/>
          <w:sz w:val="24"/>
        </w:rPr>
      </w:pPr>
      <w:r>
        <w:rPr>
          <w:rFonts w:ascii="宋体" w:hint="eastAsia"/>
          <w:bCs/>
          <w:color w:val="000000"/>
          <w:sz w:val="24"/>
        </w:rPr>
        <w:t>7</w:t>
      </w:r>
      <w:r>
        <w:rPr>
          <w:rFonts w:ascii="宋体" w:hint="eastAsia"/>
          <w:bCs/>
          <w:color w:val="000000"/>
          <w:sz w:val="24"/>
        </w:rPr>
        <w:t>、</w:t>
      </w:r>
      <w:r>
        <w:rPr>
          <w:rFonts w:ascii="宋体" w:hAnsi="宋体" w:hint="eastAsia"/>
          <w:bCs/>
          <w:sz w:val="24"/>
        </w:rPr>
        <w:t>本基金自基金份额发售之日起</w:t>
      </w:r>
      <w:r>
        <w:rPr>
          <w:rFonts w:ascii="宋体" w:hAnsi="宋体"/>
          <w:bCs/>
          <w:sz w:val="24"/>
        </w:rPr>
        <w:t>3</w:t>
      </w:r>
      <w:r>
        <w:rPr>
          <w:rFonts w:ascii="宋体" w:hAnsi="宋体" w:hint="eastAsia"/>
          <w:bCs/>
          <w:sz w:val="24"/>
        </w:rPr>
        <w:t>个月内，在基金募集份额总额不少于</w:t>
      </w:r>
      <w:r>
        <w:rPr>
          <w:rFonts w:ascii="宋体" w:hAnsi="宋体"/>
          <w:bCs/>
          <w:sz w:val="24"/>
        </w:rPr>
        <w:t>2</w:t>
      </w:r>
      <w:r>
        <w:rPr>
          <w:rFonts w:ascii="宋体" w:hAnsi="宋体" w:hint="eastAsia"/>
          <w:bCs/>
          <w:sz w:val="24"/>
        </w:rPr>
        <w:t>亿份，基金募集金额不少于</w:t>
      </w:r>
      <w:r>
        <w:rPr>
          <w:rFonts w:ascii="宋体" w:hAnsi="宋体"/>
          <w:bCs/>
          <w:sz w:val="24"/>
        </w:rPr>
        <w:t xml:space="preserve">2 </w:t>
      </w:r>
      <w:r>
        <w:rPr>
          <w:rFonts w:ascii="宋体" w:hAnsi="宋体" w:hint="eastAsia"/>
          <w:bCs/>
          <w:sz w:val="24"/>
        </w:rPr>
        <w:t>亿元人民币且基金认购人数不少于</w:t>
      </w:r>
      <w:r>
        <w:rPr>
          <w:rFonts w:ascii="宋体" w:hAnsi="宋体"/>
          <w:bCs/>
          <w:sz w:val="24"/>
        </w:rPr>
        <w:t xml:space="preserve">200 </w:t>
      </w:r>
      <w:r>
        <w:rPr>
          <w:rFonts w:ascii="宋体" w:hAnsi="宋体" w:hint="eastAsia"/>
          <w:bCs/>
          <w:sz w:val="24"/>
        </w:rPr>
        <w:t>人的条件下，基金募集期届满或基金管理人依据法律法规及招</w:t>
      </w:r>
      <w:r>
        <w:rPr>
          <w:rFonts w:ascii="宋体" w:hAnsi="宋体" w:hint="eastAsia"/>
          <w:bCs/>
          <w:sz w:val="24"/>
        </w:rPr>
        <w:t>募说明书可以决定停止基金发售，并在</w:t>
      </w:r>
      <w:r>
        <w:rPr>
          <w:rFonts w:ascii="宋体" w:hAnsi="宋体"/>
          <w:bCs/>
          <w:sz w:val="24"/>
        </w:rPr>
        <w:t>10</w:t>
      </w:r>
      <w:r>
        <w:rPr>
          <w:rFonts w:ascii="宋体" w:hAnsi="宋体" w:hint="eastAsia"/>
          <w:bCs/>
          <w:sz w:val="24"/>
        </w:rPr>
        <w:t>日内聘请法定验资机构验资，自收到验资报告之日起</w:t>
      </w:r>
      <w:r>
        <w:rPr>
          <w:rFonts w:ascii="宋体" w:hAnsi="宋体"/>
          <w:bCs/>
          <w:sz w:val="24"/>
        </w:rPr>
        <w:t xml:space="preserve">10 </w:t>
      </w:r>
      <w:r>
        <w:rPr>
          <w:rFonts w:ascii="宋体" w:hAnsi="宋体" w:hint="eastAsia"/>
          <w:bCs/>
          <w:sz w:val="24"/>
        </w:rPr>
        <w:t>日内，向中国证监会办理基金备案手续。</w:t>
      </w:r>
    </w:p>
    <w:p w:rsidR="00BC36F9" w:rsidRDefault="0030070B">
      <w:pPr>
        <w:spacing w:line="360" w:lineRule="auto"/>
        <w:ind w:firstLineChars="200" w:firstLine="480"/>
        <w:rPr>
          <w:rFonts w:ascii="宋体"/>
          <w:color w:val="000000"/>
          <w:kern w:val="0"/>
          <w:sz w:val="24"/>
        </w:rPr>
      </w:pPr>
      <w:r>
        <w:rPr>
          <w:rFonts w:ascii="宋体" w:hint="eastAsia"/>
          <w:color w:val="000000"/>
          <w:kern w:val="0"/>
          <w:sz w:val="24"/>
        </w:rPr>
        <w:lastRenderedPageBreak/>
        <w:t>投资人欲购买本基金，需开立本公司基金账户。基金募集期内本公司直销机构为投资人办理开立基金账户的手续。投资人的开户和认购申请可同时办理，但若开户无效，认购申请也同时无效。</w:t>
      </w:r>
    </w:p>
    <w:p w:rsidR="00BC36F9" w:rsidRDefault="0030070B">
      <w:pPr>
        <w:spacing w:line="360" w:lineRule="auto"/>
        <w:ind w:firstLineChars="200" w:firstLine="480"/>
        <w:rPr>
          <w:rFonts w:ascii="宋体" w:hAnsi="宋体"/>
          <w:bCs/>
          <w:sz w:val="24"/>
        </w:rPr>
      </w:pPr>
      <w:r>
        <w:rPr>
          <w:rFonts w:ascii="宋体" w:hint="eastAsia"/>
          <w:color w:val="000000"/>
          <w:kern w:val="0"/>
          <w:sz w:val="24"/>
        </w:rPr>
        <w:t>8</w:t>
      </w:r>
      <w:r>
        <w:rPr>
          <w:rFonts w:ascii="宋体"/>
          <w:color w:val="000000"/>
          <w:kern w:val="0"/>
          <w:sz w:val="24"/>
        </w:rPr>
        <w:t>、</w:t>
      </w:r>
      <w:r>
        <w:rPr>
          <w:rFonts w:ascii="宋体" w:hAnsi="宋体" w:hint="eastAsia"/>
          <w:bCs/>
          <w:sz w:val="24"/>
        </w:rPr>
        <w:t>在本基金销售机构的销售网点进行认购时，投资人以金额申请，每个基金账户首次认购本基金</w:t>
      </w:r>
      <w:r>
        <w:rPr>
          <w:rFonts w:ascii="宋体" w:hAnsi="宋体" w:hint="eastAsia"/>
          <w:bCs/>
          <w:sz w:val="24"/>
        </w:rPr>
        <w:t>A</w:t>
      </w:r>
      <w:r>
        <w:rPr>
          <w:rFonts w:ascii="宋体" w:hAnsi="宋体" w:hint="eastAsia"/>
          <w:bCs/>
          <w:sz w:val="24"/>
        </w:rPr>
        <w:t>类基金份额的，最低金额为人民币</w:t>
      </w:r>
      <w:r>
        <w:rPr>
          <w:rFonts w:ascii="宋体" w:hAnsi="宋体"/>
          <w:bCs/>
          <w:sz w:val="24"/>
        </w:rPr>
        <w:t>1</w:t>
      </w:r>
      <w:r>
        <w:rPr>
          <w:rFonts w:ascii="宋体" w:hAnsi="宋体" w:hint="eastAsia"/>
          <w:bCs/>
          <w:sz w:val="24"/>
        </w:rPr>
        <w:t>元，首次认购本基金</w:t>
      </w:r>
      <w:r>
        <w:rPr>
          <w:rFonts w:ascii="宋体" w:hAnsi="宋体" w:hint="eastAsia"/>
          <w:bCs/>
          <w:sz w:val="24"/>
        </w:rPr>
        <w:t>C</w:t>
      </w:r>
      <w:r>
        <w:rPr>
          <w:rFonts w:ascii="宋体" w:hAnsi="宋体" w:hint="eastAsia"/>
          <w:bCs/>
          <w:sz w:val="24"/>
        </w:rPr>
        <w:t>类基金份额的，单笔最低限额为人民币</w:t>
      </w:r>
      <w:r>
        <w:rPr>
          <w:rFonts w:ascii="宋体" w:hAnsi="宋体" w:hint="eastAsia"/>
          <w:bCs/>
          <w:sz w:val="24"/>
        </w:rPr>
        <w:t>1</w:t>
      </w:r>
      <w:r>
        <w:rPr>
          <w:rFonts w:ascii="宋体" w:hAnsi="宋体" w:hint="eastAsia"/>
          <w:bCs/>
          <w:sz w:val="24"/>
        </w:rPr>
        <w:t>元；通过基金管理人的直销机构首次认购本基金</w:t>
      </w:r>
      <w:r>
        <w:rPr>
          <w:rFonts w:ascii="宋体" w:hAnsi="宋体" w:hint="eastAsia"/>
          <w:bCs/>
          <w:sz w:val="24"/>
        </w:rPr>
        <w:t>A</w:t>
      </w:r>
      <w:r>
        <w:rPr>
          <w:rFonts w:ascii="宋体" w:hAnsi="宋体" w:hint="eastAsia"/>
          <w:bCs/>
          <w:sz w:val="24"/>
        </w:rPr>
        <w:t>类基金份额的，单笔最低限额为人民币</w:t>
      </w:r>
      <w:r>
        <w:rPr>
          <w:rFonts w:ascii="宋体" w:hAnsi="宋体" w:hint="eastAsia"/>
          <w:bCs/>
          <w:sz w:val="24"/>
        </w:rPr>
        <w:t>1</w:t>
      </w:r>
      <w:r>
        <w:rPr>
          <w:rFonts w:ascii="宋体" w:hAnsi="宋体" w:hint="eastAsia"/>
          <w:bCs/>
          <w:sz w:val="24"/>
        </w:rPr>
        <w:t>元，首次认购本基金</w:t>
      </w:r>
      <w:r>
        <w:rPr>
          <w:rFonts w:ascii="宋体" w:hAnsi="宋体" w:hint="eastAsia"/>
          <w:bCs/>
          <w:sz w:val="24"/>
        </w:rPr>
        <w:t>C</w:t>
      </w:r>
      <w:r>
        <w:rPr>
          <w:rFonts w:ascii="宋体" w:hAnsi="宋体" w:hint="eastAsia"/>
          <w:bCs/>
          <w:sz w:val="24"/>
        </w:rPr>
        <w:t>类基金份额的，单笔最低限额为人民币</w:t>
      </w:r>
      <w:r>
        <w:rPr>
          <w:rFonts w:ascii="宋体" w:hAnsi="宋体" w:hint="eastAsia"/>
          <w:bCs/>
          <w:sz w:val="24"/>
        </w:rPr>
        <w:t>1</w:t>
      </w:r>
      <w:r>
        <w:rPr>
          <w:rFonts w:ascii="宋体" w:hAnsi="宋体" w:hint="eastAsia"/>
          <w:bCs/>
          <w:sz w:val="24"/>
        </w:rPr>
        <w:t>元。投资者通过本基金销售机构的销售网点每笔追加认购本基金</w:t>
      </w:r>
      <w:r>
        <w:rPr>
          <w:rFonts w:ascii="宋体" w:hAnsi="宋体" w:hint="eastAsia"/>
          <w:bCs/>
          <w:sz w:val="24"/>
        </w:rPr>
        <w:t>A</w:t>
      </w:r>
      <w:r>
        <w:rPr>
          <w:rFonts w:ascii="宋体" w:hAnsi="宋体" w:hint="eastAsia"/>
          <w:bCs/>
          <w:sz w:val="24"/>
        </w:rPr>
        <w:t>类、Ｃ类基金份额的最低金额为人民币</w:t>
      </w:r>
      <w:r>
        <w:rPr>
          <w:rFonts w:ascii="宋体" w:hAnsi="宋体"/>
          <w:bCs/>
          <w:sz w:val="24"/>
        </w:rPr>
        <w:t>1</w:t>
      </w:r>
      <w:r>
        <w:rPr>
          <w:rFonts w:ascii="宋体" w:hAnsi="宋体" w:hint="eastAsia"/>
          <w:bCs/>
          <w:sz w:val="24"/>
        </w:rPr>
        <w:t>元，通过基金管理人的直销机构每笔追加认购本基金</w:t>
      </w:r>
      <w:r>
        <w:rPr>
          <w:rFonts w:ascii="宋体" w:hAnsi="宋体" w:hint="eastAsia"/>
          <w:bCs/>
          <w:sz w:val="24"/>
        </w:rPr>
        <w:t>A</w:t>
      </w:r>
      <w:r>
        <w:rPr>
          <w:rFonts w:ascii="宋体" w:hAnsi="宋体" w:hint="eastAsia"/>
          <w:bCs/>
          <w:sz w:val="24"/>
        </w:rPr>
        <w:t>类、Ｃ类基金份额的最低金额为人民币</w:t>
      </w:r>
      <w:r>
        <w:rPr>
          <w:rFonts w:ascii="宋体" w:hAnsi="宋体"/>
          <w:bCs/>
          <w:sz w:val="24"/>
        </w:rPr>
        <w:t>1</w:t>
      </w:r>
      <w:r>
        <w:rPr>
          <w:rFonts w:ascii="宋体" w:hAnsi="宋体" w:hint="eastAsia"/>
          <w:bCs/>
          <w:sz w:val="24"/>
        </w:rPr>
        <w:t>元。</w:t>
      </w:r>
    </w:p>
    <w:p w:rsidR="00BC36F9" w:rsidRDefault="0030070B">
      <w:pPr>
        <w:spacing w:line="360" w:lineRule="auto"/>
        <w:ind w:firstLineChars="200" w:firstLine="480"/>
        <w:rPr>
          <w:rFonts w:ascii="宋体" w:hAnsi="宋体"/>
          <w:bCs/>
          <w:sz w:val="24"/>
        </w:rPr>
      </w:pPr>
      <w:r>
        <w:rPr>
          <w:rFonts w:ascii="宋体" w:hAnsi="宋体" w:hint="eastAsia"/>
          <w:bCs/>
          <w:sz w:val="24"/>
        </w:rPr>
        <w:t>各销售机构对最低认购限额及交易级差有其他规定的，以各销售机构的业务规定为准。本基金募集期间对单个基金份额持有人最高累计认购金额不设限制，</w:t>
      </w:r>
      <w:r>
        <w:rPr>
          <w:rFonts w:ascii="宋体" w:hAnsi="宋体" w:hint="eastAsia"/>
          <w:bCs/>
          <w:sz w:val="24"/>
        </w:rPr>
        <w:t>但如本基金单个投资人累计认购的基金份额数达到或者超过基金总份额的</w:t>
      </w:r>
      <w:r>
        <w:rPr>
          <w:rFonts w:ascii="宋体" w:hAnsi="宋体" w:hint="eastAsia"/>
          <w:bCs/>
          <w:sz w:val="24"/>
        </w:rPr>
        <w:t>50%</w:t>
      </w:r>
      <w:r>
        <w:rPr>
          <w:rFonts w:ascii="宋体" w:hAnsi="宋体" w:hint="eastAsia"/>
          <w:bCs/>
          <w:sz w:val="24"/>
        </w:rPr>
        <w:t>，基金管理人可以采取比例确认等方式对该投资人的认购申请进行限制。基金管理人接受某笔或者某些认购申请有可能导致投资者变相规避前述</w:t>
      </w:r>
      <w:r>
        <w:rPr>
          <w:rFonts w:ascii="宋体" w:hAnsi="宋体" w:hint="eastAsia"/>
          <w:bCs/>
          <w:sz w:val="24"/>
        </w:rPr>
        <w:t>50%</w:t>
      </w:r>
      <w:r>
        <w:rPr>
          <w:rFonts w:ascii="宋体" w:hAnsi="宋体" w:hint="eastAsia"/>
          <w:bCs/>
          <w:sz w:val="24"/>
        </w:rPr>
        <w:t>比例要求的，基金管理人有权拒绝该等全部或者部分认购申请。投资人认购的基金份额数以基金合同生效后登记机构的确认为准。</w:t>
      </w:r>
    </w:p>
    <w:p w:rsidR="00BC36F9" w:rsidRDefault="0030070B">
      <w:pPr>
        <w:spacing w:line="360" w:lineRule="auto"/>
        <w:ind w:firstLineChars="200" w:firstLine="480"/>
        <w:rPr>
          <w:rFonts w:ascii="宋体" w:hAnsi="宋体"/>
          <w:bCs/>
          <w:sz w:val="24"/>
        </w:rPr>
      </w:pPr>
      <w:r>
        <w:rPr>
          <w:rFonts w:ascii="宋体" w:hAnsi="宋体" w:hint="eastAsia"/>
          <w:bCs/>
          <w:sz w:val="24"/>
        </w:rPr>
        <w:t>基金管理人可根据市场情况，调整本基金认购和追加认购的最低金额或单个投资人累计认购金额。</w:t>
      </w:r>
    </w:p>
    <w:p w:rsidR="00BC36F9" w:rsidRDefault="0030070B">
      <w:pPr>
        <w:spacing w:line="360" w:lineRule="auto"/>
        <w:ind w:firstLineChars="200" w:firstLine="480"/>
        <w:rPr>
          <w:rFonts w:ascii="宋体"/>
          <w:bCs/>
          <w:color w:val="000000"/>
          <w:sz w:val="24"/>
        </w:rPr>
      </w:pPr>
      <w:r>
        <w:rPr>
          <w:rFonts w:ascii="宋体" w:hint="eastAsia"/>
          <w:bCs/>
          <w:color w:val="000000"/>
          <w:sz w:val="24"/>
        </w:rPr>
        <w:t>9</w:t>
      </w:r>
      <w:r>
        <w:rPr>
          <w:rFonts w:ascii="宋体"/>
          <w:bCs/>
          <w:color w:val="000000"/>
          <w:sz w:val="24"/>
        </w:rPr>
        <w:t>、</w:t>
      </w:r>
      <w:r>
        <w:rPr>
          <w:rFonts w:ascii="宋体" w:hint="eastAsia"/>
          <w:bCs/>
          <w:color w:val="000000"/>
          <w:sz w:val="24"/>
        </w:rPr>
        <w:t>基金销售机构对认购申请的受理并不代表该申请一定成功，而仅代表销售机构确实接收到认购申请，认购的确认以登</w:t>
      </w:r>
      <w:r>
        <w:rPr>
          <w:rFonts w:ascii="宋体" w:hint="eastAsia"/>
          <w:bCs/>
          <w:color w:val="000000"/>
          <w:sz w:val="24"/>
        </w:rPr>
        <w:t>记机构的确认结果为准。对于认购申请及认购份额的确认情况，投资人应及时查询并妥善行使合法权利。</w:t>
      </w:r>
      <w:r>
        <w:rPr>
          <w:rFonts w:hint="eastAsia"/>
          <w:bCs/>
          <w:sz w:val="24"/>
        </w:rPr>
        <w:t>否则，由此产生的投资者任何损失由投资者自行承担</w:t>
      </w:r>
      <w:r>
        <w:rPr>
          <w:rFonts w:hint="eastAsia"/>
          <w:sz w:val="23"/>
          <w:szCs w:val="23"/>
        </w:rPr>
        <w:t>。</w:t>
      </w:r>
    </w:p>
    <w:p w:rsidR="00BC36F9" w:rsidRDefault="0030070B">
      <w:pPr>
        <w:spacing w:line="360" w:lineRule="auto"/>
        <w:ind w:firstLineChars="200" w:firstLine="480"/>
        <w:rPr>
          <w:rFonts w:ascii="宋体"/>
          <w:color w:val="000000"/>
          <w:sz w:val="24"/>
        </w:rPr>
      </w:pPr>
      <w:r>
        <w:rPr>
          <w:rFonts w:ascii="宋体" w:hint="eastAsia"/>
          <w:color w:val="000000"/>
          <w:sz w:val="24"/>
        </w:rPr>
        <w:t>10</w:t>
      </w:r>
      <w:r>
        <w:rPr>
          <w:rFonts w:ascii="宋体" w:hint="eastAsia"/>
          <w:color w:val="000000"/>
          <w:sz w:val="24"/>
        </w:rPr>
        <w:t>、本公告仅对“</w:t>
      </w:r>
      <w:r>
        <w:rPr>
          <w:rFonts w:ascii="宋体" w:hint="eastAsia"/>
          <w:color w:val="000000"/>
          <w:kern w:val="0"/>
          <w:sz w:val="24"/>
        </w:rPr>
        <w:t>兴业聚享</w:t>
      </w:r>
      <w:r>
        <w:rPr>
          <w:rFonts w:ascii="宋体" w:hint="eastAsia"/>
          <w:color w:val="000000"/>
          <w:kern w:val="0"/>
          <w:sz w:val="24"/>
        </w:rPr>
        <w:t>6</w:t>
      </w:r>
      <w:r>
        <w:rPr>
          <w:rFonts w:ascii="宋体" w:hint="eastAsia"/>
          <w:color w:val="000000"/>
          <w:kern w:val="0"/>
          <w:sz w:val="24"/>
        </w:rPr>
        <w:t>个月持有期混合型证券投资基金</w:t>
      </w:r>
      <w:r>
        <w:rPr>
          <w:rFonts w:ascii="宋体" w:hint="eastAsia"/>
          <w:color w:val="000000"/>
          <w:sz w:val="24"/>
        </w:rPr>
        <w:t>”发售的有关事项和规定予以说明。投资人欲了解“</w:t>
      </w:r>
      <w:r>
        <w:rPr>
          <w:rFonts w:ascii="宋体" w:hint="eastAsia"/>
          <w:color w:val="000000"/>
          <w:kern w:val="0"/>
          <w:sz w:val="24"/>
        </w:rPr>
        <w:t>兴业聚享</w:t>
      </w:r>
      <w:r>
        <w:rPr>
          <w:rFonts w:ascii="宋体" w:hint="eastAsia"/>
          <w:color w:val="000000"/>
          <w:kern w:val="0"/>
          <w:sz w:val="24"/>
        </w:rPr>
        <w:t>6</w:t>
      </w:r>
      <w:r>
        <w:rPr>
          <w:rFonts w:ascii="宋体" w:hint="eastAsia"/>
          <w:color w:val="000000"/>
          <w:kern w:val="0"/>
          <w:sz w:val="24"/>
        </w:rPr>
        <w:t>个月持有期混合型证券投资基金</w:t>
      </w:r>
      <w:r>
        <w:rPr>
          <w:rFonts w:ascii="宋体" w:hint="eastAsia"/>
          <w:color w:val="000000"/>
          <w:sz w:val="24"/>
        </w:rPr>
        <w:t>”的详细情况，请详细阅读《兴业聚享</w:t>
      </w:r>
      <w:r>
        <w:rPr>
          <w:rFonts w:ascii="宋体" w:hint="eastAsia"/>
          <w:color w:val="000000"/>
          <w:sz w:val="24"/>
        </w:rPr>
        <w:t>6</w:t>
      </w:r>
      <w:r>
        <w:rPr>
          <w:rFonts w:ascii="宋体" w:hint="eastAsia"/>
          <w:color w:val="000000"/>
          <w:sz w:val="24"/>
        </w:rPr>
        <w:t>个月持有期混合型证券投资基金基金合同》（以下简称“《基金合同》”）、《</w:t>
      </w:r>
      <w:r>
        <w:rPr>
          <w:rFonts w:ascii="宋体" w:hint="eastAsia"/>
          <w:color w:val="000000"/>
          <w:kern w:val="0"/>
          <w:sz w:val="24"/>
        </w:rPr>
        <w:t>兴业聚享</w:t>
      </w:r>
      <w:r>
        <w:rPr>
          <w:rFonts w:ascii="宋体" w:hint="eastAsia"/>
          <w:color w:val="000000"/>
          <w:kern w:val="0"/>
          <w:sz w:val="24"/>
        </w:rPr>
        <w:t>6</w:t>
      </w:r>
      <w:r>
        <w:rPr>
          <w:rFonts w:ascii="宋体" w:hint="eastAsia"/>
          <w:color w:val="000000"/>
          <w:kern w:val="0"/>
          <w:sz w:val="24"/>
        </w:rPr>
        <w:t>个月持有期混合型证券投资基金</w:t>
      </w:r>
      <w:r>
        <w:rPr>
          <w:rFonts w:ascii="宋体" w:hint="eastAsia"/>
          <w:color w:val="000000"/>
          <w:sz w:val="24"/>
        </w:rPr>
        <w:t>招募说明书》（以下简称“《招募说明书》”）、本基金基金产品资料概要等信息披露文件。</w:t>
      </w:r>
    </w:p>
    <w:p w:rsidR="00BC36F9" w:rsidRDefault="0030070B">
      <w:pPr>
        <w:spacing w:line="360" w:lineRule="auto"/>
        <w:ind w:firstLineChars="200" w:firstLine="480"/>
        <w:rPr>
          <w:rFonts w:ascii="宋体"/>
          <w:bCs/>
          <w:color w:val="000000"/>
          <w:sz w:val="24"/>
        </w:rPr>
      </w:pPr>
      <w:r>
        <w:rPr>
          <w:rFonts w:ascii="宋体" w:hint="eastAsia"/>
          <w:color w:val="000000"/>
          <w:sz w:val="24"/>
        </w:rPr>
        <w:t>1</w:t>
      </w:r>
      <w:r>
        <w:rPr>
          <w:rFonts w:ascii="宋体" w:hint="eastAsia"/>
          <w:color w:val="000000"/>
          <w:sz w:val="24"/>
        </w:rPr>
        <w:t>1</w:t>
      </w:r>
      <w:r>
        <w:rPr>
          <w:rFonts w:ascii="宋体" w:hint="eastAsia"/>
          <w:color w:val="000000"/>
          <w:sz w:val="24"/>
        </w:rPr>
        <w:t>、本公告及本基金的基金合同及招募说明书提示性公告刊登在</w:t>
      </w:r>
      <w:r>
        <w:rPr>
          <w:rFonts w:ascii="宋体"/>
          <w:color w:val="000000"/>
          <w:sz w:val="24"/>
        </w:rPr>
        <w:t>规定</w:t>
      </w:r>
      <w:r>
        <w:rPr>
          <w:rFonts w:ascii="宋体" w:hint="eastAsia"/>
          <w:color w:val="000000"/>
          <w:sz w:val="24"/>
        </w:rPr>
        <w:t>报刊上，《基金合同》、《兴业聚享</w:t>
      </w:r>
      <w:r>
        <w:rPr>
          <w:rFonts w:ascii="宋体" w:hint="eastAsia"/>
          <w:color w:val="000000"/>
          <w:sz w:val="24"/>
        </w:rPr>
        <w:t>6</w:t>
      </w:r>
      <w:r>
        <w:rPr>
          <w:rFonts w:ascii="宋体" w:hint="eastAsia"/>
          <w:color w:val="000000"/>
          <w:sz w:val="24"/>
        </w:rPr>
        <w:t>个月持有期混合型证券投资基金托管协议》、《招募说明书》、《兴业聚享</w:t>
      </w:r>
      <w:r>
        <w:rPr>
          <w:rFonts w:ascii="宋体" w:hint="eastAsia"/>
          <w:color w:val="000000"/>
          <w:sz w:val="24"/>
        </w:rPr>
        <w:t>6</w:t>
      </w:r>
      <w:r>
        <w:rPr>
          <w:rFonts w:ascii="宋体" w:hint="eastAsia"/>
          <w:color w:val="000000"/>
          <w:sz w:val="24"/>
        </w:rPr>
        <w:t>个月持有期混合型证券投资基金基金产品资料概要》及本公告</w:t>
      </w:r>
      <w:r>
        <w:rPr>
          <w:rFonts w:ascii="宋体" w:hint="eastAsia"/>
          <w:color w:val="000000"/>
          <w:kern w:val="0"/>
          <w:sz w:val="24"/>
        </w:rPr>
        <w:t>将同时发布在本公司网站</w:t>
      </w:r>
      <w:r>
        <w:rPr>
          <w:rFonts w:ascii="宋体" w:hint="eastAsia"/>
          <w:color w:val="000000"/>
          <w:kern w:val="0"/>
          <w:sz w:val="24"/>
        </w:rPr>
        <w:t>(www.cib-fund</w:t>
      </w:r>
      <w:r>
        <w:rPr>
          <w:rFonts w:ascii="宋体"/>
          <w:color w:val="000000"/>
          <w:kern w:val="0"/>
          <w:sz w:val="24"/>
        </w:rPr>
        <w:t>.com</w:t>
      </w:r>
      <w:r>
        <w:rPr>
          <w:rFonts w:ascii="宋体" w:hint="eastAsia"/>
          <w:color w:val="000000"/>
          <w:kern w:val="0"/>
          <w:sz w:val="24"/>
        </w:rPr>
        <w:t>.cn)</w:t>
      </w:r>
      <w:r>
        <w:rPr>
          <w:rFonts w:ascii="宋体" w:hint="eastAsia"/>
          <w:color w:val="000000"/>
          <w:kern w:val="0"/>
          <w:sz w:val="24"/>
        </w:rPr>
        <w:t>和中国证监会基金电子披露网站</w:t>
      </w:r>
      <w:r>
        <w:rPr>
          <w:rFonts w:ascii="宋体" w:hint="eastAsia"/>
          <w:bCs/>
          <w:color w:val="000000"/>
          <w:sz w:val="24"/>
        </w:rPr>
        <w:t>（</w:t>
      </w:r>
      <w:r>
        <w:rPr>
          <w:rFonts w:ascii="宋体" w:hint="eastAsia"/>
          <w:bCs/>
          <w:color w:val="000000"/>
          <w:sz w:val="24"/>
        </w:rPr>
        <w:t>http://eid.csrc.gov.cn/fund</w:t>
      </w:r>
      <w:r>
        <w:rPr>
          <w:rFonts w:ascii="宋体" w:hint="eastAsia"/>
          <w:bCs/>
          <w:color w:val="000000"/>
          <w:sz w:val="24"/>
        </w:rPr>
        <w:t>）。投资人亦可通过本公司网站下载基金申请表格和了解基金募集相关事宜。</w:t>
      </w:r>
    </w:p>
    <w:p w:rsidR="00BC36F9" w:rsidRDefault="0030070B">
      <w:pPr>
        <w:spacing w:line="360" w:lineRule="auto"/>
        <w:ind w:firstLineChars="200" w:firstLine="480"/>
        <w:rPr>
          <w:rFonts w:ascii="宋体"/>
          <w:bCs/>
          <w:color w:val="000000"/>
          <w:sz w:val="24"/>
        </w:rPr>
      </w:pPr>
      <w:r>
        <w:rPr>
          <w:rFonts w:ascii="宋体" w:hint="eastAsia"/>
          <w:bCs/>
          <w:color w:val="000000"/>
          <w:sz w:val="24"/>
        </w:rPr>
        <w:t>12</w:t>
      </w:r>
      <w:r>
        <w:rPr>
          <w:rFonts w:ascii="宋体" w:hint="eastAsia"/>
          <w:bCs/>
          <w:color w:val="000000"/>
          <w:sz w:val="24"/>
        </w:rPr>
        <w:t>、投资人可以拨打本公司的客户服务电话（</w:t>
      </w:r>
      <w:r>
        <w:rPr>
          <w:rFonts w:ascii="宋体"/>
          <w:bCs/>
          <w:color w:val="000000"/>
          <w:sz w:val="24"/>
        </w:rPr>
        <w:t>40000-95561</w:t>
      </w:r>
      <w:r>
        <w:rPr>
          <w:rFonts w:ascii="宋体" w:hint="eastAsia"/>
          <w:bCs/>
          <w:color w:val="000000"/>
          <w:sz w:val="24"/>
        </w:rPr>
        <w:t>）咨询购买事宜。</w:t>
      </w:r>
    </w:p>
    <w:p w:rsidR="00BC36F9" w:rsidRDefault="0030070B">
      <w:pPr>
        <w:spacing w:line="360" w:lineRule="auto"/>
        <w:ind w:firstLineChars="200" w:firstLine="480"/>
        <w:rPr>
          <w:rFonts w:ascii="宋体"/>
          <w:bCs/>
          <w:color w:val="000000"/>
          <w:sz w:val="24"/>
        </w:rPr>
      </w:pPr>
      <w:r>
        <w:rPr>
          <w:rFonts w:ascii="宋体" w:hint="eastAsia"/>
          <w:bCs/>
          <w:color w:val="000000"/>
          <w:sz w:val="24"/>
        </w:rPr>
        <w:t>13</w:t>
      </w:r>
      <w:r>
        <w:rPr>
          <w:rFonts w:ascii="宋体" w:hint="eastAsia"/>
          <w:bCs/>
          <w:color w:val="000000"/>
          <w:sz w:val="24"/>
        </w:rPr>
        <w:t>、本公司可综合各种情况对募集安排做适当调整并及时公告。</w:t>
      </w:r>
    </w:p>
    <w:p w:rsidR="00BC36F9" w:rsidRDefault="0030070B">
      <w:pPr>
        <w:spacing w:line="360" w:lineRule="auto"/>
        <w:ind w:firstLineChars="200" w:firstLine="480"/>
        <w:rPr>
          <w:rFonts w:ascii="宋体"/>
          <w:bCs/>
          <w:color w:val="000000"/>
          <w:sz w:val="24"/>
        </w:rPr>
      </w:pPr>
      <w:bookmarkStart w:id="1" w:name="_Toc109181396"/>
      <w:bookmarkStart w:id="2" w:name="_Toc110077384"/>
      <w:r>
        <w:rPr>
          <w:rFonts w:ascii="宋体" w:hint="eastAsia"/>
          <w:bCs/>
          <w:color w:val="000000"/>
          <w:sz w:val="24"/>
        </w:rPr>
        <w:t>14</w:t>
      </w:r>
      <w:r>
        <w:rPr>
          <w:rFonts w:ascii="宋体" w:hint="eastAsia"/>
          <w:bCs/>
          <w:color w:val="000000"/>
          <w:sz w:val="24"/>
        </w:rPr>
        <w:t>、风险提示</w:t>
      </w:r>
    </w:p>
    <w:p w:rsidR="00BC36F9" w:rsidRDefault="0030070B">
      <w:pPr>
        <w:spacing w:line="360" w:lineRule="auto"/>
        <w:ind w:firstLineChars="196" w:firstLine="470"/>
        <w:rPr>
          <w:rFonts w:ascii="宋体" w:hAnsi="宋体"/>
          <w:bCs/>
          <w:sz w:val="24"/>
        </w:rPr>
      </w:pPr>
      <w:r>
        <w:rPr>
          <w:rFonts w:ascii="宋体" w:hAnsi="宋体" w:hint="eastAsia"/>
          <w:bCs/>
          <w:sz w:val="24"/>
        </w:rPr>
        <w:t>投资有风险，投资者拟认购（或申购）基金时应认真阅读招募说明书、基金合同、基金</w:t>
      </w:r>
      <w:r>
        <w:rPr>
          <w:rFonts w:ascii="宋体" w:hAnsi="宋体"/>
          <w:bCs/>
          <w:sz w:val="24"/>
        </w:rPr>
        <w:t>产品资料概要</w:t>
      </w:r>
      <w:r>
        <w:rPr>
          <w:rFonts w:ascii="宋体" w:hAnsi="宋体" w:hint="eastAsia"/>
          <w:bCs/>
          <w:sz w:val="24"/>
        </w:rPr>
        <w:t>等信息披露文件，全面认识本基金产品的风险收益特征，并承担基金投资中出现的各类风险，包括：因整体政治、经济、社会等环境因素对证券价格产生影响而形成的系统性风险，个别证券特有的非系统性风险，由于基金投资者连续大量赎回基金产生的流动性风险，基金管理人在基金管理实施过程中产生的基金管理风险，本基金的特定风险等等。本基金投资于证券市场，基</w:t>
      </w:r>
      <w:r>
        <w:rPr>
          <w:rFonts w:ascii="宋体" w:hAnsi="宋体" w:hint="eastAsia"/>
          <w:bCs/>
          <w:sz w:val="24"/>
        </w:rPr>
        <w:t>金净值会因为证券市场波动等因素产生波动，投资人在投资本基金前，应全面了解本基金的产品特性，自主判断基金的投资价值，充分考虑自身的风险承受能力，并对于认购（或申购）基金的意愿、时机、数量等投资行为作出独立决策。基金管理人提醒投资者基金投资的</w:t>
      </w:r>
      <w:r>
        <w:rPr>
          <w:rFonts w:ascii="宋体" w:hAnsi="宋体"/>
          <w:bCs/>
          <w:sz w:val="24"/>
        </w:rPr>
        <w:t>“</w:t>
      </w:r>
      <w:r>
        <w:rPr>
          <w:rFonts w:ascii="宋体" w:hAnsi="宋体" w:hint="eastAsia"/>
          <w:bCs/>
          <w:sz w:val="24"/>
        </w:rPr>
        <w:t>买者自负</w:t>
      </w:r>
      <w:r>
        <w:rPr>
          <w:rFonts w:ascii="宋体" w:hAnsi="宋体"/>
          <w:bCs/>
          <w:sz w:val="24"/>
        </w:rPr>
        <w:t>”</w:t>
      </w:r>
      <w:r>
        <w:rPr>
          <w:rFonts w:ascii="宋体" w:hAnsi="宋体" w:hint="eastAsia"/>
          <w:bCs/>
          <w:sz w:val="24"/>
        </w:rPr>
        <w:t>原则，在投资者作出投资决策后，基金运营状况与基金净值变化引致的投资风险，由投资者自行负责。</w:t>
      </w:r>
      <w:r>
        <w:rPr>
          <w:rFonts w:ascii="宋体" w:hAnsi="宋体"/>
          <w:bCs/>
          <w:sz w:val="24"/>
        </w:rPr>
        <w:t xml:space="preserve"> </w:t>
      </w:r>
    </w:p>
    <w:p w:rsidR="00BC36F9" w:rsidRDefault="0030070B">
      <w:pPr>
        <w:spacing w:line="360" w:lineRule="auto"/>
        <w:ind w:firstLineChars="196" w:firstLine="470"/>
        <w:rPr>
          <w:rFonts w:ascii="宋体" w:hAnsi="宋体"/>
          <w:bCs/>
          <w:sz w:val="24"/>
        </w:rPr>
      </w:pPr>
      <w:r>
        <w:rPr>
          <w:rFonts w:ascii="宋体" w:hAnsi="宋体" w:hint="eastAsia"/>
          <w:bCs/>
          <w:sz w:val="24"/>
        </w:rPr>
        <w:t>本基金为混合型基金，其预期风险与预期收益高于债券型基金和货币市场基金，低于股票型基金。</w:t>
      </w:r>
    </w:p>
    <w:p w:rsidR="00BC36F9" w:rsidRDefault="0030070B">
      <w:pPr>
        <w:spacing w:line="360" w:lineRule="auto"/>
        <w:ind w:firstLineChars="196" w:firstLine="470"/>
        <w:rPr>
          <w:bCs/>
          <w:sz w:val="24"/>
        </w:rPr>
      </w:pPr>
      <w:r>
        <w:rPr>
          <w:rFonts w:hint="eastAsia"/>
          <w:bCs/>
          <w:sz w:val="24"/>
        </w:rPr>
        <w:t>本基金可投资资产支持证券，资产支持证券是一种债券性质的金融工具。资产支持证券的风险主要包括资产风险及证券化风险。资产风险源于资产本身，包括价格波动风险、流动性风险等。证券化风险主要表现为信用评级风险、法律风险等。</w:t>
      </w:r>
    </w:p>
    <w:p w:rsidR="00BC36F9" w:rsidRDefault="0030070B">
      <w:pPr>
        <w:spacing w:line="360" w:lineRule="auto"/>
        <w:ind w:firstLineChars="196" w:firstLine="470"/>
        <w:rPr>
          <w:bCs/>
          <w:sz w:val="24"/>
        </w:rPr>
      </w:pPr>
      <w:r>
        <w:rPr>
          <w:rFonts w:hint="eastAsia"/>
          <w:bCs/>
          <w:sz w:val="24"/>
        </w:rPr>
        <w:t>本基金可投资于国债期货，国债期货作为一种金融衍生品，具备一些特有的风险点，包括杠杆风险、期货价格与基金投资品种价格的相关度降低带来的风险等。</w:t>
      </w:r>
    </w:p>
    <w:p w:rsidR="00BC36F9" w:rsidRDefault="0030070B">
      <w:pPr>
        <w:spacing w:line="360" w:lineRule="auto"/>
        <w:ind w:firstLineChars="196" w:firstLine="470"/>
        <w:rPr>
          <w:rFonts w:ascii="宋体" w:hAnsi="宋体"/>
          <w:sz w:val="24"/>
        </w:rPr>
      </w:pPr>
      <w:r>
        <w:rPr>
          <w:rFonts w:ascii="宋体" w:hAnsi="宋体" w:hint="eastAsia"/>
          <w:sz w:val="24"/>
        </w:rPr>
        <w:t>本基金可投资于股指期货，股指期货作为一种金融衍生品，具备一些特有的风险点。投资股指期货所面临的主要风险是市场风险、流动性风险、基差风险、保证金风险、信用风险</w:t>
      </w:r>
      <w:r>
        <w:rPr>
          <w:rFonts w:ascii="宋体" w:hAnsi="宋体" w:hint="eastAsia"/>
          <w:sz w:val="24"/>
        </w:rPr>
        <w:t>和操作风险。</w:t>
      </w:r>
    </w:p>
    <w:p w:rsidR="00BC36F9" w:rsidRDefault="0030070B">
      <w:pPr>
        <w:spacing w:line="360" w:lineRule="auto"/>
        <w:ind w:firstLine="480"/>
        <w:rPr>
          <w:rFonts w:ascii="宋体" w:hAnsi="宋体"/>
          <w:bCs/>
          <w:color w:val="000000"/>
          <w:sz w:val="24"/>
        </w:rPr>
      </w:pPr>
      <w:bookmarkStart w:id="3" w:name="_Hlk44672763"/>
      <w:r>
        <w:rPr>
          <w:rFonts w:ascii="宋体" w:hAnsi="宋体" w:cs="黑体" w:hint="eastAsia"/>
          <w:color w:val="000000"/>
          <w:kern w:val="0"/>
          <w:sz w:val="24"/>
        </w:rPr>
        <w:t>本基金基金合同生效后，本基金对每一份认购</w:t>
      </w:r>
      <w:r>
        <w:rPr>
          <w:rFonts w:ascii="宋体" w:hAnsi="宋体" w:cs="黑体" w:hint="eastAsia"/>
          <w:color w:val="000000"/>
          <w:kern w:val="0"/>
          <w:sz w:val="24"/>
        </w:rPr>
        <w:t>/</w:t>
      </w:r>
      <w:r>
        <w:rPr>
          <w:rFonts w:ascii="宋体" w:hAnsi="宋体" w:cs="黑体" w:hint="eastAsia"/>
          <w:color w:val="000000"/>
          <w:kern w:val="0"/>
          <w:sz w:val="24"/>
        </w:rPr>
        <w:t>申购的基金份额分别计算</w:t>
      </w:r>
      <w:r>
        <w:rPr>
          <w:rFonts w:ascii="宋体" w:hAnsi="宋体" w:cs="黑体" w:hint="eastAsia"/>
          <w:color w:val="000000"/>
          <w:kern w:val="0"/>
          <w:sz w:val="24"/>
        </w:rPr>
        <w:t>6</w:t>
      </w:r>
      <w:r>
        <w:rPr>
          <w:rFonts w:ascii="宋体" w:hAnsi="宋体" w:cs="黑体" w:hint="eastAsia"/>
          <w:color w:val="000000"/>
          <w:kern w:val="0"/>
          <w:sz w:val="24"/>
        </w:rPr>
        <w:t>个月的“锁定持有期”，投资者持有的基金份额自锁定持有期届满后的下一工作日起，方可申请赎回或转换转出业务。因此基金份额持有人面临在锁定持有期内不能赎回和转换转出基金份额的风险。</w:t>
      </w:r>
    </w:p>
    <w:bookmarkEnd w:id="3"/>
    <w:p w:rsidR="00BC36F9" w:rsidRDefault="0030070B">
      <w:pPr>
        <w:spacing w:line="360" w:lineRule="auto"/>
        <w:ind w:firstLineChars="200" w:firstLine="480"/>
        <w:rPr>
          <w:rFonts w:ascii="宋体" w:hAnsi="宋体"/>
          <w:bCs/>
          <w:sz w:val="24"/>
        </w:rPr>
      </w:pPr>
      <w:r>
        <w:rPr>
          <w:rFonts w:ascii="宋体" w:hAnsi="宋体" w:hint="eastAsia"/>
          <w:bCs/>
          <w:sz w:val="24"/>
        </w:rPr>
        <w:t>基金的过往业绩并不预示其未来表现，基金管理人管理的其他基金的业绩并不构成对本基金业绩表现的保证。</w:t>
      </w:r>
    </w:p>
    <w:p w:rsidR="00BC36F9" w:rsidRDefault="0030070B">
      <w:pPr>
        <w:spacing w:line="360" w:lineRule="auto"/>
        <w:ind w:firstLineChars="196" w:firstLine="470"/>
        <w:rPr>
          <w:rFonts w:ascii="宋体" w:hAnsi="宋体" w:cs="Meiryo UI"/>
          <w:bCs/>
          <w:sz w:val="24"/>
        </w:rPr>
      </w:pPr>
      <w:r>
        <w:rPr>
          <w:rFonts w:ascii="宋体" w:hAnsi="宋体" w:cs="Meiryo UI" w:hint="eastAsia"/>
          <w:bCs/>
          <w:sz w:val="24"/>
        </w:rPr>
        <w:t>本基金单一投资者持有基金份额数不得达到或超过基金份额总数的</w:t>
      </w:r>
      <w:r>
        <w:rPr>
          <w:rFonts w:ascii="宋体" w:hAnsi="宋体" w:cs="Meiryo UI" w:hint="eastAsia"/>
          <w:bCs/>
          <w:sz w:val="24"/>
        </w:rPr>
        <w:t>50%</w:t>
      </w:r>
      <w:r>
        <w:rPr>
          <w:rFonts w:ascii="宋体" w:hAnsi="宋体" w:cs="Meiryo UI" w:hint="eastAsia"/>
          <w:bCs/>
          <w:sz w:val="24"/>
        </w:rPr>
        <w:t>，但在基金运作过程中因基金份额赎回等情形导致被动达到或超过</w:t>
      </w:r>
      <w:r>
        <w:rPr>
          <w:rFonts w:ascii="宋体" w:hAnsi="宋体" w:cs="Meiryo UI" w:hint="eastAsia"/>
          <w:bCs/>
          <w:sz w:val="24"/>
        </w:rPr>
        <w:t>50%</w:t>
      </w:r>
      <w:r>
        <w:rPr>
          <w:rFonts w:ascii="宋体" w:hAnsi="宋体" w:cs="Meiryo UI" w:hint="eastAsia"/>
          <w:bCs/>
          <w:sz w:val="24"/>
        </w:rPr>
        <w:t>的除外。法律法规或监管机构另有</w:t>
      </w:r>
      <w:r>
        <w:rPr>
          <w:rFonts w:ascii="宋体" w:hAnsi="宋体" w:cs="Meiryo UI" w:hint="eastAsia"/>
          <w:bCs/>
          <w:sz w:val="24"/>
        </w:rPr>
        <w:t>规定的除外。</w:t>
      </w:r>
    </w:p>
    <w:p w:rsidR="00BC36F9" w:rsidRDefault="0030070B">
      <w:pPr>
        <w:spacing w:line="360" w:lineRule="auto"/>
        <w:ind w:firstLine="480"/>
        <w:rPr>
          <w:rFonts w:ascii="宋体"/>
          <w:bCs/>
          <w:color w:val="000000"/>
          <w:sz w:val="24"/>
        </w:rPr>
      </w:pPr>
      <w:r>
        <w:rPr>
          <w:rFonts w:ascii="宋体" w:cs="Meiryo UI" w:hint="eastAsia"/>
          <w:bCs/>
          <w:sz w:val="24"/>
        </w:rPr>
        <w:t>当本基金持有特定资产且存在或潜在大额赎回申请时，基金管理人履行相应程序后，可以启用侧袋机制，具体详见基金合同和招募说明书“侧袋机制”等有关章节。请基金份额持有人仔细阅读相关内容并关注本基金启用侧袋机制时的特定风险。</w:t>
      </w:r>
    </w:p>
    <w:p w:rsidR="00BC36F9" w:rsidRDefault="00BC36F9">
      <w:pPr>
        <w:spacing w:line="360" w:lineRule="auto"/>
        <w:ind w:firstLineChars="196" w:firstLine="470"/>
        <w:rPr>
          <w:rFonts w:ascii="宋体" w:cs="Meiryo UI"/>
          <w:bCs/>
          <w:sz w:val="24"/>
        </w:rPr>
      </w:pPr>
    </w:p>
    <w:p w:rsidR="00BC36F9" w:rsidRDefault="00BC36F9">
      <w:pPr>
        <w:spacing w:line="360" w:lineRule="auto"/>
        <w:ind w:firstLineChars="196" w:firstLine="470"/>
        <w:rPr>
          <w:rFonts w:ascii="宋体"/>
          <w:bCs/>
          <w:color w:val="000000"/>
          <w:sz w:val="24"/>
        </w:rPr>
      </w:pPr>
    </w:p>
    <w:p w:rsidR="00BC36F9" w:rsidRDefault="00BC36F9">
      <w:pPr>
        <w:spacing w:line="360" w:lineRule="auto"/>
        <w:rPr>
          <w:sz w:val="24"/>
        </w:rPr>
      </w:pPr>
    </w:p>
    <w:p w:rsidR="00BC36F9" w:rsidRDefault="0030070B">
      <w:pPr>
        <w:pStyle w:val="ad"/>
        <w:numPr>
          <w:ilvl w:val="0"/>
          <w:numId w:val="1"/>
        </w:numPr>
        <w:spacing w:before="0" w:after="0"/>
        <w:rPr>
          <w:rFonts w:eastAsia="宋体"/>
          <w:bCs/>
          <w:sz w:val="28"/>
          <w:szCs w:val="28"/>
        </w:rPr>
      </w:pPr>
      <w:bookmarkStart w:id="4" w:name="_Toc134168571"/>
      <w:bookmarkStart w:id="5" w:name="_Toc376250736"/>
      <w:r>
        <w:rPr>
          <w:rFonts w:eastAsia="宋体" w:hint="eastAsia"/>
          <w:bCs/>
          <w:sz w:val="28"/>
          <w:szCs w:val="28"/>
        </w:rPr>
        <w:t>本次基金份额发售基本情况</w:t>
      </w:r>
      <w:bookmarkEnd w:id="1"/>
      <w:bookmarkEnd w:id="2"/>
      <w:bookmarkEnd w:id="4"/>
      <w:bookmarkEnd w:id="5"/>
    </w:p>
    <w:p w:rsidR="00BC36F9" w:rsidRDefault="0030070B">
      <w:pPr>
        <w:pStyle w:val="af2"/>
        <w:spacing w:line="360" w:lineRule="auto"/>
        <w:ind w:firstLine="480"/>
        <w:rPr>
          <w:rFonts w:ascii="宋体"/>
          <w:color w:val="000000"/>
          <w:kern w:val="0"/>
          <w:sz w:val="24"/>
        </w:rPr>
      </w:pPr>
      <w:r>
        <w:rPr>
          <w:rFonts w:ascii="宋体" w:hint="eastAsia"/>
          <w:color w:val="000000"/>
          <w:kern w:val="0"/>
          <w:sz w:val="24"/>
        </w:rPr>
        <w:t>1</w:t>
      </w:r>
      <w:r>
        <w:rPr>
          <w:rFonts w:ascii="宋体" w:hint="eastAsia"/>
          <w:color w:val="000000"/>
          <w:kern w:val="0"/>
          <w:sz w:val="24"/>
        </w:rPr>
        <w:t>、基金名称：兴业聚享</w:t>
      </w:r>
      <w:r>
        <w:rPr>
          <w:rFonts w:ascii="宋体" w:hint="eastAsia"/>
          <w:color w:val="000000"/>
          <w:kern w:val="0"/>
          <w:sz w:val="24"/>
        </w:rPr>
        <w:t>6</w:t>
      </w:r>
      <w:r>
        <w:rPr>
          <w:rFonts w:ascii="宋体" w:hint="eastAsia"/>
          <w:color w:val="000000"/>
          <w:kern w:val="0"/>
          <w:sz w:val="24"/>
        </w:rPr>
        <w:t>个月持有期混合型证券投资基金</w:t>
      </w:r>
      <w:r>
        <w:rPr>
          <w:rFonts w:ascii="宋体" w:hint="eastAsia"/>
          <w:color w:val="000000"/>
          <w:kern w:val="0"/>
          <w:sz w:val="24"/>
        </w:rPr>
        <w:t xml:space="preserve"> </w:t>
      </w:r>
    </w:p>
    <w:p w:rsidR="00BC36F9" w:rsidRDefault="0030070B">
      <w:pPr>
        <w:spacing w:line="360" w:lineRule="auto"/>
        <w:ind w:firstLineChars="200" w:firstLine="480"/>
        <w:rPr>
          <w:rFonts w:ascii="宋体"/>
          <w:color w:val="000000"/>
          <w:sz w:val="24"/>
        </w:rPr>
      </w:pPr>
      <w:r>
        <w:rPr>
          <w:rFonts w:ascii="宋体"/>
          <w:color w:val="000000"/>
          <w:sz w:val="24"/>
        </w:rPr>
        <w:t>2</w:t>
      </w:r>
      <w:r>
        <w:rPr>
          <w:rFonts w:ascii="宋体"/>
          <w:color w:val="000000"/>
          <w:sz w:val="24"/>
        </w:rPr>
        <w:t>、</w:t>
      </w:r>
      <w:r>
        <w:rPr>
          <w:rFonts w:ascii="宋体" w:hint="eastAsia"/>
          <w:color w:val="000000"/>
          <w:sz w:val="24"/>
        </w:rPr>
        <w:t>基金简称</w:t>
      </w:r>
      <w:r>
        <w:rPr>
          <w:rFonts w:ascii="宋体" w:hint="eastAsia"/>
          <w:color w:val="000000"/>
          <w:kern w:val="0"/>
          <w:sz w:val="24"/>
        </w:rPr>
        <w:t>：兴业聚享</w:t>
      </w:r>
      <w:r>
        <w:rPr>
          <w:rFonts w:ascii="宋体" w:hint="eastAsia"/>
          <w:color w:val="000000"/>
          <w:kern w:val="0"/>
          <w:sz w:val="24"/>
        </w:rPr>
        <w:t>6</w:t>
      </w:r>
      <w:r>
        <w:rPr>
          <w:rFonts w:ascii="宋体" w:hint="eastAsia"/>
          <w:color w:val="000000"/>
          <w:kern w:val="0"/>
          <w:sz w:val="24"/>
        </w:rPr>
        <w:t>个月持有期混合</w:t>
      </w:r>
      <w:r>
        <w:rPr>
          <w:rFonts w:ascii="宋体" w:hint="eastAsia"/>
          <w:color w:val="000000"/>
          <w:kern w:val="0"/>
          <w:sz w:val="24"/>
        </w:rPr>
        <w:t>A</w:t>
      </w:r>
      <w:r>
        <w:rPr>
          <w:rFonts w:ascii="宋体" w:hint="eastAsia"/>
          <w:color w:val="000000"/>
          <w:kern w:val="0"/>
          <w:sz w:val="24"/>
        </w:rPr>
        <w:t>（基金代码：</w:t>
      </w:r>
      <w:r>
        <w:rPr>
          <w:rFonts w:ascii="宋体"/>
          <w:color w:val="000000"/>
          <w:kern w:val="0"/>
          <w:sz w:val="24"/>
        </w:rPr>
        <w:t>021821</w:t>
      </w:r>
      <w:r>
        <w:rPr>
          <w:rFonts w:ascii="宋体" w:hint="eastAsia"/>
          <w:color w:val="000000"/>
          <w:kern w:val="0"/>
          <w:sz w:val="24"/>
        </w:rPr>
        <w:t>）；兴业聚享</w:t>
      </w:r>
      <w:r>
        <w:rPr>
          <w:rFonts w:ascii="宋体" w:hint="eastAsia"/>
          <w:color w:val="000000"/>
          <w:kern w:val="0"/>
          <w:sz w:val="24"/>
        </w:rPr>
        <w:t>6</w:t>
      </w:r>
      <w:r>
        <w:rPr>
          <w:rFonts w:ascii="宋体" w:hint="eastAsia"/>
          <w:color w:val="000000"/>
          <w:kern w:val="0"/>
          <w:sz w:val="24"/>
        </w:rPr>
        <w:t>个月持有期混合</w:t>
      </w:r>
      <w:r>
        <w:rPr>
          <w:rFonts w:ascii="宋体" w:hint="eastAsia"/>
          <w:color w:val="000000"/>
          <w:kern w:val="0"/>
          <w:sz w:val="24"/>
        </w:rPr>
        <w:t>C</w:t>
      </w:r>
      <w:r>
        <w:rPr>
          <w:rFonts w:ascii="宋体" w:hint="eastAsia"/>
          <w:color w:val="000000"/>
          <w:kern w:val="0"/>
          <w:sz w:val="24"/>
        </w:rPr>
        <w:t>（基金代码：</w:t>
      </w:r>
      <w:r>
        <w:rPr>
          <w:rFonts w:ascii="宋体"/>
          <w:color w:val="000000"/>
          <w:kern w:val="0"/>
          <w:sz w:val="24"/>
        </w:rPr>
        <w:t>021871</w:t>
      </w:r>
      <w:r>
        <w:rPr>
          <w:rFonts w:ascii="宋体" w:hint="eastAsia"/>
          <w:color w:val="000000"/>
          <w:kern w:val="0"/>
          <w:sz w:val="24"/>
        </w:rPr>
        <w:t>）</w:t>
      </w:r>
    </w:p>
    <w:p w:rsidR="00BC36F9" w:rsidRDefault="0030070B">
      <w:pPr>
        <w:spacing w:line="360" w:lineRule="auto"/>
        <w:ind w:firstLineChars="200" w:firstLine="480"/>
        <w:rPr>
          <w:rFonts w:ascii="宋体"/>
          <w:color w:val="000000"/>
          <w:sz w:val="24"/>
        </w:rPr>
      </w:pPr>
      <w:r>
        <w:rPr>
          <w:rFonts w:ascii="宋体"/>
          <w:color w:val="000000"/>
          <w:sz w:val="24"/>
        </w:rPr>
        <w:t>3</w:t>
      </w:r>
      <w:r>
        <w:rPr>
          <w:rFonts w:ascii="宋体" w:hint="eastAsia"/>
          <w:color w:val="000000"/>
          <w:sz w:val="24"/>
        </w:rPr>
        <w:t>、基金类别：</w:t>
      </w:r>
      <w:r>
        <w:rPr>
          <w:rFonts w:ascii="宋体" w:hint="eastAsia"/>
          <w:color w:val="000000"/>
          <w:kern w:val="0"/>
          <w:sz w:val="24"/>
        </w:rPr>
        <w:t>混合型</w:t>
      </w:r>
      <w:r>
        <w:rPr>
          <w:rFonts w:ascii="宋体" w:hint="eastAsia"/>
          <w:color w:val="000000"/>
          <w:sz w:val="24"/>
        </w:rPr>
        <w:t>证券投资基金</w:t>
      </w:r>
    </w:p>
    <w:p w:rsidR="00BC36F9" w:rsidRDefault="0030070B">
      <w:pPr>
        <w:spacing w:line="360" w:lineRule="auto"/>
        <w:ind w:firstLineChars="200" w:firstLine="480"/>
        <w:rPr>
          <w:rFonts w:ascii="宋体"/>
          <w:bCs/>
          <w:color w:val="000000"/>
          <w:kern w:val="0"/>
          <w:sz w:val="24"/>
        </w:rPr>
      </w:pPr>
      <w:r>
        <w:rPr>
          <w:rFonts w:ascii="宋体"/>
          <w:color w:val="000000"/>
          <w:sz w:val="24"/>
        </w:rPr>
        <w:t>4</w:t>
      </w:r>
      <w:r>
        <w:rPr>
          <w:rFonts w:ascii="宋体" w:hint="eastAsia"/>
          <w:color w:val="000000"/>
          <w:sz w:val="24"/>
        </w:rPr>
        <w:t>、基金的运作方式：</w:t>
      </w:r>
      <w:r>
        <w:rPr>
          <w:rFonts w:ascii="宋体"/>
          <w:color w:val="000000"/>
          <w:sz w:val="24"/>
        </w:rPr>
        <w:t>契约</w:t>
      </w:r>
      <w:r>
        <w:rPr>
          <w:rFonts w:ascii="宋体"/>
          <w:bCs/>
          <w:color w:val="000000"/>
          <w:kern w:val="0"/>
          <w:sz w:val="24"/>
        </w:rPr>
        <w:t>型</w:t>
      </w:r>
      <w:r>
        <w:rPr>
          <w:rFonts w:ascii="宋体" w:hint="eastAsia"/>
          <w:bCs/>
          <w:color w:val="000000"/>
          <w:kern w:val="0"/>
          <w:sz w:val="24"/>
        </w:rPr>
        <w:t>开放</w:t>
      </w:r>
      <w:r>
        <w:rPr>
          <w:rFonts w:ascii="宋体"/>
          <w:bCs/>
          <w:color w:val="000000"/>
          <w:kern w:val="0"/>
          <w:sz w:val="24"/>
        </w:rPr>
        <w:t>式</w:t>
      </w:r>
    </w:p>
    <w:p w:rsidR="00BC36F9" w:rsidRDefault="0030070B">
      <w:pPr>
        <w:spacing w:line="360" w:lineRule="auto"/>
        <w:ind w:firstLineChars="200" w:firstLine="480"/>
        <w:rPr>
          <w:rFonts w:ascii="宋体"/>
          <w:bCs/>
          <w:color w:val="000000"/>
          <w:kern w:val="0"/>
          <w:sz w:val="24"/>
        </w:rPr>
      </w:pPr>
      <w:r>
        <w:rPr>
          <w:rFonts w:hint="eastAsia"/>
          <w:bCs/>
          <w:sz w:val="24"/>
        </w:rPr>
        <w:t>本基金每个开放日开放申购，但投资人每笔认购</w:t>
      </w:r>
      <w:r>
        <w:rPr>
          <w:rFonts w:hint="eastAsia"/>
          <w:bCs/>
          <w:sz w:val="24"/>
        </w:rPr>
        <w:t>/</w:t>
      </w:r>
      <w:r>
        <w:rPr>
          <w:rFonts w:hint="eastAsia"/>
          <w:bCs/>
          <w:sz w:val="24"/>
        </w:rPr>
        <w:t>申购的基金份额需至少持有满</w:t>
      </w:r>
      <w:r>
        <w:rPr>
          <w:rFonts w:hint="eastAsia"/>
          <w:bCs/>
          <w:sz w:val="24"/>
        </w:rPr>
        <w:t>6</w:t>
      </w:r>
      <w:r>
        <w:rPr>
          <w:rFonts w:hint="eastAsia"/>
          <w:bCs/>
          <w:sz w:val="24"/>
        </w:rPr>
        <w:t>个月，基金份额持有人在</w:t>
      </w:r>
      <w:r>
        <w:rPr>
          <w:rFonts w:hint="eastAsia"/>
          <w:bCs/>
          <w:sz w:val="24"/>
        </w:rPr>
        <w:t>6</w:t>
      </w:r>
      <w:r>
        <w:rPr>
          <w:rFonts w:hint="eastAsia"/>
          <w:bCs/>
          <w:sz w:val="24"/>
        </w:rPr>
        <w:t>个月锁定持有期内不能提出赎回及转换转出申请。</w:t>
      </w:r>
    </w:p>
    <w:p w:rsidR="00BC36F9" w:rsidRDefault="0030070B">
      <w:pPr>
        <w:spacing w:line="360" w:lineRule="auto"/>
        <w:ind w:firstLineChars="200" w:firstLine="480"/>
        <w:rPr>
          <w:rFonts w:ascii="宋体"/>
          <w:bCs/>
          <w:color w:val="000000"/>
          <w:kern w:val="0"/>
          <w:sz w:val="24"/>
        </w:rPr>
      </w:pPr>
      <w:r>
        <w:rPr>
          <w:rFonts w:ascii="宋体" w:hint="eastAsia"/>
          <w:bCs/>
          <w:color w:val="000000"/>
          <w:kern w:val="0"/>
          <w:sz w:val="24"/>
        </w:rPr>
        <w:t>对于每份基金份额，锁定持有期指从基金合同生效日（对认购份额而言，下同）、基金份额申购确认日（对申购份额而言，下同）或基金份额转换转入确认日（对转换转入份额而言，下同）起，至基金合同生效日、基金份额申购确认日或基金份额转换转入确认日</w:t>
      </w:r>
      <w:r>
        <w:rPr>
          <w:rFonts w:ascii="宋体" w:hint="eastAsia"/>
          <w:bCs/>
          <w:color w:val="000000"/>
          <w:kern w:val="0"/>
          <w:sz w:val="24"/>
        </w:rPr>
        <w:t>6</w:t>
      </w:r>
      <w:r>
        <w:rPr>
          <w:rFonts w:ascii="宋体" w:hint="eastAsia"/>
          <w:bCs/>
          <w:color w:val="000000"/>
          <w:kern w:val="0"/>
          <w:sz w:val="24"/>
        </w:rPr>
        <w:t>个月后的月度对日的前一日。基金份额持有人在相应基金份额的锁定持有期内不可申请办理赎回及转换转出业务，自锁定持有期届满后的下一个工作日起可以</w:t>
      </w:r>
      <w:r>
        <w:rPr>
          <w:rFonts w:ascii="宋体" w:hint="eastAsia"/>
          <w:bCs/>
          <w:color w:val="000000"/>
          <w:kern w:val="0"/>
          <w:sz w:val="24"/>
        </w:rPr>
        <w:t>申请办理赎回及转换转出业务。</w:t>
      </w:r>
    </w:p>
    <w:p w:rsidR="00BC36F9" w:rsidRDefault="0030070B">
      <w:pPr>
        <w:spacing w:line="360" w:lineRule="auto"/>
        <w:ind w:firstLineChars="200" w:firstLine="480"/>
        <w:rPr>
          <w:rFonts w:ascii="宋体"/>
          <w:color w:val="000000"/>
          <w:sz w:val="24"/>
        </w:rPr>
      </w:pPr>
      <w:r>
        <w:rPr>
          <w:rFonts w:ascii="宋体" w:hint="eastAsia"/>
          <w:sz w:val="24"/>
        </w:rPr>
        <w:t>5</w:t>
      </w:r>
      <w:r>
        <w:rPr>
          <w:rFonts w:ascii="宋体" w:hint="eastAsia"/>
          <w:sz w:val="24"/>
        </w:rPr>
        <w:t>、基金</w:t>
      </w:r>
      <w:r>
        <w:rPr>
          <w:rFonts w:ascii="宋体" w:hint="eastAsia"/>
          <w:color w:val="000000"/>
          <w:sz w:val="24"/>
        </w:rPr>
        <w:t>份额发售面值：本基金基金份额发售面值为人民币</w:t>
      </w:r>
      <w:r>
        <w:rPr>
          <w:rFonts w:ascii="宋体" w:hint="eastAsia"/>
          <w:color w:val="000000"/>
          <w:sz w:val="24"/>
        </w:rPr>
        <w:t>1.00</w:t>
      </w:r>
      <w:r>
        <w:rPr>
          <w:rFonts w:ascii="宋体" w:hint="eastAsia"/>
          <w:color w:val="000000"/>
          <w:sz w:val="24"/>
        </w:rPr>
        <w:t>元。</w:t>
      </w:r>
    </w:p>
    <w:p w:rsidR="00BC36F9" w:rsidRDefault="0030070B">
      <w:pPr>
        <w:spacing w:line="360" w:lineRule="auto"/>
        <w:ind w:firstLineChars="200" w:firstLine="480"/>
        <w:rPr>
          <w:rFonts w:ascii="宋体"/>
          <w:color w:val="000000"/>
          <w:sz w:val="24"/>
        </w:rPr>
      </w:pPr>
      <w:bookmarkStart w:id="6" w:name="_Hlk171530515"/>
      <w:r>
        <w:rPr>
          <w:rFonts w:ascii="宋体" w:hint="eastAsia"/>
          <w:color w:val="000000"/>
          <w:sz w:val="24"/>
        </w:rPr>
        <w:t>6</w:t>
      </w:r>
      <w:r>
        <w:rPr>
          <w:rFonts w:ascii="宋体" w:hint="eastAsia"/>
          <w:color w:val="000000"/>
          <w:sz w:val="24"/>
        </w:rPr>
        <w:t>、基金份额类别</w:t>
      </w:r>
    </w:p>
    <w:p w:rsidR="00BC36F9" w:rsidRDefault="0030070B">
      <w:pPr>
        <w:spacing w:line="360" w:lineRule="auto"/>
        <w:ind w:firstLineChars="200" w:firstLine="480"/>
        <w:rPr>
          <w:rFonts w:ascii="宋体" w:hAnsi="宋体" w:cs="Meiryo UI"/>
          <w:bCs/>
          <w:sz w:val="24"/>
        </w:rPr>
      </w:pPr>
      <w:r>
        <w:rPr>
          <w:rFonts w:ascii="宋体" w:hAnsi="宋体" w:hint="eastAsia"/>
          <w:bCs/>
          <w:sz w:val="24"/>
        </w:rPr>
        <w:t>本基金根据认购费</w:t>
      </w:r>
      <w:r>
        <w:rPr>
          <w:rFonts w:ascii="宋体" w:hAnsi="宋体"/>
          <w:bCs/>
          <w:sz w:val="24"/>
        </w:rPr>
        <w:t>、</w:t>
      </w:r>
      <w:r>
        <w:rPr>
          <w:rFonts w:ascii="宋体" w:hAnsi="宋体" w:hint="eastAsia"/>
          <w:bCs/>
          <w:sz w:val="24"/>
        </w:rPr>
        <w:t>申购费、销售服务费收取方式的不同，将基金份额分为不同的类别。其中</w:t>
      </w:r>
      <w:r>
        <w:rPr>
          <w:rFonts w:ascii="宋体" w:hAnsi="宋体" w:hint="eastAsia"/>
          <w:bCs/>
          <w:sz w:val="24"/>
        </w:rPr>
        <w:t>,</w:t>
      </w:r>
      <w:r>
        <w:rPr>
          <w:rFonts w:ascii="宋体" w:hAnsi="宋体" w:hint="eastAsia"/>
          <w:bCs/>
          <w:sz w:val="24"/>
        </w:rPr>
        <w:t>在认购</w:t>
      </w:r>
      <w:r>
        <w:rPr>
          <w:rFonts w:ascii="宋体" w:hAnsi="宋体"/>
          <w:bCs/>
          <w:sz w:val="24"/>
        </w:rPr>
        <w:t>、</w:t>
      </w:r>
      <w:r>
        <w:rPr>
          <w:rFonts w:ascii="宋体" w:hAnsi="宋体" w:hint="eastAsia"/>
          <w:bCs/>
          <w:sz w:val="24"/>
        </w:rPr>
        <w:t>申购时收取认购费</w:t>
      </w:r>
      <w:r>
        <w:rPr>
          <w:rFonts w:ascii="宋体" w:hAnsi="宋体"/>
          <w:bCs/>
          <w:sz w:val="24"/>
        </w:rPr>
        <w:t>、</w:t>
      </w:r>
      <w:r>
        <w:rPr>
          <w:rFonts w:ascii="宋体" w:hAnsi="宋体" w:hint="eastAsia"/>
          <w:bCs/>
          <w:sz w:val="24"/>
        </w:rPr>
        <w:t>申购费，但不从本类别基金资产中计提销售服务费的基金份额，称为</w:t>
      </w:r>
      <w:r>
        <w:rPr>
          <w:rFonts w:ascii="宋体" w:hAnsi="宋体" w:hint="eastAsia"/>
          <w:bCs/>
          <w:sz w:val="24"/>
        </w:rPr>
        <w:t>A</w:t>
      </w:r>
      <w:r>
        <w:rPr>
          <w:rFonts w:ascii="宋体" w:hAnsi="宋体" w:hint="eastAsia"/>
          <w:bCs/>
          <w:sz w:val="24"/>
        </w:rPr>
        <w:t>类基金份额；在认购</w:t>
      </w:r>
      <w:r>
        <w:rPr>
          <w:rFonts w:ascii="宋体" w:hAnsi="宋体"/>
          <w:bCs/>
          <w:sz w:val="24"/>
        </w:rPr>
        <w:t>、</w:t>
      </w:r>
      <w:r>
        <w:rPr>
          <w:rFonts w:ascii="宋体" w:hAnsi="宋体" w:hint="eastAsia"/>
          <w:bCs/>
          <w:sz w:val="24"/>
        </w:rPr>
        <w:t>申购时不收取认购费</w:t>
      </w:r>
      <w:r>
        <w:rPr>
          <w:rFonts w:ascii="宋体" w:hAnsi="宋体"/>
          <w:bCs/>
          <w:sz w:val="24"/>
        </w:rPr>
        <w:t>、</w:t>
      </w:r>
      <w:r>
        <w:rPr>
          <w:rFonts w:ascii="宋体" w:hAnsi="宋体" w:hint="eastAsia"/>
          <w:bCs/>
          <w:sz w:val="24"/>
        </w:rPr>
        <w:t>申购费，而是从本类别基金资产中计提销售服务费的基金份额，称为</w:t>
      </w:r>
      <w:r>
        <w:rPr>
          <w:rFonts w:ascii="宋体" w:hAnsi="宋体" w:hint="eastAsia"/>
          <w:bCs/>
          <w:sz w:val="24"/>
        </w:rPr>
        <w:t>C</w:t>
      </w:r>
      <w:r>
        <w:rPr>
          <w:rFonts w:ascii="宋体" w:hAnsi="宋体" w:hint="eastAsia"/>
          <w:bCs/>
          <w:sz w:val="24"/>
        </w:rPr>
        <w:t>类基金份额。</w:t>
      </w:r>
    </w:p>
    <w:p w:rsidR="00BC36F9" w:rsidRDefault="0030070B">
      <w:pPr>
        <w:spacing w:line="360" w:lineRule="auto"/>
        <w:ind w:firstLineChars="200" w:firstLine="480"/>
        <w:rPr>
          <w:bCs/>
          <w:sz w:val="24"/>
        </w:rPr>
      </w:pPr>
      <w:r>
        <w:rPr>
          <w:rFonts w:hint="eastAsia"/>
          <w:bCs/>
          <w:sz w:val="24"/>
        </w:rPr>
        <w:t>本基金</w:t>
      </w:r>
      <w:r>
        <w:rPr>
          <w:rFonts w:ascii="宋体" w:hAnsi="宋体" w:hint="eastAsia"/>
          <w:bCs/>
          <w:sz w:val="24"/>
        </w:rPr>
        <w:t>A</w:t>
      </w:r>
      <w:r>
        <w:rPr>
          <w:rFonts w:hint="eastAsia"/>
          <w:bCs/>
          <w:sz w:val="24"/>
        </w:rPr>
        <w:t>类和</w:t>
      </w:r>
      <w:r>
        <w:rPr>
          <w:rFonts w:ascii="宋体" w:hAnsi="宋体" w:hint="eastAsia"/>
          <w:bCs/>
          <w:sz w:val="24"/>
        </w:rPr>
        <w:t>C</w:t>
      </w:r>
      <w:r>
        <w:rPr>
          <w:rFonts w:hint="eastAsia"/>
          <w:bCs/>
          <w:sz w:val="24"/>
        </w:rPr>
        <w:t>类基金份额分别设置代码。由于基金费用的不同，本基金</w:t>
      </w:r>
      <w:r>
        <w:rPr>
          <w:rFonts w:ascii="宋体" w:hAnsi="宋体" w:hint="eastAsia"/>
          <w:bCs/>
          <w:sz w:val="24"/>
        </w:rPr>
        <w:t>A</w:t>
      </w:r>
      <w:r>
        <w:rPr>
          <w:rFonts w:hint="eastAsia"/>
          <w:bCs/>
          <w:sz w:val="24"/>
        </w:rPr>
        <w:t>类基金份额和</w:t>
      </w:r>
      <w:r>
        <w:rPr>
          <w:rFonts w:ascii="宋体" w:hAnsi="宋体" w:hint="eastAsia"/>
          <w:bCs/>
          <w:sz w:val="24"/>
        </w:rPr>
        <w:t>C</w:t>
      </w:r>
      <w:r>
        <w:rPr>
          <w:rFonts w:hint="eastAsia"/>
          <w:bCs/>
          <w:sz w:val="24"/>
        </w:rPr>
        <w:t>类基金份额将分别计算基金份额净值和基金份额累计净值，计算公式为：计算日某类别基金份额净值＝该计算日该类别基金份额的基金资产净值</w:t>
      </w:r>
      <w:r>
        <w:rPr>
          <w:rFonts w:hint="eastAsia"/>
          <w:bCs/>
          <w:sz w:val="24"/>
        </w:rPr>
        <w:t>/</w:t>
      </w:r>
      <w:r>
        <w:rPr>
          <w:rFonts w:hint="eastAsia"/>
          <w:bCs/>
          <w:sz w:val="24"/>
        </w:rPr>
        <w:t>该计算日发售在外的该类别基金份额总数。</w:t>
      </w:r>
    </w:p>
    <w:p w:rsidR="00BC36F9" w:rsidRDefault="0030070B">
      <w:pPr>
        <w:spacing w:line="360" w:lineRule="auto"/>
        <w:ind w:firstLineChars="200" w:firstLine="480"/>
        <w:rPr>
          <w:rFonts w:ascii="宋体" w:hAnsi="宋体" w:cs="Meiryo UI"/>
          <w:bCs/>
          <w:sz w:val="24"/>
        </w:rPr>
      </w:pPr>
      <w:r>
        <w:rPr>
          <w:rFonts w:hint="eastAsia"/>
          <w:bCs/>
          <w:sz w:val="24"/>
        </w:rPr>
        <w:t>投资者可自行选择认购、申购的基金份额类别。</w:t>
      </w:r>
    </w:p>
    <w:p w:rsidR="00BC36F9" w:rsidRDefault="0030070B">
      <w:pPr>
        <w:spacing w:line="360" w:lineRule="auto"/>
        <w:ind w:firstLineChars="200" w:firstLine="480"/>
        <w:rPr>
          <w:rFonts w:ascii="宋体"/>
          <w:sz w:val="24"/>
        </w:rPr>
      </w:pPr>
      <w:r>
        <w:rPr>
          <w:rFonts w:ascii="宋体" w:hAnsi="宋体" w:hint="eastAsia"/>
          <w:bCs/>
          <w:sz w:val="24"/>
        </w:rPr>
        <w:t>根据基金销售情况，基金管理人可在对已有基金份额持有人权益无实质性不利影响的情况下，在履行适当程序后增加新的基金份额类别、或者调整现有基金份额类别的申购费率或者变更收费方式或者停止现有基金份额类别的销售等，调整实施前基金管理人需依照《信息披露办法》的规定在规定媒介公告。上述调整不需召开基金份额持有人大</w:t>
      </w:r>
      <w:r>
        <w:rPr>
          <w:rFonts w:ascii="宋体" w:hAnsi="宋体" w:hint="eastAsia"/>
          <w:bCs/>
          <w:sz w:val="24"/>
        </w:rPr>
        <w:t>会审议。</w:t>
      </w:r>
    </w:p>
    <w:bookmarkEnd w:id="6"/>
    <w:p w:rsidR="00BC36F9" w:rsidRDefault="0030070B">
      <w:pPr>
        <w:spacing w:line="360" w:lineRule="auto"/>
        <w:ind w:firstLineChars="200" w:firstLine="480"/>
        <w:rPr>
          <w:rFonts w:ascii="楷体_GB2312" w:eastAsia="楷体_GB2312"/>
          <w:bCs/>
          <w:sz w:val="24"/>
        </w:rPr>
      </w:pPr>
      <w:r>
        <w:rPr>
          <w:rFonts w:ascii="宋体"/>
          <w:color w:val="000000"/>
          <w:sz w:val="24"/>
        </w:rPr>
        <w:t>7</w:t>
      </w:r>
      <w:r>
        <w:rPr>
          <w:rFonts w:ascii="宋体" w:hint="eastAsia"/>
          <w:color w:val="000000"/>
          <w:sz w:val="24"/>
        </w:rPr>
        <w:t>、</w:t>
      </w:r>
      <w:r>
        <w:rPr>
          <w:rFonts w:ascii="宋体" w:hint="eastAsia"/>
          <w:sz w:val="24"/>
        </w:rPr>
        <w:t>基金的存续期限：</w:t>
      </w:r>
      <w:r>
        <w:rPr>
          <w:rFonts w:ascii="宋体" w:hint="eastAsia"/>
          <w:color w:val="000000"/>
          <w:sz w:val="24"/>
        </w:rPr>
        <w:t>不定期</w:t>
      </w:r>
    </w:p>
    <w:p w:rsidR="00BC36F9" w:rsidRDefault="0030070B">
      <w:pPr>
        <w:spacing w:line="360" w:lineRule="auto"/>
        <w:ind w:firstLineChars="200" w:firstLine="480"/>
        <w:rPr>
          <w:rFonts w:ascii="宋体"/>
          <w:bCs/>
          <w:color w:val="000000"/>
          <w:sz w:val="24"/>
        </w:rPr>
      </w:pPr>
      <w:bookmarkStart w:id="7" w:name="_Hlk171530539"/>
      <w:r>
        <w:rPr>
          <w:rFonts w:ascii="宋体"/>
          <w:color w:val="000000"/>
          <w:sz w:val="24"/>
        </w:rPr>
        <w:t>8</w:t>
      </w:r>
      <w:r>
        <w:rPr>
          <w:rFonts w:ascii="宋体" w:hint="eastAsia"/>
          <w:color w:val="000000"/>
          <w:sz w:val="24"/>
        </w:rPr>
        <w:t>、投资目标</w:t>
      </w:r>
      <w:r>
        <w:rPr>
          <w:rFonts w:ascii="宋体" w:hint="eastAsia"/>
          <w:bCs/>
          <w:color w:val="000000"/>
          <w:sz w:val="24"/>
        </w:rPr>
        <w:t>：</w:t>
      </w:r>
      <w:r>
        <w:rPr>
          <w:rFonts w:ascii="宋体" w:hAnsi="宋体" w:hint="eastAsia"/>
          <w:bCs/>
          <w:sz w:val="24"/>
        </w:rPr>
        <w:t>本基金在严格控制风险的前提下，力争获得长期稳定的投资收益。</w:t>
      </w:r>
    </w:p>
    <w:p w:rsidR="00BC36F9" w:rsidRDefault="0030070B">
      <w:pPr>
        <w:spacing w:line="440" w:lineRule="exact"/>
        <w:ind w:firstLineChars="200" w:firstLine="480"/>
        <w:rPr>
          <w:rFonts w:ascii="宋体" w:hAnsi="宋体"/>
          <w:bCs/>
          <w:color w:val="000000"/>
          <w:sz w:val="24"/>
        </w:rPr>
      </w:pPr>
      <w:r>
        <w:rPr>
          <w:rFonts w:ascii="宋体" w:hint="eastAsia"/>
          <w:bCs/>
          <w:color w:val="000000"/>
          <w:sz w:val="24"/>
        </w:rPr>
        <w:t>9</w:t>
      </w:r>
      <w:r>
        <w:rPr>
          <w:rFonts w:ascii="宋体" w:cs="仿宋_GB2312" w:hint="eastAsia"/>
          <w:color w:val="000000"/>
          <w:sz w:val="24"/>
        </w:rPr>
        <w:t>、风险收益特征</w:t>
      </w:r>
      <w:r>
        <w:rPr>
          <w:rFonts w:ascii="宋体" w:hint="eastAsia"/>
          <w:color w:val="000000"/>
          <w:sz w:val="24"/>
        </w:rPr>
        <w:t>：</w:t>
      </w:r>
    </w:p>
    <w:p w:rsidR="00BC36F9" w:rsidRDefault="0030070B">
      <w:pPr>
        <w:spacing w:line="440" w:lineRule="exact"/>
        <w:ind w:firstLineChars="200" w:firstLine="480"/>
        <w:rPr>
          <w:rFonts w:ascii="宋体"/>
          <w:color w:val="000000"/>
          <w:sz w:val="24"/>
        </w:rPr>
      </w:pPr>
      <w:r>
        <w:rPr>
          <w:rFonts w:ascii="宋体" w:hAnsi="宋体" w:cs="仿宋_GB2312" w:hint="eastAsia"/>
          <w:sz w:val="24"/>
        </w:rPr>
        <w:t>本基金为混合型基金，其预期风险与预期收益高于债券型基金和货币市场基金，低于股票型基金。</w:t>
      </w:r>
    </w:p>
    <w:bookmarkEnd w:id="7"/>
    <w:p w:rsidR="00BC36F9" w:rsidRDefault="0030070B">
      <w:pPr>
        <w:spacing w:line="440" w:lineRule="exact"/>
        <w:ind w:firstLineChars="200" w:firstLine="480"/>
        <w:rPr>
          <w:rFonts w:ascii="宋体"/>
          <w:color w:val="000000"/>
          <w:kern w:val="0"/>
          <w:sz w:val="24"/>
        </w:rPr>
      </w:pPr>
      <w:r>
        <w:rPr>
          <w:rFonts w:ascii="宋体"/>
          <w:color w:val="000000"/>
          <w:kern w:val="0"/>
          <w:sz w:val="24"/>
        </w:rPr>
        <w:t>10</w:t>
      </w:r>
      <w:r>
        <w:rPr>
          <w:rFonts w:ascii="宋体"/>
          <w:color w:val="000000"/>
          <w:kern w:val="0"/>
          <w:sz w:val="24"/>
        </w:rPr>
        <w:t>、</w:t>
      </w:r>
      <w:r>
        <w:rPr>
          <w:rFonts w:ascii="宋体" w:hint="eastAsia"/>
          <w:color w:val="000000"/>
          <w:kern w:val="0"/>
          <w:sz w:val="24"/>
        </w:rPr>
        <w:t>销售机构</w:t>
      </w:r>
    </w:p>
    <w:p w:rsidR="00BC36F9" w:rsidRDefault="0030070B">
      <w:pPr>
        <w:tabs>
          <w:tab w:val="left" w:pos="5175"/>
        </w:tabs>
        <w:spacing w:line="360" w:lineRule="auto"/>
        <w:ind w:firstLineChars="200" w:firstLine="480"/>
        <w:rPr>
          <w:rFonts w:ascii="宋体"/>
          <w:color w:val="000000"/>
          <w:kern w:val="0"/>
          <w:sz w:val="24"/>
        </w:rPr>
      </w:pPr>
      <w:r>
        <w:rPr>
          <w:rFonts w:ascii="宋体" w:hint="eastAsia"/>
          <w:color w:val="000000"/>
          <w:kern w:val="0"/>
          <w:sz w:val="24"/>
        </w:rPr>
        <w:t>（</w:t>
      </w:r>
      <w:r>
        <w:rPr>
          <w:rFonts w:ascii="宋体" w:hint="eastAsia"/>
          <w:color w:val="000000"/>
          <w:kern w:val="0"/>
          <w:sz w:val="24"/>
        </w:rPr>
        <w:t>1</w:t>
      </w:r>
      <w:r>
        <w:rPr>
          <w:rFonts w:ascii="宋体" w:hint="eastAsia"/>
          <w:color w:val="000000"/>
          <w:kern w:val="0"/>
          <w:sz w:val="24"/>
        </w:rPr>
        <w:t>）直销机构</w:t>
      </w:r>
    </w:p>
    <w:p w:rsidR="00BC36F9" w:rsidRDefault="0030070B">
      <w:pPr>
        <w:spacing w:line="360" w:lineRule="auto"/>
        <w:ind w:firstLineChars="200" w:firstLine="480"/>
        <w:rPr>
          <w:rFonts w:ascii="宋体"/>
          <w:bCs/>
          <w:color w:val="000000"/>
          <w:sz w:val="24"/>
        </w:rPr>
      </w:pPr>
      <w:r>
        <w:rPr>
          <w:rFonts w:ascii="宋体" w:hint="eastAsia"/>
          <w:bCs/>
          <w:color w:val="000000"/>
          <w:sz w:val="24"/>
        </w:rPr>
        <w:t>1</w:t>
      </w:r>
      <w:r>
        <w:rPr>
          <w:rFonts w:ascii="宋体" w:hint="eastAsia"/>
          <w:bCs/>
          <w:color w:val="000000"/>
          <w:sz w:val="24"/>
        </w:rPr>
        <w:t>）</w:t>
      </w:r>
      <w:r>
        <w:rPr>
          <w:rFonts w:ascii="宋体"/>
          <w:bCs/>
          <w:color w:val="000000"/>
          <w:sz w:val="24"/>
        </w:rPr>
        <w:t>名称：</w:t>
      </w:r>
      <w:r>
        <w:rPr>
          <w:rFonts w:ascii="宋体" w:hint="eastAsia"/>
          <w:bCs/>
          <w:color w:val="000000"/>
          <w:sz w:val="24"/>
        </w:rPr>
        <w:t>兴业</w:t>
      </w:r>
      <w:r>
        <w:rPr>
          <w:rFonts w:ascii="宋体"/>
          <w:bCs/>
          <w:color w:val="000000"/>
          <w:sz w:val="24"/>
        </w:rPr>
        <w:t>基金管理有限公司直销中心</w:t>
      </w:r>
    </w:p>
    <w:p w:rsidR="00BC36F9" w:rsidRDefault="0030070B">
      <w:pPr>
        <w:spacing w:line="360" w:lineRule="auto"/>
        <w:ind w:firstLineChars="200" w:firstLine="480"/>
        <w:rPr>
          <w:rFonts w:ascii="宋体"/>
          <w:bCs/>
          <w:color w:val="000000"/>
          <w:sz w:val="24"/>
        </w:rPr>
      </w:pPr>
      <w:r>
        <w:rPr>
          <w:rFonts w:ascii="宋体" w:hint="eastAsia"/>
          <w:bCs/>
          <w:color w:val="000000"/>
          <w:sz w:val="24"/>
        </w:rPr>
        <w:t>住所：</w:t>
      </w:r>
      <w:r>
        <w:rPr>
          <w:rFonts w:ascii="宋体"/>
          <w:bCs/>
          <w:color w:val="000000"/>
          <w:sz w:val="24"/>
        </w:rPr>
        <w:t>福建省福州市鼓楼区</w:t>
      </w:r>
      <w:r>
        <w:rPr>
          <w:rFonts w:ascii="宋体" w:hint="eastAsia"/>
          <w:bCs/>
          <w:color w:val="000000"/>
          <w:sz w:val="24"/>
        </w:rPr>
        <w:t>五四路</w:t>
      </w:r>
      <w:r>
        <w:rPr>
          <w:rFonts w:ascii="宋体"/>
          <w:bCs/>
          <w:color w:val="000000"/>
          <w:sz w:val="24"/>
        </w:rPr>
        <w:t>137</w:t>
      </w:r>
      <w:r>
        <w:rPr>
          <w:rFonts w:ascii="宋体"/>
          <w:bCs/>
          <w:color w:val="000000"/>
          <w:sz w:val="24"/>
        </w:rPr>
        <w:t>号信和广场</w:t>
      </w:r>
      <w:r>
        <w:rPr>
          <w:rFonts w:ascii="宋体"/>
          <w:bCs/>
          <w:color w:val="000000"/>
          <w:sz w:val="24"/>
        </w:rPr>
        <w:t>25</w:t>
      </w:r>
      <w:r>
        <w:rPr>
          <w:rFonts w:ascii="宋体"/>
          <w:bCs/>
          <w:color w:val="000000"/>
          <w:sz w:val="24"/>
        </w:rPr>
        <w:t>楼</w:t>
      </w:r>
    </w:p>
    <w:p w:rsidR="00BC36F9" w:rsidRDefault="0030070B">
      <w:pPr>
        <w:spacing w:line="360" w:lineRule="auto"/>
        <w:ind w:firstLineChars="200" w:firstLine="480"/>
        <w:rPr>
          <w:rFonts w:ascii="宋体"/>
          <w:bCs/>
          <w:color w:val="000000"/>
          <w:sz w:val="24"/>
        </w:rPr>
      </w:pPr>
      <w:r>
        <w:rPr>
          <w:rFonts w:ascii="宋体"/>
          <w:bCs/>
          <w:color w:val="000000"/>
          <w:sz w:val="24"/>
        </w:rPr>
        <w:t>法定代表人：</w:t>
      </w:r>
      <w:r>
        <w:rPr>
          <w:rFonts w:ascii="宋体" w:cs="Arial" w:hint="eastAsia"/>
          <w:sz w:val="24"/>
        </w:rPr>
        <w:t>叶文煌</w:t>
      </w:r>
    </w:p>
    <w:p w:rsidR="00BC36F9" w:rsidRDefault="0030070B">
      <w:pPr>
        <w:spacing w:line="360" w:lineRule="auto"/>
        <w:ind w:firstLineChars="200" w:firstLine="480"/>
        <w:rPr>
          <w:rFonts w:ascii="宋体"/>
          <w:bCs/>
          <w:color w:val="000000"/>
          <w:sz w:val="24"/>
        </w:rPr>
      </w:pPr>
      <w:r>
        <w:rPr>
          <w:rFonts w:ascii="宋体" w:hint="eastAsia"/>
          <w:bCs/>
          <w:color w:val="000000"/>
          <w:sz w:val="24"/>
        </w:rPr>
        <w:t>办公</w:t>
      </w:r>
      <w:r>
        <w:rPr>
          <w:rFonts w:ascii="宋体"/>
          <w:bCs/>
          <w:color w:val="000000"/>
          <w:sz w:val="24"/>
        </w:rPr>
        <w:t>地址：</w:t>
      </w:r>
      <w:r>
        <w:rPr>
          <w:rFonts w:ascii="宋体" w:hint="eastAsia"/>
          <w:color w:val="000000"/>
          <w:sz w:val="24"/>
        </w:rPr>
        <w:t>上海市浦东新区</w:t>
      </w:r>
      <w:r>
        <w:rPr>
          <w:rFonts w:ascii="宋体" w:hint="eastAsia"/>
          <w:sz w:val="24"/>
        </w:rPr>
        <w:t>银城路</w:t>
      </w:r>
      <w:r>
        <w:rPr>
          <w:rFonts w:ascii="宋体"/>
          <w:sz w:val="24"/>
        </w:rPr>
        <w:t>167</w:t>
      </w:r>
      <w:r>
        <w:rPr>
          <w:rFonts w:ascii="宋体"/>
          <w:sz w:val="24"/>
        </w:rPr>
        <w:t>号兴业银行大厦</w:t>
      </w:r>
      <w:r>
        <w:rPr>
          <w:rFonts w:ascii="宋体"/>
          <w:sz w:val="24"/>
        </w:rPr>
        <w:t>13</w:t>
      </w:r>
      <w:r>
        <w:rPr>
          <w:rFonts w:ascii="宋体"/>
          <w:sz w:val="24"/>
        </w:rPr>
        <w:t>、</w:t>
      </w:r>
      <w:r>
        <w:rPr>
          <w:rFonts w:ascii="宋体"/>
          <w:sz w:val="24"/>
        </w:rPr>
        <w:t>14</w:t>
      </w:r>
      <w:r>
        <w:rPr>
          <w:rFonts w:ascii="宋体"/>
          <w:sz w:val="24"/>
        </w:rPr>
        <w:t>层</w:t>
      </w:r>
    </w:p>
    <w:p w:rsidR="00BC36F9" w:rsidRDefault="0030070B">
      <w:pPr>
        <w:spacing w:line="360" w:lineRule="auto"/>
        <w:ind w:firstLineChars="200" w:firstLine="480"/>
        <w:rPr>
          <w:rFonts w:ascii="宋体"/>
          <w:bCs/>
          <w:color w:val="000000"/>
          <w:sz w:val="24"/>
        </w:rPr>
      </w:pPr>
      <w:r>
        <w:rPr>
          <w:rFonts w:ascii="宋体"/>
          <w:bCs/>
          <w:color w:val="000000"/>
          <w:sz w:val="24"/>
        </w:rPr>
        <w:t>联系人：</w:t>
      </w:r>
      <w:r>
        <w:rPr>
          <w:rFonts w:ascii="宋体" w:eastAsia="Times New Roman" w:hAnsi="宋体"/>
          <w:kern w:val="0"/>
          <w:sz w:val="24"/>
        </w:rPr>
        <w:t>王珏</w:t>
      </w:r>
    </w:p>
    <w:p w:rsidR="00BC36F9" w:rsidRDefault="0030070B">
      <w:pPr>
        <w:spacing w:line="360" w:lineRule="auto"/>
        <w:ind w:firstLineChars="200" w:firstLine="480"/>
        <w:rPr>
          <w:rFonts w:ascii="宋体"/>
          <w:bCs/>
          <w:color w:val="000000"/>
          <w:sz w:val="24"/>
        </w:rPr>
      </w:pPr>
      <w:r>
        <w:rPr>
          <w:rFonts w:ascii="宋体"/>
          <w:bCs/>
          <w:color w:val="000000"/>
          <w:sz w:val="24"/>
        </w:rPr>
        <w:t>电话：</w:t>
      </w:r>
      <w:r>
        <w:rPr>
          <w:rFonts w:ascii="宋体"/>
          <w:sz w:val="24"/>
        </w:rPr>
        <w:t>021-22211</w:t>
      </w:r>
      <w:r>
        <w:rPr>
          <w:rFonts w:ascii="宋体" w:hint="eastAsia"/>
          <w:sz w:val="24"/>
        </w:rPr>
        <w:t>885</w:t>
      </w:r>
    </w:p>
    <w:p w:rsidR="00BC36F9" w:rsidRDefault="0030070B">
      <w:pPr>
        <w:spacing w:line="360" w:lineRule="auto"/>
        <w:ind w:firstLineChars="200" w:firstLine="480"/>
        <w:rPr>
          <w:rFonts w:ascii="宋体"/>
          <w:bCs/>
          <w:color w:val="000000"/>
          <w:sz w:val="24"/>
        </w:rPr>
      </w:pPr>
      <w:r>
        <w:rPr>
          <w:rFonts w:ascii="宋体"/>
          <w:bCs/>
          <w:color w:val="000000"/>
          <w:sz w:val="24"/>
        </w:rPr>
        <w:t>传真：</w:t>
      </w:r>
      <w:r>
        <w:rPr>
          <w:rFonts w:ascii="宋体"/>
          <w:bCs/>
          <w:color w:val="000000"/>
          <w:sz w:val="24"/>
        </w:rPr>
        <w:t>021-22211997</w:t>
      </w:r>
    </w:p>
    <w:p w:rsidR="00BC36F9" w:rsidRDefault="0030070B">
      <w:pPr>
        <w:spacing w:line="360" w:lineRule="auto"/>
        <w:ind w:firstLineChars="200" w:firstLine="480"/>
        <w:rPr>
          <w:rFonts w:ascii="宋体"/>
          <w:bCs/>
          <w:sz w:val="24"/>
        </w:rPr>
      </w:pPr>
      <w:r>
        <w:rPr>
          <w:rFonts w:ascii="宋体"/>
          <w:bCs/>
          <w:sz w:val="24"/>
        </w:rPr>
        <w:t>网址：</w:t>
      </w:r>
      <w:hyperlink r:id="rId11" w:history="1">
        <w:r>
          <w:rPr>
            <w:rStyle w:val="af0"/>
            <w:rFonts w:ascii="宋体"/>
            <w:bCs/>
            <w:color w:val="000000"/>
          </w:rPr>
          <w:t>www.cib-fund.com.cn</w:t>
        </w:r>
      </w:hyperlink>
    </w:p>
    <w:p w:rsidR="00BC36F9" w:rsidRDefault="0030070B">
      <w:pPr>
        <w:spacing w:line="360" w:lineRule="auto"/>
        <w:ind w:firstLineChars="200" w:firstLine="480"/>
        <w:rPr>
          <w:rFonts w:ascii="宋体"/>
          <w:bCs/>
          <w:sz w:val="24"/>
        </w:rPr>
      </w:pPr>
      <w:r>
        <w:rPr>
          <w:rFonts w:ascii="宋体"/>
          <w:bCs/>
          <w:sz w:val="24"/>
        </w:rPr>
        <w:t>2</w:t>
      </w:r>
      <w:r>
        <w:rPr>
          <w:rFonts w:ascii="宋体"/>
          <w:bCs/>
          <w:sz w:val="24"/>
        </w:rPr>
        <w:t>）名称：</w:t>
      </w:r>
      <w:r>
        <w:rPr>
          <w:rFonts w:ascii="宋体" w:hint="eastAsia"/>
          <w:bCs/>
          <w:sz w:val="24"/>
        </w:rPr>
        <w:t>兴业基金管理有限公司</w:t>
      </w:r>
      <w:r>
        <w:rPr>
          <w:rFonts w:ascii="宋体"/>
          <w:bCs/>
          <w:sz w:val="24"/>
        </w:rPr>
        <w:t>网上直销系统</w:t>
      </w:r>
    </w:p>
    <w:p w:rsidR="00BC36F9" w:rsidRDefault="0030070B">
      <w:pPr>
        <w:spacing w:line="360" w:lineRule="auto"/>
        <w:ind w:firstLineChars="200" w:firstLine="480"/>
        <w:rPr>
          <w:color w:val="000000"/>
        </w:rPr>
      </w:pPr>
      <w:r>
        <w:rPr>
          <w:rFonts w:ascii="宋体" w:hint="eastAsia"/>
          <w:bCs/>
          <w:sz w:val="24"/>
        </w:rPr>
        <w:t>网址：</w:t>
      </w:r>
      <w:hyperlink r:id="rId12" w:history="1">
        <w:r>
          <w:rPr>
            <w:rStyle w:val="af0"/>
            <w:rFonts w:ascii="宋体"/>
            <w:bCs/>
            <w:color w:val="000000"/>
          </w:rPr>
          <w:t>https://trade.cib-fund.com.cn/etrading/</w:t>
        </w:r>
      </w:hyperlink>
    </w:p>
    <w:p w:rsidR="00BC36F9" w:rsidRDefault="0030070B">
      <w:pPr>
        <w:spacing w:line="360" w:lineRule="auto"/>
        <w:ind w:firstLineChars="200" w:firstLine="480"/>
        <w:rPr>
          <w:rFonts w:ascii="宋体"/>
          <w:bCs/>
          <w:sz w:val="24"/>
        </w:rPr>
      </w:pPr>
      <w:r>
        <w:rPr>
          <w:rFonts w:ascii="宋体" w:hint="eastAsia"/>
          <w:bCs/>
          <w:sz w:val="24"/>
        </w:rPr>
        <w:t>3</w:t>
      </w:r>
      <w:r>
        <w:rPr>
          <w:rFonts w:ascii="宋体"/>
          <w:bCs/>
          <w:sz w:val="24"/>
        </w:rPr>
        <w:t>）</w:t>
      </w:r>
      <w:r>
        <w:rPr>
          <w:rFonts w:ascii="宋体" w:hint="eastAsia"/>
          <w:bCs/>
          <w:sz w:val="24"/>
        </w:rPr>
        <w:t>名称：兴业基金微信公众号</w:t>
      </w:r>
    </w:p>
    <w:p w:rsidR="00BC36F9" w:rsidRDefault="0030070B">
      <w:pPr>
        <w:spacing w:line="360" w:lineRule="auto"/>
        <w:ind w:firstLineChars="200" w:firstLine="480"/>
        <w:rPr>
          <w:rFonts w:ascii="宋体"/>
          <w:bCs/>
          <w:sz w:val="24"/>
        </w:rPr>
      </w:pPr>
      <w:r>
        <w:rPr>
          <w:rFonts w:ascii="宋体" w:hint="eastAsia"/>
          <w:bCs/>
          <w:sz w:val="24"/>
        </w:rPr>
        <w:t>微信号：“兴业基金”或者“</w:t>
      </w:r>
      <w:r>
        <w:rPr>
          <w:rFonts w:ascii="宋体" w:hint="eastAsia"/>
          <w:bCs/>
          <w:sz w:val="24"/>
        </w:rPr>
        <w:t>cibfund</w:t>
      </w:r>
      <w:r>
        <w:rPr>
          <w:rFonts w:ascii="宋体" w:hint="eastAsia"/>
          <w:bCs/>
          <w:sz w:val="24"/>
        </w:rPr>
        <w:t>”</w:t>
      </w:r>
    </w:p>
    <w:p w:rsidR="00BC36F9" w:rsidRDefault="0030070B">
      <w:pPr>
        <w:spacing w:line="360" w:lineRule="auto"/>
        <w:ind w:firstLineChars="200" w:firstLine="480"/>
        <w:rPr>
          <w:rFonts w:ascii="宋体"/>
          <w:bCs/>
          <w:sz w:val="24"/>
        </w:rPr>
      </w:pPr>
      <w:r>
        <w:rPr>
          <w:rFonts w:ascii="宋体" w:hint="eastAsia"/>
          <w:bCs/>
          <w:sz w:val="24"/>
        </w:rPr>
        <w:t>（</w:t>
      </w:r>
      <w:r>
        <w:rPr>
          <w:rFonts w:ascii="宋体"/>
          <w:bCs/>
          <w:sz w:val="24"/>
        </w:rPr>
        <w:t>2</w:t>
      </w:r>
      <w:r>
        <w:rPr>
          <w:rFonts w:ascii="宋体"/>
          <w:bCs/>
          <w:sz w:val="24"/>
        </w:rPr>
        <w:t>）其他销售机构</w:t>
      </w:r>
    </w:p>
    <w:p w:rsidR="00BC36F9" w:rsidRDefault="0030070B">
      <w:pPr>
        <w:spacing w:line="360" w:lineRule="auto"/>
        <w:ind w:firstLineChars="200" w:firstLine="480"/>
        <w:rPr>
          <w:rFonts w:ascii="宋体"/>
          <w:sz w:val="24"/>
          <w:szCs w:val="21"/>
        </w:rPr>
      </w:pPr>
      <w:r>
        <w:rPr>
          <w:rFonts w:ascii="宋体" w:cs="宋体" w:hint="eastAsia"/>
          <w:color w:val="000000"/>
          <w:sz w:val="24"/>
        </w:rPr>
        <w:t>基金管理人可根据情况增减或变更基金销售机构，并在基金管理人网站公示。</w:t>
      </w:r>
    </w:p>
    <w:p w:rsidR="00BC36F9" w:rsidRDefault="00BC36F9">
      <w:pPr>
        <w:pStyle w:val="ad"/>
        <w:spacing w:before="0" w:after="0"/>
        <w:ind w:firstLine="0"/>
        <w:jc w:val="both"/>
        <w:rPr>
          <w:rFonts w:eastAsia="宋体"/>
          <w:bCs/>
          <w:sz w:val="24"/>
          <w:szCs w:val="24"/>
        </w:rPr>
      </w:pPr>
      <w:bookmarkStart w:id="8" w:name="_Toc376250737"/>
      <w:bookmarkStart w:id="9" w:name="_Toc365531602"/>
    </w:p>
    <w:p w:rsidR="00BC36F9" w:rsidRDefault="0030070B">
      <w:pPr>
        <w:pStyle w:val="ad"/>
        <w:numPr>
          <w:ilvl w:val="0"/>
          <w:numId w:val="1"/>
        </w:numPr>
        <w:spacing w:before="0" w:after="0"/>
        <w:rPr>
          <w:rFonts w:eastAsia="宋体"/>
          <w:bCs/>
          <w:sz w:val="28"/>
          <w:szCs w:val="28"/>
        </w:rPr>
      </w:pPr>
      <w:bookmarkStart w:id="10" w:name="_Hlk171530494"/>
      <w:r>
        <w:rPr>
          <w:rFonts w:eastAsia="宋体" w:hint="eastAsia"/>
          <w:bCs/>
          <w:sz w:val="28"/>
          <w:szCs w:val="28"/>
        </w:rPr>
        <w:t>基金</w:t>
      </w:r>
      <w:r>
        <w:rPr>
          <w:rFonts w:eastAsia="宋体"/>
          <w:bCs/>
          <w:sz w:val="28"/>
          <w:szCs w:val="28"/>
        </w:rPr>
        <w:t>份额的发售</w:t>
      </w:r>
      <w:bookmarkEnd w:id="8"/>
      <w:bookmarkEnd w:id="9"/>
    </w:p>
    <w:p w:rsidR="00BC36F9" w:rsidRDefault="0030070B">
      <w:pPr>
        <w:tabs>
          <w:tab w:val="left" w:pos="5175"/>
        </w:tabs>
        <w:spacing w:line="360" w:lineRule="auto"/>
        <w:ind w:firstLineChars="200" w:firstLine="480"/>
        <w:rPr>
          <w:rFonts w:ascii="宋体"/>
          <w:color w:val="000000"/>
          <w:kern w:val="0"/>
          <w:sz w:val="24"/>
        </w:rPr>
      </w:pPr>
      <w:r>
        <w:rPr>
          <w:rFonts w:ascii="宋体" w:hint="eastAsia"/>
          <w:color w:val="000000"/>
          <w:kern w:val="0"/>
          <w:sz w:val="24"/>
        </w:rPr>
        <w:t>本基金份额初始面值为</w:t>
      </w:r>
      <w:r>
        <w:rPr>
          <w:rFonts w:ascii="宋体" w:hint="eastAsia"/>
          <w:color w:val="000000"/>
          <w:kern w:val="0"/>
          <w:sz w:val="24"/>
        </w:rPr>
        <w:t>1.00</w:t>
      </w:r>
      <w:r>
        <w:rPr>
          <w:rFonts w:ascii="宋体" w:hint="eastAsia"/>
          <w:color w:val="000000"/>
          <w:kern w:val="0"/>
          <w:sz w:val="24"/>
        </w:rPr>
        <w:t>元人民币，按初始面值发售。</w:t>
      </w:r>
    </w:p>
    <w:p w:rsidR="00BC36F9" w:rsidRDefault="0030070B">
      <w:pPr>
        <w:tabs>
          <w:tab w:val="left" w:pos="5175"/>
        </w:tabs>
        <w:spacing w:line="360" w:lineRule="auto"/>
        <w:ind w:firstLineChars="200" w:firstLine="480"/>
        <w:rPr>
          <w:rFonts w:ascii="宋体"/>
          <w:color w:val="000000"/>
          <w:kern w:val="0"/>
          <w:sz w:val="24"/>
        </w:rPr>
      </w:pPr>
      <w:r>
        <w:rPr>
          <w:rFonts w:ascii="宋体" w:hint="eastAsia"/>
          <w:color w:val="000000"/>
          <w:kern w:val="0"/>
          <w:sz w:val="24"/>
        </w:rPr>
        <w:t>1</w:t>
      </w:r>
      <w:r>
        <w:rPr>
          <w:rFonts w:ascii="宋体" w:hint="eastAsia"/>
          <w:color w:val="000000"/>
          <w:kern w:val="0"/>
          <w:sz w:val="24"/>
        </w:rPr>
        <w:t>、发售时间</w:t>
      </w:r>
    </w:p>
    <w:p w:rsidR="00BC36F9" w:rsidRDefault="0030070B">
      <w:pPr>
        <w:spacing w:line="360" w:lineRule="auto"/>
        <w:ind w:firstLineChars="200" w:firstLine="480"/>
        <w:rPr>
          <w:rFonts w:ascii="宋体"/>
          <w:bCs/>
          <w:color w:val="000000"/>
          <w:sz w:val="24"/>
        </w:rPr>
      </w:pPr>
      <w:r>
        <w:rPr>
          <w:rFonts w:ascii="宋体" w:hint="eastAsia"/>
          <w:bCs/>
          <w:color w:val="000000"/>
          <w:sz w:val="24"/>
        </w:rPr>
        <w:t>本基金的募集期为</w:t>
      </w:r>
      <w:r>
        <w:rPr>
          <w:rFonts w:ascii="宋体"/>
          <w:bCs/>
          <w:color w:val="000000"/>
          <w:sz w:val="24"/>
        </w:rPr>
        <w:t>2024</w:t>
      </w:r>
      <w:r>
        <w:rPr>
          <w:rFonts w:ascii="宋体" w:hint="eastAsia"/>
          <w:bCs/>
          <w:color w:val="000000"/>
          <w:sz w:val="24"/>
        </w:rPr>
        <w:t>年</w:t>
      </w:r>
      <w:r>
        <w:rPr>
          <w:rFonts w:ascii="宋体"/>
          <w:bCs/>
          <w:color w:val="000000"/>
          <w:sz w:val="24"/>
        </w:rPr>
        <w:t>11</w:t>
      </w:r>
      <w:r>
        <w:rPr>
          <w:rFonts w:ascii="宋体" w:hint="eastAsia"/>
          <w:bCs/>
          <w:color w:val="000000"/>
          <w:sz w:val="24"/>
        </w:rPr>
        <w:t>月</w:t>
      </w:r>
      <w:r>
        <w:rPr>
          <w:rFonts w:ascii="宋体"/>
          <w:bCs/>
          <w:color w:val="000000"/>
          <w:sz w:val="24"/>
        </w:rPr>
        <w:t>18</w:t>
      </w:r>
      <w:r>
        <w:rPr>
          <w:rFonts w:ascii="宋体" w:hint="eastAsia"/>
          <w:bCs/>
          <w:color w:val="000000"/>
          <w:sz w:val="24"/>
        </w:rPr>
        <w:t>日至</w:t>
      </w:r>
      <w:r>
        <w:rPr>
          <w:rFonts w:ascii="宋体"/>
          <w:bCs/>
          <w:color w:val="000000"/>
          <w:sz w:val="24"/>
        </w:rPr>
        <w:t>2024</w:t>
      </w:r>
      <w:r>
        <w:rPr>
          <w:rFonts w:ascii="宋体" w:hint="eastAsia"/>
          <w:bCs/>
          <w:color w:val="000000"/>
          <w:sz w:val="24"/>
        </w:rPr>
        <w:t>年</w:t>
      </w:r>
      <w:r>
        <w:rPr>
          <w:rFonts w:ascii="宋体"/>
          <w:bCs/>
          <w:color w:val="000000"/>
          <w:sz w:val="24"/>
        </w:rPr>
        <w:t>12</w:t>
      </w:r>
      <w:r>
        <w:rPr>
          <w:rFonts w:ascii="宋体" w:hint="eastAsia"/>
          <w:bCs/>
          <w:color w:val="000000"/>
          <w:sz w:val="24"/>
        </w:rPr>
        <w:t>月</w:t>
      </w:r>
      <w:r>
        <w:rPr>
          <w:rFonts w:ascii="宋体"/>
          <w:bCs/>
          <w:color w:val="000000"/>
          <w:sz w:val="24"/>
        </w:rPr>
        <w:t>6</w:t>
      </w:r>
      <w:r>
        <w:rPr>
          <w:rFonts w:ascii="宋体" w:hint="eastAsia"/>
          <w:bCs/>
          <w:color w:val="000000"/>
          <w:sz w:val="24"/>
        </w:rPr>
        <w:t>日。本公司根据认购的情况可适当调整募集时间，具体安排另行公告，但整个募集期自基金份额发售之日起不超过</w:t>
      </w:r>
      <w:r>
        <w:rPr>
          <w:rFonts w:ascii="宋体" w:hint="eastAsia"/>
          <w:bCs/>
          <w:color w:val="000000"/>
          <w:sz w:val="24"/>
        </w:rPr>
        <w:t>3</w:t>
      </w:r>
      <w:r>
        <w:rPr>
          <w:rFonts w:ascii="宋体" w:hint="eastAsia"/>
          <w:bCs/>
          <w:color w:val="000000"/>
          <w:sz w:val="24"/>
        </w:rPr>
        <w:t>个月。</w:t>
      </w:r>
    </w:p>
    <w:p w:rsidR="00BC36F9" w:rsidRDefault="0030070B">
      <w:pPr>
        <w:spacing w:line="360" w:lineRule="auto"/>
        <w:ind w:firstLineChars="200" w:firstLine="480"/>
        <w:rPr>
          <w:rFonts w:ascii="宋体" w:hAnsi="宋体"/>
          <w:bCs/>
          <w:sz w:val="24"/>
        </w:rPr>
      </w:pPr>
      <w:bookmarkStart w:id="11" w:name="OLE_LINK7"/>
      <w:r>
        <w:rPr>
          <w:rFonts w:ascii="宋体" w:hAnsi="宋体" w:hint="eastAsia"/>
          <w:bCs/>
          <w:sz w:val="24"/>
        </w:rPr>
        <w:t>本基金自基金份额发售之日起</w:t>
      </w:r>
      <w:r>
        <w:rPr>
          <w:rFonts w:ascii="宋体" w:hAnsi="宋体"/>
          <w:bCs/>
          <w:sz w:val="24"/>
        </w:rPr>
        <w:t>3</w:t>
      </w:r>
      <w:r>
        <w:rPr>
          <w:rFonts w:ascii="宋体" w:hAnsi="宋体" w:hint="eastAsia"/>
          <w:bCs/>
          <w:sz w:val="24"/>
        </w:rPr>
        <w:t>个月内，在基金募集份额总额不少于</w:t>
      </w:r>
      <w:r>
        <w:rPr>
          <w:rFonts w:ascii="宋体" w:hAnsi="宋体"/>
          <w:bCs/>
          <w:sz w:val="24"/>
        </w:rPr>
        <w:t>2</w:t>
      </w:r>
      <w:r>
        <w:rPr>
          <w:rFonts w:ascii="宋体" w:hAnsi="宋体" w:hint="eastAsia"/>
          <w:bCs/>
          <w:sz w:val="24"/>
        </w:rPr>
        <w:t>亿份，基金募集金额不少于</w:t>
      </w:r>
      <w:r>
        <w:rPr>
          <w:rFonts w:ascii="宋体" w:hAnsi="宋体"/>
          <w:bCs/>
          <w:sz w:val="24"/>
        </w:rPr>
        <w:t xml:space="preserve">2 </w:t>
      </w:r>
      <w:r>
        <w:rPr>
          <w:rFonts w:ascii="宋体" w:hAnsi="宋体" w:hint="eastAsia"/>
          <w:bCs/>
          <w:sz w:val="24"/>
        </w:rPr>
        <w:t>亿元人民币且基金认购人数不少于</w:t>
      </w:r>
      <w:r>
        <w:rPr>
          <w:rFonts w:ascii="宋体" w:hAnsi="宋体"/>
          <w:bCs/>
          <w:sz w:val="24"/>
        </w:rPr>
        <w:t xml:space="preserve">200 </w:t>
      </w:r>
      <w:r>
        <w:rPr>
          <w:rFonts w:ascii="宋体" w:hAnsi="宋体" w:hint="eastAsia"/>
          <w:bCs/>
          <w:sz w:val="24"/>
        </w:rPr>
        <w:t>人的条件下，基金募集期届满或基金管理人依据法律法规及招募说明书可以决定停止基金发售，并在</w:t>
      </w:r>
      <w:r>
        <w:rPr>
          <w:rFonts w:ascii="宋体" w:hAnsi="宋体"/>
          <w:bCs/>
          <w:sz w:val="24"/>
        </w:rPr>
        <w:t>10</w:t>
      </w:r>
      <w:r>
        <w:rPr>
          <w:rFonts w:ascii="宋体" w:hAnsi="宋体" w:hint="eastAsia"/>
          <w:bCs/>
          <w:sz w:val="24"/>
        </w:rPr>
        <w:t>日内聘请法定验资机构验资，自收到验资报告之日起</w:t>
      </w:r>
      <w:r>
        <w:rPr>
          <w:rFonts w:ascii="宋体" w:hAnsi="宋体"/>
          <w:bCs/>
          <w:sz w:val="24"/>
        </w:rPr>
        <w:t xml:space="preserve">10 </w:t>
      </w:r>
      <w:r>
        <w:rPr>
          <w:rFonts w:ascii="宋体" w:hAnsi="宋体" w:hint="eastAsia"/>
          <w:bCs/>
          <w:sz w:val="24"/>
        </w:rPr>
        <w:t>日内，向中国证监会办理基金备案手续。</w:t>
      </w:r>
    </w:p>
    <w:p w:rsidR="00BC36F9" w:rsidRDefault="0030070B">
      <w:pPr>
        <w:spacing w:line="360" w:lineRule="auto"/>
        <w:ind w:firstLineChars="200" w:firstLine="480"/>
        <w:jc w:val="left"/>
        <w:rPr>
          <w:rFonts w:ascii="宋体"/>
          <w:bCs/>
          <w:color w:val="000000"/>
          <w:sz w:val="24"/>
        </w:rPr>
      </w:pPr>
      <w:r>
        <w:rPr>
          <w:rFonts w:ascii="宋体" w:hAnsi="宋体"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bookmarkEnd w:id="11"/>
    </w:p>
    <w:p w:rsidR="00BC36F9" w:rsidRDefault="0030070B">
      <w:pPr>
        <w:spacing w:line="360" w:lineRule="auto"/>
        <w:ind w:firstLineChars="200" w:firstLine="480"/>
        <w:jc w:val="left"/>
        <w:rPr>
          <w:rFonts w:ascii="宋体"/>
          <w:bCs/>
          <w:color w:val="000000"/>
          <w:sz w:val="24"/>
        </w:rPr>
      </w:pPr>
      <w:r>
        <w:rPr>
          <w:rFonts w:ascii="宋体" w:hint="eastAsia"/>
          <w:bCs/>
          <w:color w:val="000000"/>
          <w:sz w:val="24"/>
        </w:rPr>
        <w:t>如果募集期限届满，未满足基金备案条</w:t>
      </w:r>
      <w:r>
        <w:rPr>
          <w:rFonts w:ascii="宋体" w:hint="eastAsia"/>
          <w:bCs/>
          <w:color w:val="000000"/>
          <w:sz w:val="24"/>
        </w:rPr>
        <w:t>件，基金管理人应当承担下列责任：</w:t>
      </w:r>
    </w:p>
    <w:p w:rsidR="00BC36F9" w:rsidRDefault="0030070B">
      <w:pPr>
        <w:spacing w:line="360" w:lineRule="auto"/>
        <w:ind w:firstLineChars="200" w:firstLine="480"/>
        <w:jc w:val="left"/>
        <w:rPr>
          <w:rFonts w:ascii="宋体"/>
          <w:bCs/>
          <w:color w:val="000000"/>
          <w:sz w:val="24"/>
        </w:rPr>
      </w:pPr>
      <w:r>
        <w:rPr>
          <w:rFonts w:ascii="宋体" w:hint="eastAsia"/>
          <w:bCs/>
          <w:color w:val="000000"/>
          <w:sz w:val="24"/>
        </w:rPr>
        <w:t>（</w:t>
      </w:r>
      <w:r>
        <w:rPr>
          <w:rFonts w:ascii="宋体" w:hint="eastAsia"/>
          <w:bCs/>
          <w:color w:val="000000"/>
          <w:sz w:val="24"/>
        </w:rPr>
        <w:t>1</w:t>
      </w:r>
      <w:r>
        <w:rPr>
          <w:rFonts w:ascii="宋体" w:hint="eastAsia"/>
          <w:bCs/>
          <w:color w:val="000000"/>
          <w:sz w:val="24"/>
        </w:rPr>
        <w:t>）以其固有财产承担因募集行为而产生的债务和费用；</w:t>
      </w:r>
    </w:p>
    <w:p w:rsidR="00BC36F9" w:rsidRDefault="0030070B">
      <w:pPr>
        <w:spacing w:line="360" w:lineRule="auto"/>
        <w:ind w:firstLineChars="200" w:firstLine="480"/>
        <w:jc w:val="left"/>
        <w:rPr>
          <w:rFonts w:ascii="宋体"/>
          <w:bCs/>
          <w:color w:val="000000"/>
          <w:sz w:val="24"/>
        </w:rPr>
      </w:pPr>
      <w:r>
        <w:rPr>
          <w:rFonts w:ascii="宋体" w:hint="eastAsia"/>
          <w:bCs/>
          <w:color w:val="000000"/>
          <w:sz w:val="24"/>
        </w:rPr>
        <w:t>（</w:t>
      </w:r>
      <w:r>
        <w:rPr>
          <w:rFonts w:ascii="宋体" w:hint="eastAsia"/>
          <w:bCs/>
          <w:color w:val="000000"/>
          <w:sz w:val="24"/>
        </w:rPr>
        <w:t>2</w:t>
      </w:r>
      <w:r>
        <w:rPr>
          <w:rFonts w:ascii="宋体" w:hint="eastAsia"/>
          <w:bCs/>
          <w:color w:val="000000"/>
          <w:sz w:val="24"/>
        </w:rPr>
        <w:t>）在基金募集期限届满后</w:t>
      </w:r>
      <w:r>
        <w:rPr>
          <w:rFonts w:ascii="宋体" w:hint="eastAsia"/>
          <w:bCs/>
          <w:color w:val="000000"/>
          <w:sz w:val="24"/>
        </w:rPr>
        <w:t>30</w:t>
      </w:r>
      <w:r>
        <w:rPr>
          <w:rFonts w:ascii="宋体" w:hint="eastAsia"/>
          <w:bCs/>
          <w:color w:val="000000"/>
          <w:sz w:val="24"/>
        </w:rPr>
        <w:t>日内返还投资者已缴纳的款项，并加计银行同期活期存款利息；</w:t>
      </w:r>
    </w:p>
    <w:p w:rsidR="00BC36F9" w:rsidRDefault="0030070B">
      <w:pPr>
        <w:spacing w:line="360" w:lineRule="auto"/>
        <w:ind w:firstLineChars="200" w:firstLine="480"/>
        <w:rPr>
          <w:rFonts w:ascii="宋体"/>
          <w:bCs/>
          <w:sz w:val="24"/>
        </w:rPr>
      </w:pPr>
      <w:r>
        <w:rPr>
          <w:rFonts w:ascii="宋体" w:hint="eastAsia"/>
          <w:bCs/>
          <w:color w:val="000000"/>
          <w:sz w:val="24"/>
        </w:rPr>
        <w:t>（</w:t>
      </w:r>
      <w:r>
        <w:rPr>
          <w:rFonts w:ascii="宋体" w:hint="eastAsia"/>
          <w:bCs/>
          <w:color w:val="000000"/>
          <w:sz w:val="24"/>
        </w:rPr>
        <w:t>3</w:t>
      </w:r>
      <w:r>
        <w:rPr>
          <w:rFonts w:ascii="宋体" w:hint="eastAsia"/>
          <w:bCs/>
          <w:color w:val="000000"/>
          <w:sz w:val="24"/>
        </w:rPr>
        <w:t>）如基金募集失败，基金管理人、基金托管人及销售机构不得请求报酬。基金管理人、基金托管人和销售机构为基金募集支付之一切费用应由各方各自承担。</w:t>
      </w:r>
    </w:p>
    <w:p w:rsidR="00BC36F9" w:rsidRDefault="0030070B">
      <w:pPr>
        <w:tabs>
          <w:tab w:val="left" w:pos="5175"/>
        </w:tabs>
        <w:spacing w:line="360" w:lineRule="auto"/>
        <w:ind w:firstLineChars="200" w:firstLine="480"/>
        <w:rPr>
          <w:rFonts w:ascii="宋体"/>
          <w:bCs/>
          <w:sz w:val="24"/>
        </w:rPr>
      </w:pPr>
      <w:r>
        <w:rPr>
          <w:rFonts w:ascii="宋体" w:hint="eastAsia"/>
          <w:color w:val="000000"/>
          <w:kern w:val="0"/>
          <w:sz w:val="24"/>
        </w:rPr>
        <w:t>2</w:t>
      </w:r>
      <w:r>
        <w:rPr>
          <w:rFonts w:ascii="宋体" w:hint="eastAsia"/>
          <w:color w:val="000000"/>
          <w:kern w:val="0"/>
          <w:sz w:val="24"/>
        </w:rPr>
        <w:t>、发售方式及场所</w:t>
      </w:r>
    </w:p>
    <w:p w:rsidR="00BC36F9" w:rsidRDefault="0030070B">
      <w:pPr>
        <w:tabs>
          <w:tab w:val="left" w:pos="5175"/>
        </w:tabs>
        <w:spacing w:line="360" w:lineRule="auto"/>
        <w:ind w:firstLineChars="200" w:firstLine="480"/>
        <w:rPr>
          <w:rFonts w:ascii="宋体"/>
          <w:color w:val="000000"/>
          <w:kern w:val="0"/>
          <w:sz w:val="24"/>
        </w:rPr>
      </w:pPr>
      <w:r>
        <w:rPr>
          <w:rFonts w:ascii="宋体" w:hint="eastAsia"/>
          <w:color w:val="000000"/>
          <w:kern w:val="0"/>
          <w:sz w:val="24"/>
        </w:rPr>
        <w:t>本基金通过本</w:t>
      </w:r>
      <w:r>
        <w:rPr>
          <w:rFonts w:ascii="宋体"/>
          <w:color w:val="000000"/>
          <w:sz w:val="24"/>
        </w:rPr>
        <w:t>公司直销</w:t>
      </w:r>
      <w:r>
        <w:rPr>
          <w:rFonts w:ascii="宋体" w:hint="eastAsia"/>
          <w:color w:val="000000"/>
          <w:sz w:val="24"/>
        </w:rPr>
        <w:t>机构及其他销售机构进行公开发售，</w:t>
      </w:r>
      <w:r>
        <w:rPr>
          <w:rFonts w:ascii="宋体" w:hint="eastAsia"/>
          <w:bCs/>
          <w:color w:val="000000"/>
          <w:sz w:val="24"/>
        </w:rPr>
        <w:t>基金管理人可根据情况变更或增减销售机构，并在基金管理人网站公示。</w:t>
      </w:r>
    </w:p>
    <w:p w:rsidR="00BC36F9" w:rsidRDefault="0030070B">
      <w:pPr>
        <w:tabs>
          <w:tab w:val="left" w:pos="5175"/>
        </w:tabs>
        <w:spacing w:line="360" w:lineRule="auto"/>
        <w:ind w:firstLineChars="200" w:firstLine="480"/>
        <w:rPr>
          <w:rFonts w:ascii="宋体"/>
          <w:color w:val="000000"/>
          <w:kern w:val="0"/>
          <w:sz w:val="24"/>
        </w:rPr>
      </w:pPr>
      <w:r>
        <w:rPr>
          <w:rFonts w:ascii="宋体" w:hint="eastAsia"/>
          <w:color w:val="000000"/>
          <w:kern w:val="0"/>
          <w:sz w:val="24"/>
        </w:rPr>
        <w:t>3</w:t>
      </w:r>
      <w:r>
        <w:rPr>
          <w:rFonts w:ascii="宋体" w:hint="eastAsia"/>
          <w:color w:val="000000"/>
          <w:kern w:val="0"/>
          <w:sz w:val="24"/>
        </w:rPr>
        <w:t>、发售对象</w:t>
      </w:r>
    </w:p>
    <w:p w:rsidR="00BC36F9" w:rsidRDefault="0030070B">
      <w:pPr>
        <w:spacing w:line="360" w:lineRule="auto"/>
        <w:ind w:firstLine="480"/>
        <w:rPr>
          <w:rFonts w:ascii="宋体"/>
          <w:bCs/>
          <w:color w:val="000000"/>
          <w:sz w:val="24"/>
        </w:rPr>
      </w:pPr>
      <w:bookmarkStart w:id="12" w:name="OLE_LINK8"/>
      <w:bookmarkStart w:id="13" w:name="OLE_LINK9"/>
      <w:r>
        <w:rPr>
          <w:rFonts w:ascii="宋体" w:hAnsi="宋体"/>
          <w:bCs/>
          <w:sz w:val="24"/>
        </w:rPr>
        <w:t>符合法律法规规定的可投资于证券投资基金的</w:t>
      </w:r>
      <w:r>
        <w:rPr>
          <w:rFonts w:ascii="宋体" w:hAnsi="宋体"/>
          <w:bCs/>
          <w:sz w:val="24"/>
        </w:rPr>
        <w:t>个人投资者、机构投资者、合格境外投资者以及法律法规或中国证监会允许购买证券投资基金的其他投资人。</w:t>
      </w:r>
      <w:bookmarkEnd w:id="12"/>
      <w:bookmarkEnd w:id="13"/>
    </w:p>
    <w:p w:rsidR="00BC36F9" w:rsidRDefault="0030070B">
      <w:pPr>
        <w:tabs>
          <w:tab w:val="left" w:pos="5175"/>
        </w:tabs>
        <w:spacing w:line="360" w:lineRule="auto"/>
        <w:ind w:firstLineChars="200" w:firstLine="480"/>
        <w:rPr>
          <w:rFonts w:ascii="宋体"/>
          <w:color w:val="000000"/>
          <w:kern w:val="0"/>
          <w:sz w:val="24"/>
        </w:rPr>
      </w:pPr>
      <w:r>
        <w:rPr>
          <w:rFonts w:ascii="宋体" w:hint="eastAsia"/>
          <w:color w:val="000000"/>
          <w:kern w:val="0"/>
          <w:sz w:val="24"/>
        </w:rPr>
        <w:t>4</w:t>
      </w:r>
      <w:r>
        <w:rPr>
          <w:rFonts w:ascii="宋体" w:hint="eastAsia"/>
          <w:color w:val="000000"/>
          <w:kern w:val="0"/>
          <w:sz w:val="24"/>
        </w:rPr>
        <w:t>、基金份额的认购费用</w:t>
      </w:r>
    </w:p>
    <w:p w:rsidR="00BC36F9" w:rsidRDefault="0030070B">
      <w:pPr>
        <w:spacing w:line="360" w:lineRule="auto"/>
        <w:ind w:firstLineChars="200" w:firstLine="480"/>
        <w:rPr>
          <w:bCs/>
          <w:sz w:val="24"/>
        </w:rPr>
      </w:pPr>
      <w:r>
        <w:rPr>
          <w:rFonts w:hint="eastAsia"/>
          <w:bCs/>
          <w:sz w:val="24"/>
        </w:rPr>
        <w:t>本基金</w:t>
      </w:r>
      <w:r>
        <w:rPr>
          <w:rFonts w:ascii="宋体" w:hAnsi="宋体" w:hint="eastAsia"/>
          <w:bCs/>
          <w:sz w:val="24"/>
        </w:rPr>
        <w:t>A</w:t>
      </w:r>
      <w:r>
        <w:rPr>
          <w:rFonts w:hint="eastAsia"/>
          <w:bCs/>
          <w:sz w:val="24"/>
        </w:rPr>
        <w:t>类基金份额在认购时收取认购费，本基金</w:t>
      </w:r>
      <w:r>
        <w:rPr>
          <w:rFonts w:ascii="宋体" w:hAnsi="宋体" w:hint="eastAsia"/>
          <w:bCs/>
          <w:sz w:val="24"/>
        </w:rPr>
        <w:t>C</w:t>
      </w:r>
      <w:r>
        <w:rPr>
          <w:rFonts w:hint="eastAsia"/>
          <w:bCs/>
          <w:sz w:val="24"/>
        </w:rPr>
        <w:t>类基金份额在认购时不收取认购费。本基金</w:t>
      </w:r>
      <w:r>
        <w:rPr>
          <w:rFonts w:ascii="宋体" w:hAnsi="宋体" w:hint="eastAsia"/>
          <w:bCs/>
          <w:sz w:val="24"/>
        </w:rPr>
        <w:t>A</w:t>
      </w:r>
      <w:r>
        <w:rPr>
          <w:rFonts w:hint="eastAsia"/>
          <w:bCs/>
          <w:sz w:val="24"/>
        </w:rPr>
        <w:t>类基金份额的认购费率由基金管理人决定。基金认购费用不列入基金财产。</w:t>
      </w:r>
      <w:r>
        <w:rPr>
          <w:rFonts w:ascii="宋体" w:hAnsi="宋体" w:hint="eastAsia"/>
          <w:bCs/>
          <w:sz w:val="24"/>
        </w:rPr>
        <w:t>A</w:t>
      </w:r>
      <w:r>
        <w:rPr>
          <w:rFonts w:hint="eastAsia"/>
          <w:bCs/>
          <w:sz w:val="24"/>
        </w:rPr>
        <w:t>类基金份额的认购费用在投资人认购</w:t>
      </w:r>
      <w:r>
        <w:rPr>
          <w:rFonts w:ascii="宋体" w:hAnsi="宋体" w:hint="eastAsia"/>
          <w:bCs/>
          <w:sz w:val="24"/>
        </w:rPr>
        <w:t>A</w:t>
      </w:r>
      <w:r>
        <w:rPr>
          <w:rFonts w:hint="eastAsia"/>
          <w:bCs/>
          <w:sz w:val="24"/>
        </w:rPr>
        <w:t>类基金份额时收取，多次认购的，按单笔认购金额对应的费率档次分别计费，具体费率如下：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42"/>
        <w:gridCol w:w="2793"/>
      </w:tblGrid>
      <w:tr w:rsidR="00BC36F9">
        <w:trPr>
          <w:trHeight w:val="211"/>
          <w:jc w:val="center"/>
        </w:trPr>
        <w:tc>
          <w:tcPr>
            <w:tcW w:w="3142" w:type="dxa"/>
          </w:tcPr>
          <w:p w:rsidR="00BC36F9" w:rsidRDefault="0030070B">
            <w:pPr>
              <w:spacing w:line="0" w:lineRule="atLeast"/>
              <w:jc w:val="center"/>
              <w:rPr>
                <w:rFonts w:ascii="宋体" w:hAnsi="宋体"/>
                <w:bCs/>
                <w:sz w:val="24"/>
              </w:rPr>
            </w:pPr>
            <w:r>
              <w:rPr>
                <w:rFonts w:ascii="宋体" w:hAnsi="宋体" w:hint="eastAsia"/>
                <w:bCs/>
                <w:sz w:val="24"/>
              </w:rPr>
              <w:t>认购金额（</w:t>
            </w:r>
            <w:r>
              <w:rPr>
                <w:rFonts w:ascii="宋体" w:hAnsi="宋体"/>
                <w:bCs/>
                <w:sz w:val="24"/>
              </w:rPr>
              <w:t>M,</w:t>
            </w:r>
            <w:r>
              <w:rPr>
                <w:rFonts w:ascii="宋体" w:hAnsi="宋体" w:hint="eastAsia"/>
                <w:bCs/>
                <w:sz w:val="24"/>
              </w:rPr>
              <w:t>含认购费）</w:t>
            </w:r>
          </w:p>
        </w:tc>
        <w:tc>
          <w:tcPr>
            <w:tcW w:w="2793" w:type="dxa"/>
          </w:tcPr>
          <w:p w:rsidR="00BC36F9" w:rsidRDefault="0030070B">
            <w:pPr>
              <w:spacing w:line="0" w:lineRule="atLeast"/>
              <w:ind w:firstLineChars="200" w:firstLine="480"/>
              <w:jc w:val="center"/>
              <w:rPr>
                <w:rFonts w:ascii="宋体" w:hAnsi="宋体"/>
                <w:bCs/>
                <w:sz w:val="24"/>
              </w:rPr>
            </w:pPr>
            <w:r>
              <w:rPr>
                <w:rFonts w:ascii="宋体" w:hAnsi="宋体" w:hint="eastAsia"/>
                <w:bCs/>
                <w:sz w:val="24"/>
              </w:rPr>
              <w:t>认购费率</w:t>
            </w:r>
          </w:p>
        </w:tc>
      </w:tr>
      <w:tr w:rsidR="00BC36F9">
        <w:trPr>
          <w:trHeight w:val="211"/>
          <w:jc w:val="center"/>
        </w:trPr>
        <w:tc>
          <w:tcPr>
            <w:tcW w:w="3142" w:type="dxa"/>
          </w:tcPr>
          <w:p w:rsidR="00BC36F9" w:rsidRDefault="0030070B">
            <w:pPr>
              <w:spacing w:line="0" w:lineRule="atLeast"/>
              <w:jc w:val="center"/>
              <w:rPr>
                <w:rFonts w:ascii="宋体" w:hAnsi="宋体"/>
                <w:bCs/>
                <w:sz w:val="24"/>
              </w:rPr>
            </w:pPr>
            <w:r>
              <w:rPr>
                <w:rFonts w:ascii="宋体" w:hAnsi="宋体"/>
                <w:sz w:val="24"/>
              </w:rPr>
              <w:t>M</w:t>
            </w:r>
            <w:r>
              <w:rPr>
                <w:rFonts w:ascii="宋体" w:hAnsi="宋体" w:hint="eastAsia"/>
                <w:sz w:val="24"/>
              </w:rPr>
              <w:t>＜</w:t>
            </w:r>
            <w:r>
              <w:rPr>
                <w:rFonts w:ascii="宋体" w:hAnsi="宋体"/>
                <w:sz w:val="24"/>
              </w:rPr>
              <w:t>100</w:t>
            </w:r>
            <w:r>
              <w:rPr>
                <w:rFonts w:ascii="宋体" w:hAnsi="宋体" w:hint="eastAsia"/>
                <w:sz w:val="24"/>
              </w:rPr>
              <w:t>万元</w:t>
            </w:r>
          </w:p>
        </w:tc>
        <w:tc>
          <w:tcPr>
            <w:tcW w:w="2793" w:type="dxa"/>
          </w:tcPr>
          <w:p w:rsidR="00BC36F9" w:rsidRDefault="0030070B">
            <w:pPr>
              <w:spacing w:line="0" w:lineRule="atLeast"/>
              <w:jc w:val="center"/>
              <w:rPr>
                <w:rFonts w:ascii="宋体" w:hAnsi="宋体"/>
                <w:bCs/>
                <w:sz w:val="24"/>
              </w:rPr>
            </w:pPr>
            <w:r>
              <w:rPr>
                <w:rFonts w:ascii="宋体" w:hAnsi="宋体"/>
                <w:sz w:val="24"/>
              </w:rPr>
              <w:t>0.80%</w:t>
            </w:r>
          </w:p>
        </w:tc>
      </w:tr>
      <w:tr w:rsidR="00BC36F9">
        <w:trPr>
          <w:trHeight w:val="211"/>
          <w:jc w:val="center"/>
        </w:trPr>
        <w:tc>
          <w:tcPr>
            <w:tcW w:w="3142" w:type="dxa"/>
          </w:tcPr>
          <w:p w:rsidR="00BC36F9" w:rsidRDefault="0030070B">
            <w:pPr>
              <w:spacing w:line="0" w:lineRule="atLeast"/>
              <w:jc w:val="center"/>
              <w:rPr>
                <w:rFonts w:ascii="宋体" w:hAnsi="宋体"/>
                <w:bCs/>
                <w:sz w:val="24"/>
              </w:rPr>
            </w:pPr>
            <w:r>
              <w:rPr>
                <w:rFonts w:ascii="宋体" w:hAnsi="宋体"/>
                <w:sz w:val="24"/>
              </w:rPr>
              <w:t>100</w:t>
            </w:r>
            <w:r>
              <w:rPr>
                <w:rFonts w:ascii="宋体" w:hAnsi="宋体" w:hint="eastAsia"/>
                <w:sz w:val="24"/>
              </w:rPr>
              <w:t>万元≤</w:t>
            </w:r>
            <w:r>
              <w:rPr>
                <w:rFonts w:ascii="宋体" w:hAnsi="宋体"/>
                <w:sz w:val="24"/>
              </w:rPr>
              <w:t>M</w:t>
            </w:r>
            <w:r>
              <w:rPr>
                <w:rFonts w:ascii="宋体" w:hAnsi="宋体" w:hint="eastAsia"/>
                <w:sz w:val="24"/>
              </w:rPr>
              <w:t>＜</w:t>
            </w:r>
            <w:r>
              <w:rPr>
                <w:rFonts w:ascii="宋体" w:hAnsi="宋体"/>
                <w:sz w:val="24"/>
              </w:rPr>
              <w:t>500</w:t>
            </w:r>
            <w:r>
              <w:rPr>
                <w:rFonts w:ascii="宋体" w:hAnsi="宋体" w:hint="eastAsia"/>
                <w:sz w:val="24"/>
              </w:rPr>
              <w:t>万元</w:t>
            </w:r>
          </w:p>
        </w:tc>
        <w:tc>
          <w:tcPr>
            <w:tcW w:w="2793" w:type="dxa"/>
          </w:tcPr>
          <w:p w:rsidR="00BC36F9" w:rsidRDefault="0030070B">
            <w:pPr>
              <w:spacing w:line="0" w:lineRule="atLeast"/>
              <w:jc w:val="center"/>
              <w:rPr>
                <w:rFonts w:ascii="宋体" w:hAnsi="宋体"/>
                <w:bCs/>
                <w:sz w:val="24"/>
              </w:rPr>
            </w:pPr>
            <w:r>
              <w:rPr>
                <w:rFonts w:ascii="宋体" w:hAnsi="宋体"/>
                <w:sz w:val="24"/>
              </w:rPr>
              <w:t>0.40%</w:t>
            </w:r>
          </w:p>
        </w:tc>
      </w:tr>
      <w:tr w:rsidR="00BC36F9">
        <w:trPr>
          <w:trHeight w:val="211"/>
          <w:jc w:val="center"/>
        </w:trPr>
        <w:tc>
          <w:tcPr>
            <w:tcW w:w="3142" w:type="dxa"/>
          </w:tcPr>
          <w:p w:rsidR="00BC36F9" w:rsidRDefault="0030070B">
            <w:pPr>
              <w:spacing w:line="0" w:lineRule="atLeast"/>
              <w:jc w:val="center"/>
              <w:rPr>
                <w:rFonts w:ascii="宋体" w:hAnsi="宋体"/>
                <w:bCs/>
                <w:sz w:val="24"/>
              </w:rPr>
            </w:pPr>
            <w:r>
              <w:rPr>
                <w:rFonts w:ascii="宋体" w:hAnsi="宋体"/>
                <w:sz w:val="24"/>
              </w:rPr>
              <w:t>M</w:t>
            </w:r>
            <w:r>
              <w:rPr>
                <w:rFonts w:ascii="宋体" w:hAnsi="宋体" w:hint="eastAsia"/>
                <w:sz w:val="24"/>
              </w:rPr>
              <w:t>≥</w:t>
            </w:r>
            <w:r>
              <w:rPr>
                <w:rFonts w:ascii="宋体" w:hAnsi="宋体"/>
                <w:sz w:val="24"/>
              </w:rPr>
              <w:t>500</w:t>
            </w:r>
            <w:r>
              <w:rPr>
                <w:rFonts w:ascii="宋体" w:hAnsi="宋体" w:hint="eastAsia"/>
                <w:sz w:val="24"/>
              </w:rPr>
              <w:t>万元</w:t>
            </w:r>
          </w:p>
        </w:tc>
        <w:tc>
          <w:tcPr>
            <w:tcW w:w="2793" w:type="dxa"/>
          </w:tcPr>
          <w:p w:rsidR="00BC36F9" w:rsidRDefault="0030070B">
            <w:pPr>
              <w:spacing w:line="0" w:lineRule="atLeast"/>
              <w:jc w:val="center"/>
              <w:rPr>
                <w:rFonts w:ascii="宋体" w:hAnsi="宋体"/>
                <w:bCs/>
                <w:sz w:val="24"/>
              </w:rPr>
            </w:pPr>
            <w:r>
              <w:rPr>
                <w:rFonts w:ascii="宋体" w:hAnsi="宋体" w:hint="eastAsia"/>
                <w:sz w:val="24"/>
              </w:rPr>
              <w:t>按笔收取，</w:t>
            </w:r>
            <w:r>
              <w:rPr>
                <w:rFonts w:ascii="宋体" w:hAnsi="宋体"/>
                <w:sz w:val="24"/>
              </w:rPr>
              <w:t>1000</w:t>
            </w:r>
            <w:r>
              <w:rPr>
                <w:rFonts w:ascii="宋体" w:hAnsi="宋体" w:hint="eastAsia"/>
                <w:sz w:val="24"/>
              </w:rPr>
              <w:t>元</w:t>
            </w:r>
            <w:r>
              <w:rPr>
                <w:rFonts w:ascii="宋体" w:hAnsi="宋体"/>
                <w:sz w:val="24"/>
              </w:rPr>
              <w:t>/</w:t>
            </w:r>
            <w:r>
              <w:rPr>
                <w:rFonts w:ascii="宋体" w:hAnsi="宋体" w:hint="eastAsia"/>
                <w:sz w:val="24"/>
              </w:rPr>
              <w:t>笔</w:t>
            </w:r>
          </w:p>
        </w:tc>
      </w:tr>
    </w:tbl>
    <w:p w:rsidR="00BC36F9" w:rsidRDefault="0030070B" w:rsidP="0030070B">
      <w:pPr>
        <w:spacing w:beforeLines="50" w:line="360" w:lineRule="auto"/>
        <w:ind w:firstLineChars="200" w:firstLine="480"/>
        <w:rPr>
          <w:rFonts w:ascii="宋体"/>
          <w:bCs/>
          <w:color w:val="000000"/>
          <w:sz w:val="24"/>
        </w:rPr>
      </w:pPr>
      <w:r>
        <w:rPr>
          <w:rFonts w:ascii="宋体" w:hint="eastAsia"/>
          <w:bCs/>
          <w:color w:val="000000"/>
          <w:sz w:val="24"/>
        </w:rPr>
        <w:t>5</w:t>
      </w:r>
      <w:r>
        <w:rPr>
          <w:rFonts w:ascii="宋体" w:hint="eastAsia"/>
          <w:bCs/>
          <w:color w:val="000000"/>
          <w:sz w:val="24"/>
        </w:rPr>
        <w:t>、基金认购份额的计算：</w:t>
      </w:r>
    </w:p>
    <w:p w:rsidR="00BC36F9" w:rsidRDefault="0030070B">
      <w:pPr>
        <w:spacing w:line="360" w:lineRule="auto"/>
        <w:ind w:firstLineChars="200" w:firstLine="480"/>
        <w:rPr>
          <w:rFonts w:ascii="宋体" w:hAnsi="宋体"/>
          <w:bCs/>
          <w:color w:val="000000"/>
          <w:sz w:val="24"/>
        </w:rPr>
      </w:pPr>
      <w:r>
        <w:rPr>
          <w:rFonts w:ascii="宋体" w:hAnsi="宋体" w:hint="eastAsia"/>
          <w:bCs/>
          <w:color w:val="000000"/>
          <w:sz w:val="24"/>
        </w:rPr>
        <w:t>（</w:t>
      </w:r>
      <w:r>
        <w:rPr>
          <w:rFonts w:ascii="宋体" w:hAnsi="宋体" w:hint="eastAsia"/>
          <w:bCs/>
          <w:color w:val="000000"/>
          <w:sz w:val="24"/>
        </w:rPr>
        <w:t>1</w:t>
      </w:r>
      <w:r>
        <w:rPr>
          <w:rFonts w:ascii="宋体" w:hAnsi="宋体" w:hint="eastAsia"/>
          <w:bCs/>
          <w:color w:val="000000"/>
          <w:sz w:val="24"/>
        </w:rPr>
        <w:t>）</w:t>
      </w:r>
      <w:r>
        <w:rPr>
          <w:rFonts w:ascii="宋体" w:hAnsi="宋体" w:hint="eastAsia"/>
          <w:bCs/>
          <w:color w:val="000000"/>
          <w:sz w:val="24"/>
        </w:rPr>
        <w:t>A</w:t>
      </w:r>
      <w:r>
        <w:rPr>
          <w:rFonts w:ascii="宋体" w:hAnsi="宋体" w:hint="eastAsia"/>
          <w:bCs/>
          <w:color w:val="000000"/>
          <w:sz w:val="24"/>
        </w:rPr>
        <w:t>类基金份额认购份额计算方法：</w:t>
      </w:r>
    </w:p>
    <w:p w:rsidR="00BC36F9" w:rsidRDefault="0030070B">
      <w:pPr>
        <w:spacing w:line="360" w:lineRule="auto"/>
        <w:ind w:firstLineChars="200" w:firstLine="480"/>
        <w:rPr>
          <w:rFonts w:ascii="宋体" w:hAnsi="宋体"/>
          <w:bCs/>
          <w:sz w:val="24"/>
        </w:rPr>
      </w:pPr>
      <w:r>
        <w:rPr>
          <w:rFonts w:ascii="宋体" w:hAnsi="宋体" w:hint="eastAsia"/>
          <w:bCs/>
          <w:sz w:val="24"/>
        </w:rPr>
        <w:t>1</w:t>
      </w:r>
      <w:r>
        <w:rPr>
          <w:rFonts w:ascii="宋体" w:hAnsi="宋体"/>
          <w:bCs/>
          <w:sz w:val="24"/>
        </w:rPr>
        <w:t>）</w:t>
      </w:r>
      <w:r>
        <w:rPr>
          <w:rFonts w:ascii="宋体" w:hAnsi="宋体" w:hint="eastAsia"/>
          <w:bCs/>
          <w:sz w:val="24"/>
        </w:rPr>
        <w:t>认购费用适用比例费率时，认购份额的计算方法如下：</w:t>
      </w:r>
    </w:p>
    <w:p w:rsidR="00BC36F9" w:rsidRDefault="0030070B">
      <w:pPr>
        <w:spacing w:line="360" w:lineRule="auto"/>
        <w:ind w:firstLineChars="200" w:firstLine="480"/>
        <w:rPr>
          <w:rFonts w:ascii="宋体" w:hAnsi="宋体"/>
          <w:bCs/>
          <w:sz w:val="24"/>
        </w:rPr>
      </w:pPr>
      <w:r>
        <w:rPr>
          <w:rFonts w:ascii="宋体" w:hAnsi="宋体" w:hint="eastAsia"/>
          <w:bCs/>
          <w:sz w:val="24"/>
        </w:rPr>
        <w:t>净认购金额＝认购金额</w:t>
      </w:r>
      <w:r>
        <w:rPr>
          <w:rFonts w:ascii="宋体" w:hAnsi="宋体"/>
          <w:bCs/>
          <w:sz w:val="24"/>
        </w:rPr>
        <w:t>/(1</w:t>
      </w:r>
      <w:r>
        <w:rPr>
          <w:rFonts w:ascii="宋体" w:hAnsi="宋体" w:hint="eastAsia"/>
          <w:bCs/>
          <w:sz w:val="24"/>
        </w:rPr>
        <w:t>＋认购费率</w:t>
      </w:r>
      <w:r>
        <w:rPr>
          <w:rFonts w:ascii="宋体" w:hAnsi="宋体"/>
          <w:bCs/>
          <w:sz w:val="24"/>
        </w:rPr>
        <w:t>)</w:t>
      </w:r>
    </w:p>
    <w:p w:rsidR="00BC36F9" w:rsidRDefault="0030070B">
      <w:pPr>
        <w:spacing w:line="360" w:lineRule="auto"/>
        <w:ind w:firstLineChars="200" w:firstLine="480"/>
        <w:rPr>
          <w:rFonts w:ascii="宋体" w:hAnsi="宋体"/>
          <w:bCs/>
          <w:sz w:val="24"/>
        </w:rPr>
      </w:pPr>
      <w:r>
        <w:rPr>
          <w:rFonts w:ascii="宋体" w:hAnsi="宋体" w:hint="eastAsia"/>
          <w:bCs/>
          <w:sz w:val="24"/>
        </w:rPr>
        <w:t>认购费用＝认购金额－净认购金额</w:t>
      </w:r>
    </w:p>
    <w:p w:rsidR="00BC36F9" w:rsidRDefault="0030070B">
      <w:pPr>
        <w:spacing w:line="360" w:lineRule="auto"/>
        <w:ind w:firstLineChars="200" w:firstLine="480"/>
        <w:rPr>
          <w:rFonts w:ascii="宋体" w:hAnsi="宋体"/>
          <w:bCs/>
          <w:sz w:val="24"/>
        </w:rPr>
      </w:pPr>
      <w:r>
        <w:rPr>
          <w:rFonts w:ascii="宋体" w:hAnsi="宋体" w:hint="eastAsia"/>
          <w:bCs/>
          <w:sz w:val="24"/>
        </w:rPr>
        <w:t>认购份额＝（净认购金额＋认购资金利息）</w:t>
      </w:r>
      <w:r>
        <w:rPr>
          <w:rFonts w:ascii="宋体" w:hAnsi="宋体"/>
          <w:bCs/>
          <w:sz w:val="24"/>
        </w:rPr>
        <w:t>/1.00</w:t>
      </w:r>
      <w:r>
        <w:rPr>
          <w:rFonts w:ascii="宋体" w:hAnsi="宋体" w:hint="eastAsia"/>
          <w:bCs/>
          <w:sz w:val="24"/>
        </w:rPr>
        <w:t>元</w:t>
      </w:r>
    </w:p>
    <w:p w:rsidR="00BC36F9" w:rsidRDefault="0030070B">
      <w:pPr>
        <w:spacing w:line="360" w:lineRule="auto"/>
        <w:ind w:firstLineChars="200" w:firstLine="480"/>
        <w:rPr>
          <w:rFonts w:ascii="宋体" w:hAnsi="宋体"/>
          <w:bCs/>
          <w:sz w:val="24"/>
        </w:rPr>
      </w:pPr>
      <w:r>
        <w:rPr>
          <w:rFonts w:ascii="宋体" w:hAnsi="宋体" w:hint="eastAsia"/>
          <w:bCs/>
          <w:sz w:val="24"/>
        </w:rPr>
        <w:t>2</w:t>
      </w:r>
      <w:r>
        <w:rPr>
          <w:rFonts w:ascii="宋体" w:hAnsi="宋体" w:hint="eastAsia"/>
          <w:bCs/>
          <w:sz w:val="24"/>
        </w:rPr>
        <w:t>）认购费用为固定金额时，认购份额的计算方法如下：</w:t>
      </w:r>
    </w:p>
    <w:p w:rsidR="00BC36F9" w:rsidRDefault="0030070B">
      <w:pPr>
        <w:spacing w:line="360" w:lineRule="auto"/>
        <w:ind w:firstLineChars="200" w:firstLine="480"/>
        <w:rPr>
          <w:rFonts w:ascii="宋体" w:hAnsi="宋体"/>
          <w:bCs/>
          <w:sz w:val="24"/>
        </w:rPr>
      </w:pPr>
      <w:r>
        <w:rPr>
          <w:rFonts w:ascii="宋体" w:hAnsi="宋体" w:hint="eastAsia"/>
          <w:bCs/>
          <w:sz w:val="24"/>
        </w:rPr>
        <w:t>认购费用＝固定金额</w:t>
      </w:r>
    </w:p>
    <w:p w:rsidR="00BC36F9" w:rsidRDefault="0030070B">
      <w:pPr>
        <w:spacing w:line="360" w:lineRule="auto"/>
        <w:ind w:firstLineChars="200" w:firstLine="480"/>
        <w:rPr>
          <w:rFonts w:ascii="宋体" w:hAnsi="宋体"/>
          <w:bCs/>
          <w:sz w:val="24"/>
        </w:rPr>
      </w:pPr>
      <w:r>
        <w:rPr>
          <w:rFonts w:ascii="宋体" w:hAnsi="宋体" w:hint="eastAsia"/>
          <w:bCs/>
          <w:sz w:val="24"/>
        </w:rPr>
        <w:t>净认购金额＝认购金额－认购费用</w:t>
      </w:r>
    </w:p>
    <w:p w:rsidR="00BC36F9" w:rsidRDefault="0030070B">
      <w:pPr>
        <w:spacing w:line="360" w:lineRule="auto"/>
        <w:ind w:firstLineChars="200" w:firstLine="480"/>
        <w:rPr>
          <w:rFonts w:ascii="宋体" w:hAnsi="宋体"/>
          <w:bCs/>
          <w:sz w:val="24"/>
        </w:rPr>
      </w:pPr>
      <w:r>
        <w:rPr>
          <w:rFonts w:ascii="宋体" w:hAnsi="宋体" w:hint="eastAsia"/>
          <w:bCs/>
          <w:sz w:val="24"/>
        </w:rPr>
        <w:t>认购份额＝（净认购金额</w:t>
      </w:r>
      <w:r>
        <w:rPr>
          <w:rFonts w:ascii="宋体" w:hAnsi="宋体"/>
          <w:bCs/>
          <w:sz w:val="24"/>
        </w:rPr>
        <w:t>+</w:t>
      </w:r>
      <w:r>
        <w:rPr>
          <w:rFonts w:ascii="宋体" w:hAnsi="宋体" w:hint="eastAsia"/>
          <w:bCs/>
          <w:sz w:val="24"/>
        </w:rPr>
        <w:t>认购资金利息）</w:t>
      </w:r>
      <w:r>
        <w:rPr>
          <w:rFonts w:ascii="宋体" w:hAnsi="宋体"/>
          <w:bCs/>
          <w:sz w:val="24"/>
        </w:rPr>
        <w:t>/1.00</w:t>
      </w:r>
      <w:r>
        <w:rPr>
          <w:rFonts w:ascii="宋体" w:hAnsi="宋体" w:hint="eastAsia"/>
          <w:bCs/>
          <w:sz w:val="24"/>
        </w:rPr>
        <w:t>元</w:t>
      </w:r>
    </w:p>
    <w:p w:rsidR="00BC36F9" w:rsidRDefault="0030070B">
      <w:pPr>
        <w:spacing w:line="360" w:lineRule="auto"/>
        <w:ind w:firstLineChars="200" w:firstLine="480"/>
        <w:rPr>
          <w:rFonts w:ascii="宋体" w:hAnsi="宋体"/>
          <w:bCs/>
          <w:sz w:val="24"/>
        </w:rPr>
      </w:pPr>
      <w:r>
        <w:rPr>
          <w:rFonts w:ascii="宋体" w:hAnsi="宋体" w:hint="eastAsia"/>
          <w:bCs/>
          <w:sz w:val="24"/>
        </w:rPr>
        <w:t>其中：认购份额的计算结果保留小数点后两位，小数点两位以后的部分</w:t>
      </w:r>
      <w:r>
        <w:rPr>
          <w:rFonts w:ascii="宋体" w:hAnsi="宋体"/>
          <w:bCs/>
          <w:sz w:val="24"/>
        </w:rPr>
        <w:t>四舍五入</w:t>
      </w:r>
      <w:r>
        <w:rPr>
          <w:rFonts w:ascii="宋体" w:hAnsi="宋体" w:hint="eastAsia"/>
          <w:bCs/>
          <w:sz w:val="24"/>
        </w:rPr>
        <w:t>，</w:t>
      </w:r>
      <w:r>
        <w:rPr>
          <w:rFonts w:ascii="宋体" w:hAnsi="宋体"/>
          <w:bCs/>
          <w:sz w:val="24"/>
        </w:rPr>
        <w:t>由此误差产生的收益或损失由基金财产承担</w:t>
      </w:r>
      <w:r>
        <w:rPr>
          <w:rFonts w:ascii="宋体" w:hAnsi="宋体" w:hint="eastAsia"/>
          <w:bCs/>
          <w:sz w:val="24"/>
        </w:rPr>
        <w:t>。</w:t>
      </w:r>
    </w:p>
    <w:p w:rsidR="00BC36F9" w:rsidRDefault="0030070B">
      <w:pPr>
        <w:spacing w:line="360" w:lineRule="auto"/>
        <w:ind w:firstLineChars="200" w:firstLine="480"/>
        <w:rPr>
          <w:rFonts w:ascii="宋体" w:hAnsi="宋体"/>
          <w:bCs/>
          <w:sz w:val="24"/>
        </w:rPr>
      </w:pPr>
      <w:r>
        <w:rPr>
          <w:rFonts w:ascii="宋体" w:hAnsi="宋体" w:hint="eastAsia"/>
          <w:bCs/>
          <w:sz w:val="24"/>
        </w:rPr>
        <w:t>例：某投资者投资</w:t>
      </w:r>
      <w:r>
        <w:rPr>
          <w:rFonts w:ascii="宋体" w:hAnsi="宋体" w:hint="eastAsia"/>
          <w:bCs/>
          <w:sz w:val="24"/>
        </w:rPr>
        <w:t>100,000</w:t>
      </w:r>
      <w:r>
        <w:rPr>
          <w:rFonts w:ascii="宋体" w:hAnsi="宋体" w:hint="eastAsia"/>
          <w:bCs/>
          <w:sz w:val="24"/>
        </w:rPr>
        <w:t>元认购本基金</w:t>
      </w:r>
      <w:r>
        <w:rPr>
          <w:rFonts w:ascii="宋体" w:hAnsi="宋体" w:hint="eastAsia"/>
          <w:bCs/>
          <w:sz w:val="24"/>
        </w:rPr>
        <w:t>A</w:t>
      </w:r>
      <w:r>
        <w:rPr>
          <w:rFonts w:ascii="宋体" w:hAnsi="宋体" w:hint="eastAsia"/>
          <w:bCs/>
          <w:sz w:val="24"/>
        </w:rPr>
        <w:t>类基金份额，如果其认购资金的利息为</w:t>
      </w:r>
      <w:r>
        <w:rPr>
          <w:rFonts w:ascii="宋体" w:hAnsi="宋体" w:hint="eastAsia"/>
          <w:bCs/>
          <w:sz w:val="24"/>
        </w:rPr>
        <w:t>50</w:t>
      </w:r>
      <w:r>
        <w:rPr>
          <w:rFonts w:ascii="宋体" w:hAnsi="宋体" w:hint="eastAsia"/>
          <w:bCs/>
          <w:sz w:val="24"/>
        </w:rPr>
        <w:t>元，则其可得到的基金份数计算如下：</w:t>
      </w:r>
    </w:p>
    <w:p w:rsidR="00BC36F9" w:rsidRDefault="0030070B">
      <w:pPr>
        <w:spacing w:line="360" w:lineRule="auto"/>
        <w:ind w:firstLineChars="200" w:firstLine="480"/>
        <w:rPr>
          <w:rFonts w:ascii="宋体" w:hAnsi="宋体"/>
          <w:bCs/>
          <w:sz w:val="24"/>
        </w:rPr>
      </w:pPr>
      <w:r>
        <w:rPr>
          <w:rFonts w:ascii="宋体" w:hAnsi="宋体" w:hint="eastAsia"/>
          <w:bCs/>
          <w:sz w:val="24"/>
        </w:rPr>
        <w:t>净认购金额＝</w:t>
      </w:r>
      <w:r>
        <w:rPr>
          <w:rFonts w:ascii="宋体" w:hAnsi="宋体" w:hint="eastAsia"/>
          <w:bCs/>
          <w:sz w:val="24"/>
        </w:rPr>
        <w:t>100,000/(1+</w:t>
      </w:r>
      <w:r>
        <w:rPr>
          <w:rFonts w:ascii="宋体" w:hAnsi="宋体"/>
          <w:bCs/>
          <w:sz w:val="24"/>
        </w:rPr>
        <w:t>0.80</w:t>
      </w:r>
      <w:r>
        <w:rPr>
          <w:rFonts w:ascii="宋体" w:hAnsi="宋体" w:hint="eastAsia"/>
          <w:bCs/>
          <w:sz w:val="24"/>
        </w:rPr>
        <w:t>%</w:t>
      </w:r>
      <w:r>
        <w:rPr>
          <w:rFonts w:ascii="宋体" w:hAnsi="宋体" w:hint="eastAsia"/>
          <w:bCs/>
          <w:sz w:val="24"/>
        </w:rPr>
        <w:t>）＝</w:t>
      </w:r>
      <w:r>
        <w:rPr>
          <w:rFonts w:ascii="宋体" w:hAnsi="宋体" w:hint="eastAsia"/>
          <w:bCs/>
          <w:sz w:val="24"/>
        </w:rPr>
        <w:t>99,</w:t>
      </w:r>
      <w:r>
        <w:rPr>
          <w:rFonts w:ascii="宋体" w:hAnsi="宋体"/>
          <w:bCs/>
          <w:sz w:val="24"/>
        </w:rPr>
        <w:t>206</w:t>
      </w:r>
      <w:r>
        <w:rPr>
          <w:rFonts w:ascii="宋体" w:hAnsi="宋体" w:hint="eastAsia"/>
          <w:bCs/>
          <w:sz w:val="24"/>
        </w:rPr>
        <w:t>.</w:t>
      </w:r>
      <w:r>
        <w:rPr>
          <w:rFonts w:ascii="宋体" w:hAnsi="宋体"/>
          <w:bCs/>
          <w:sz w:val="24"/>
        </w:rPr>
        <w:t>35</w:t>
      </w:r>
      <w:r>
        <w:rPr>
          <w:rFonts w:ascii="宋体" w:hAnsi="宋体" w:hint="eastAsia"/>
          <w:bCs/>
          <w:sz w:val="24"/>
        </w:rPr>
        <w:t>元</w:t>
      </w:r>
    </w:p>
    <w:p w:rsidR="00BC36F9" w:rsidRDefault="0030070B">
      <w:pPr>
        <w:spacing w:line="360" w:lineRule="auto"/>
        <w:ind w:firstLineChars="200" w:firstLine="480"/>
        <w:rPr>
          <w:rFonts w:ascii="宋体" w:hAnsi="宋体"/>
          <w:bCs/>
          <w:sz w:val="24"/>
        </w:rPr>
      </w:pPr>
      <w:r>
        <w:rPr>
          <w:rFonts w:ascii="宋体" w:hAnsi="宋体" w:hint="eastAsia"/>
          <w:bCs/>
          <w:sz w:val="24"/>
        </w:rPr>
        <w:t>认购费用＝</w:t>
      </w:r>
      <w:r>
        <w:rPr>
          <w:rFonts w:ascii="宋体" w:hAnsi="宋体" w:hint="eastAsia"/>
          <w:bCs/>
          <w:sz w:val="24"/>
        </w:rPr>
        <w:t>100,000</w:t>
      </w:r>
      <w:r>
        <w:rPr>
          <w:rFonts w:ascii="宋体" w:hAnsi="宋体" w:hint="eastAsia"/>
          <w:bCs/>
          <w:sz w:val="24"/>
        </w:rPr>
        <w:t>－</w:t>
      </w:r>
      <w:r>
        <w:rPr>
          <w:rFonts w:ascii="宋体" w:hAnsi="宋体" w:hint="eastAsia"/>
          <w:bCs/>
          <w:sz w:val="24"/>
        </w:rPr>
        <w:t>99,</w:t>
      </w:r>
      <w:r>
        <w:rPr>
          <w:rFonts w:ascii="宋体" w:hAnsi="宋体"/>
          <w:bCs/>
          <w:sz w:val="24"/>
        </w:rPr>
        <w:t>206</w:t>
      </w:r>
      <w:r>
        <w:rPr>
          <w:rFonts w:ascii="宋体" w:hAnsi="宋体" w:hint="eastAsia"/>
          <w:bCs/>
          <w:sz w:val="24"/>
        </w:rPr>
        <w:t>.</w:t>
      </w:r>
      <w:r>
        <w:rPr>
          <w:rFonts w:ascii="宋体" w:hAnsi="宋体"/>
          <w:bCs/>
          <w:sz w:val="24"/>
        </w:rPr>
        <w:t>35</w:t>
      </w:r>
      <w:r>
        <w:rPr>
          <w:rFonts w:ascii="宋体" w:hAnsi="宋体" w:hint="eastAsia"/>
          <w:bCs/>
          <w:sz w:val="24"/>
        </w:rPr>
        <w:t>＝</w:t>
      </w:r>
      <w:r>
        <w:rPr>
          <w:rFonts w:ascii="宋体" w:hAnsi="宋体"/>
          <w:bCs/>
          <w:sz w:val="24"/>
        </w:rPr>
        <w:t>793.65</w:t>
      </w:r>
      <w:r>
        <w:rPr>
          <w:rFonts w:ascii="宋体" w:hAnsi="宋体" w:hint="eastAsia"/>
          <w:bCs/>
          <w:sz w:val="24"/>
        </w:rPr>
        <w:t>元</w:t>
      </w:r>
    </w:p>
    <w:p w:rsidR="00BC36F9" w:rsidRDefault="0030070B">
      <w:pPr>
        <w:spacing w:line="360" w:lineRule="auto"/>
        <w:ind w:firstLineChars="200" w:firstLine="480"/>
        <w:rPr>
          <w:rFonts w:ascii="宋体" w:hAnsi="宋体"/>
          <w:bCs/>
          <w:sz w:val="24"/>
        </w:rPr>
      </w:pPr>
      <w:r>
        <w:rPr>
          <w:rFonts w:ascii="宋体" w:hAnsi="宋体" w:hint="eastAsia"/>
          <w:bCs/>
          <w:sz w:val="24"/>
        </w:rPr>
        <w:t>认购份额＝（</w:t>
      </w:r>
      <w:r>
        <w:rPr>
          <w:rFonts w:ascii="宋体" w:hAnsi="宋体" w:hint="eastAsia"/>
          <w:bCs/>
          <w:sz w:val="24"/>
        </w:rPr>
        <w:t>99,</w:t>
      </w:r>
      <w:r>
        <w:rPr>
          <w:rFonts w:ascii="宋体" w:hAnsi="宋体"/>
          <w:bCs/>
          <w:sz w:val="24"/>
        </w:rPr>
        <w:t>206</w:t>
      </w:r>
      <w:r>
        <w:rPr>
          <w:rFonts w:ascii="宋体" w:hAnsi="宋体" w:hint="eastAsia"/>
          <w:bCs/>
          <w:sz w:val="24"/>
        </w:rPr>
        <w:t>.</w:t>
      </w:r>
      <w:r>
        <w:rPr>
          <w:rFonts w:ascii="宋体" w:hAnsi="宋体"/>
          <w:bCs/>
          <w:sz w:val="24"/>
        </w:rPr>
        <w:t>35</w:t>
      </w:r>
      <w:r>
        <w:rPr>
          <w:rFonts w:ascii="宋体" w:hAnsi="宋体" w:hint="eastAsia"/>
          <w:bCs/>
          <w:sz w:val="24"/>
        </w:rPr>
        <w:t>＋</w:t>
      </w:r>
      <w:r>
        <w:rPr>
          <w:rFonts w:ascii="宋体" w:hAnsi="宋体" w:hint="eastAsia"/>
          <w:bCs/>
          <w:sz w:val="24"/>
        </w:rPr>
        <w:t>50</w:t>
      </w:r>
      <w:r>
        <w:rPr>
          <w:rFonts w:ascii="宋体" w:hAnsi="宋体" w:hint="eastAsia"/>
          <w:bCs/>
          <w:sz w:val="24"/>
        </w:rPr>
        <w:t>）</w:t>
      </w:r>
      <w:r>
        <w:rPr>
          <w:rFonts w:ascii="宋体" w:hAnsi="宋体" w:hint="eastAsia"/>
          <w:bCs/>
          <w:sz w:val="24"/>
        </w:rPr>
        <w:t>/1.00</w:t>
      </w:r>
      <w:r>
        <w:rPr>
          <w:rFonts w:ascii="宋体" w:hAnsi="宋体" w:hint="eastAsia"/>
          <w:bCs/>
          <w:sz w:val="24"/>
        </w:rPr>
        <w:t>＝</w:t>
      </w:r>
      <w:r>
        <w:rPr>
          <w:rFonts w:ascii="宋体" w:hAnsi="宋体" w:hint="eastAsia"/>
          <w:bCs/>
          <w:sz w:val="24"/>
        </w:rPr>
        <w:t>99,</w:t>
      </w:r>
      <w:r>
        <w:rPr>
          <w:rFonts w:ascii="宋体" w:hAnsi="宋体"/>
          <w:bCs/>
          <w:sz w:val="24"/>
        </w:rPr>
        <w:t>256</w:t>
      </w:r>
      <w:r>
        <w:rPr>
          <w:rFonts w:ascii="宋体" w:hAnsi="宋体" w:hint="eastAsia"/>
          <w:bCs/>
          <w:sz w:val="24"/>
        </w:rPr>
        <w:t>.</w:t>
      </w:r>
      <w:r>
        <w:rPr>
          <w:rFonts w:ascii="宋体" w:hAnsi="宋体"/>
          <w:bCs/>
          <w:sz w:val="24"/>
        </w:rPr>
        <w:t>35</w:t>
      </w:r>
      <w:r>
        <w:rPr>
          <w:rFonts w:ascii="宋体" w:hAnsi="宋体" w:hint="eastAsia"/>
          <w:bCs/>
          <w:sz w:val="24"/>
        </w:rPr>
        <w:t>份</w:t>
      </w:r>
    </w:p>
    <w:p w:rsidR="00BC36F9" w:rsidRDefault="0030070B">
      <w:pPr>
        <w:spacing w:line="360" w:lineRule="auto"/>
        <w:ind w:firstLineChars="200" w:firstLine="480"/>
        <w:rPr>
          <w:rFonts w:ascii="宋体" w:hAnsi="宋体"/>
          <w:bCs/>
          <w:sz w:val="24"/>
        </w:rPr>
      </w:pPr>
      <w:r>
        <w:rPr>
          <w:rFonts w:ascii="宋体" w:hAnsi="宋体" w:hint="eastAsia"/>
          <w:bCs/>
          <w:sz w:val="24"/>
        </w:rPr>
        <w:t>即投资者投资</w:t>
      </w:r>
      <w:r>
        <w:rPr>
          <w:rFonts w:ascii="宋体" w:hAnsi="宋体" w:hint="eastAsia"/>
          <w:bCs/>
          <w:sz w:val="24"/>
        </w:rPr>
        <w:t>100,000</w:t>
      </w:r>
      <w:r>
        <w:rPr>
          <w:rFonts w:ascii="宋体" w:hAnsi="宋体" w:hint="eastAsia"/>
          <w:bCs/>
          <w:sz w:val="24"/>
        </w:rPr>
        <w:t>元认购</w:t>
      </w:r>
      <w:r>
        <w:rPr>
          <w:rFonts w:ascii="宋体" w:hAnsi="宋体" w:hint="eastAsia"/>
          <w:bCs/>
          <w:sz w:val="24"/>
        </w:rPr>
        <w:t>A</w:t>
      </w:r>
      <w:r>
        <w:rPr>
          <w:rFonts w:ascii="宋体" w:hAnsi="宋体" w:hint="eastAsia"/>
          <w:bCs/>
          <w:sz w:val="24"/>
        </w:rPr>
        <w:t>类基金份额，如果该笔认购资金在募集期间产生利息为</w:t>
      </w:r>
      <w:r>
        <w:rPr>
          <w:rFonts w:ascii="宋体" w:hAnsi="宋体" w:hint="eastAsia"/>
          <w:bCs/>
          <w:sz w:val="24"/>
        </w:rPr>
        <w:t>50</w:t>
      </w:r>
      <w:r>
        <w:rPr>
          <w:rFonts w:ascii="宋体" w:hAnsi="宋体" w:hint="eastAsia"/>
          <w:bCs/>
          <w:sz w:val="24"/>
        </w:rPr>
        <w:t>元，则其可得到</w:t>
      </w:r>
      <w:r>
        <w:rPr>
          <w:rFonts w:ascii="宋体" w:hAnsi="宋体" w:hint="eastAsia"/>
          <w:bCs/>
          <w:sz w:val="24"/>
        </w:rPr>
        <w:t>99,</w:t>
      </w:r>
      <w:r>
        <w:rPr>
          <w:rFonts w:ascii="宋体" w:hAnsi="宋体"/>
          <w:bCs/>
          <w:sz w:val="24"/>
        </w:rPr>
        <w:t>256</w:t>
      </w:r>
      <w:r>
        <w:rPr>
          <w:rFonts w:ascii="宋体" w:hAnsi="宋体" w:hint="eastAsia"/>
          <w:bCs/>
          <w:sz w:val="24"/>
        </w:rPr>
        <w:t>.</w:t>
      </w:r>
      <w:r>
        <w:rPr>
          <w:rFonts w:ascii="宋体" w:hAnsi="宋体"/>
          <w:bCs/>
          <w:sz w:val="24"/>
        </w:rPr>
        <w:t>35</w:t>
      </w:r>
      <w:r>
        <w:rPr>
          <w:rFonts w:ascii="宋体" w:hAnsi="宋体" w:hint="eastAsia"/>
          <w:bCs/>
          <w:sz w:val="24"/>
        </w:rPr>
        <w:t>份</w:t>
      </w:r>
      <w:r>
        <w:rPr>
          <w:rFonts w:ascii="宋体" w:hAnsi="宋体" w:hint="eastAsia"/>
          <w:bCs/>
          <w:sz w:val="24"/>
        </w:rPr>
        <w:t>A</w:t>
      </w:r>
      <w:r>
        <w:rPr>
          <w:rFonts w:ascii="宋体" w:hAnsi="宋体" w:hint="eastAsia"/>
          <w:bCs/>
          <w:sz w:val="24"/>
        </w:rPr>
        <w:t>类基金份额。</w:t>
      </w:r>
    </w:p>
    <w:p w:rsidR="00BC36F9" w:rsidRDefault="0030070B">
      <w:pPr>
        <w:spacing w:line="360" w:lineRule="auto"/>
        <w:ind w:firstLineChars="200" w:firstLine="480"/>
        <w:rPr>
          <w:rFonts w:ascii="宋体" w:hAnsi="宋体"/>
          <w:bCs/>
          <w:color w:val="000000"/>
          <w:sz w:val="24"/>
        </w:rPr>
      </w:pPr>
      <w:r>
        <w:rPr>
          <w:rFonts w:ascii="宋体" w:hAnsi="宋体" w:hint="eastAsia"/>
          <w:bCs/>
          <w:color w:val="000000"/>
          <w:sz w:val="24"/>
        </w:rPr>
        <w:t>（</w:t>
      </w:r>
      <w:r>
        <w:rPr>
          <w:rFonts w:ascii="宋体" w:hAnsi="宋体" w:hint="eastAsia"/>
          <w:bCs/>
          <w:color w:val="000000"/>
          <w:sz w:val="24"/>
        </w:rPr>
        <w:t>2</w:t>
      </w:r>
      <w:r>
        <w:rPr>
          <w:rFonts w:ascii="宋体" w:hAnsi="宋体" w:hint="eastAsia"/>
          <w:bCs/>
          <w:color w:val="000000"/>
          <w:sz w:val="24"/>
        </w:rPr>
        <w:t>）</w:t>
      </w:r>
      <w:r>
        <w:rPr>
          <w:rFonts w:ascii="宋体" w:hAnsi="宋体"/>
          <w:bCs/>
          <w:color w:val="000000"/>
          <w:sz w:val="24"/>
        </w:rPr>
        <w:t>C</w:t>
      </w:r>
      <w:r>
        <w:rPr>
          <w:rFonts w:ascii="宋体" w:hAnsi="宋体"/>
          <w:bCs/>
          <w:color w:val="000000"/>
          <w:sz w:val="24"/>
        </w:rPr>
        <w:t>类基</w:t>
      </w:r>
      <w:r>
        <w:rPr>
          <w:rFonts w:ascii="宋体" w:hAnsi="宋体"/>
          <w:bCs/>
          <w:color w:val="000000"/>
          <w:sz w:val="24"/>
        </w:rPr>
        <w:t>金份额的认购份额计算</w:t>
      </w:r>
    </w:p>
    <w:p w:rsidR="00BC36F9" w:rsidRDefault="0030070B">
      <w:pPr>
        <w:spacing w:line="360" w:lineRule="auto"/>
        <w:ind w:firstLineChars="200" w:firstLine="480"/>
        <w:rPr>
          <w:rFonts w:ascii="宋体" w:hAnsi="宋体"/>
          <w:bCs/>
          <w:sz w:val="24"/>
        </w:rPr>
      </w:pPr>
      <w:r>
        <w:rPr>
          <w:rFonts w:ascii="宋体" w:hAnsi="宋体"/>
          <w:bCs/>
          <w:sz w:val="24"/>
        </w:rPr>
        <w:t>认购份额＝（认购金额＋认购利息）</w:t>
      </w:r>
      <w:r>
        <w:rPr>
          <w:rFonts w:ascii="宋体" w:hAnsi="宋体"/>
          <w:bCs/>
          <w:sz w:val="24"/>
        </w:rPr>
        <w:t>/1.00</w:t>
      </w:r>
      <w:r>
        <w:rPr>
          <w:rFonts w:ascii="宋体" w:hAnsi="宋体" w:hint="eastAsia"/>
          <w:bCs/>
          <w:sz w:val="24"/>
        </w:rPr>
        <w:t>元</w:t>
      </w:r>
    </w:p>
    <w:p w:rsidR="00BC36F9" w:rsidRDefault="0030070B">
      <w:pPr>
        <w:spacing w:line="360" w:lineRule="auto"/>
        <w:ind w:firstLineChars="200" w:firstLine="480"/>
        <w:rPr>
          <w:rFonts w:ascii="宋体" w:hAnsi="宋体"/>
          <w:bCs/>
          <w:sz w:val="24"/>
        </w:rPr>
      </w:pPr>
      <w:r>
        <w:rPr>
          <w:rFonts w:ascii="宋体" w:hAnsi="宋体" w:hint="eastAsia"/>
          <w:bCs/>
          <w:sz w:val="24"/>
        </w:rPr>
        <w:t>其中，</w:t>
      </w:r>
      <w:r>
        <w:rPr>
          <w:rFonts w:ascii="宋体" w:hAnsi="宋体"/>
          <w:bCs/>
          <w:sz w:val="24"/>
        </w:rPr>
        <w:t>认购份额的计算保留到小数点后</w:t>
      </w:r>
      <w:r>
        <w:rPr>
          <w:rFonts w:ascii="宋体" w:hAnsi="宋体"/>
          <w:bCs/>
          <w:sz w:val="24"/>
        </w:rPr>
        <w:t>2</w:t>
      </w:r>
      <w:r>
        <w:rPr>
          <w:rFonts w:ascii="宋体" w:hAnsi="宋体"/>
          <w:bCs/>
          <w:sz w:val="24"/>
        </w:rPr>
        <w:t>位，小数点</w:t>
      </w:r>
      <w:r>
        <w:rPr>
          <w:rFonts w:ascii="宋体" w:hAnsi="宋体"/>
          <w:bCs/>
          <w:sz w:val="24"/>
        </w:rPr>
        <w:t>2</w:t>
      </w:r>
      <w:r>
        <w:rPr>
          <w:rFonts w:ascii="宋体" w:hAnsi="宋体"/>
          <w:bCs/>
          <w:sz w:val="24"/>
        </w:rPr>
        <w:t>位以后的部分四舍五入，由此误差产生的收益或损失由基金财产承担。</w:t>
      </w:r>
    </w:p>
    <w:p w:rsidR="00BC36F9" w:rsidRDefault="0030070B">
      <w:pPr>
        <w:spacing w:line="360" w:lineRule="auto"/>
        <w:ind w:firstLineChars="200" w:firstLine="480"/>
        <w:rPr>
          <w:rFonts w:ascii="宋体" w:hAnsi="宋体"/>
          <w:bCs/>
          <w:sz w:val="24"/>
        </w:rPr>
      </w:pPr>
      <w:r>
        <w:rPr>
          <w:rFonts w:ascii="宋体" w:hAnsi="宋体"/>
          <w:bCs/>
          <w:sz w:val="24"/>
        </w:rPr>
        <w:t>例：某投资者投资</w:t>
      </w:r>
      <w:r>
        <w:rPr>
          <w:rFonts w:ascii="宋体" w:hAnsi="宋体"/>
          <w:bCs/>
          <w:sz w:val="24"/>
        </w:rPr>
        <w:t>1</w:t>
      </w:r>
      <w:r>
        <w:rPr>
          <w:rFonts w:ascii="宋体" w:hAnsi="宋体" w:hint="eastAsia"/>
          <w:bCs/>
          <w:sz w:val="24"/>
        </w:rPr>
        <w:t>0</w:t>
      </w:r>
      <w:r>
        <w:rPr>
          <w:rFonts w:ascii="宋体" w:hAnsi="宋体"/>
          <w:bCs/>
          <w:sz w:val="24"/>
        </w:rPr>
        <w:t>0,000</w:t>
      </w:r>
      <w:r>
        <w:rPr>
          <w:rFonts w:ascii="宋体" w:hAnsi="宋体"/>
          <w:bCs/>
          <w:sz w:val="24"/>
        </w:rPr>
        <w:t>元认购本基金</w:t>
      </w:r>
      <w:r>
        <w:rPr>
          <w:rFonts w:ascii="宋体" w:hAnsi="宋体"/>
          <w:bCs/>
          <w:sz w:val="24"/>
        </w:rPr>
        <w:t>C</w:t>
      </w:r>
      <w:r>
        <w:rPr>
          <w:rFonts w:ascii="宋体" w:hAnsi="宋体"/>
          <w:bCs/>
          <w:sz w:val="24"/>
        </w:rPr>
        <w:t>类基金份额，假定募集期产生的利息为</w:t>
      </w:r>
      <w:r>
        <w:rPr>
          <w:rFonts w:ascii="宋体" w:hAnsi="宋体" w:hint="eastAsia"/>
          <w:bCs/>
          <w:sz w:val="24"/>
        </w:rPr>
        <w:t>500</w:t>
      </w:r>
      <w:r>
        <w:rPr>
          <w:rFonts w:ascii="宋体" w:hAnsi="宋体"/>
          <w:bCs/>
          <w:sz w:val="24"/>
        </w:rPr>
        <w:t>元，则可认购基金份额为：</w:t>
      </w:r>
    </w:p>
    <w:p w:rsidR="00BC36F9" w:rsidRDefault="0030070B">
      <w:pPr>
        <w:spacing w:line="360" w:lineRule="auto"/>
        <w:ind w:firstLineChars="200" w:firstLine="480"/>
        <w:rPr>
          <w:rFonts w:ascii="宋体" w:hAnsi="宋体"/>
          <w:bCs/>
          <w:sz w:val="24"/>
        </w:rPr>
      </w:pPr>
      <w:r>
        <w:rPr>
          <w:rFonts w:ascii="宋体" w:hAnsi="宋体"/>
          <w:bCs/>
          <w:sz w:val="24"/>
        </w:rPr>
        <w:t>认购份额＝（</w:t>
      </w:r>
      <w:r>
        <w:rPr>
          <w:rFonts w:ascii="宋体" w:hAnsi="宋体"/>
          <w:bCs/>
          <w:sz w:val="24"/>
        </w:rPr>
        <w:t>1</w:t>
      </w:r>
      <w:r>
        <w:rPr>
          <w:rFonts w:ascii="宋体" w:hAnsi="宋体" w:hint="eastAsia"/>
          <w:bCs/>
          <w:sz w:val="24"/>
        </w:rPr>
        <w:t>0</w:t>
      </w:r>
      <w:r>
        <w:rPr>
          <w:rFonts w:ascii="宋体" w:hAnsi="宋体"/>
          <w:bCs/>
          <w:sz w:val="24"/>
        </w:rPr>
        <w:t>0,000</w:t>
      </w:r>
      <w:r>
        <w:rPr>
          <w:rFonts w:ascii="宋体" w:hAnsi="宋体"/>
          <w:bCs/>
          <w:sz w:val="24"/>
        </w:rPr>
        <w:t>＋</w:t>
      </w:r>
      <w:r>
        <w:rPr>
          <w:rFonts w:ascii="宋体" w:hAnsi="宋体" w:hint="eastAsia"/>
          <w:bCs/>
          <w:sz w:val="24"/>
        </w:rPr>
        <w:t>500</w:t>
      </w:r>
      <w:r>
        <w:rPr>
          <w:rFonts w:ascii="宋体" w:hAnsi="宋体"/>
          <w:bCs/>
          <w:sz w:val="24"/>
        </w:rPr>
        <w:t>）</w:t>
      </w:r>
      <w:r>
        <w:rPr>
          <w:rFonts w:ascii="宋体" w:hAnsi="宋体"/>
          <w:bCs/>
          <w:sz w:val="24"/>
        </w:rPr>
        <w:t>/1.00=1</w:t>
      </w:r>
      <w:r>
        <w:rPr>
          <w:rFonts w:ascii="宋体" w:hAnsi="宋体" w:hint="eastAsia"/>
          <w:bCs/>
          <w:sz w:val="24"/>
        </w:rPr>
        <w:t>0</w:t>
      </w:r>
      <w:r>
        <w:rPr>
          <w:rFonts w:ascii="宋体" w:hAnsi="宋体"/>
          <w:bCs/>
          <w:sz w:val="24"/>
        </w:rPr>
        <w:t>0,</w:t>
      </w:r>
      <w:r>
        <w:rPr>
          <w:rFonts w:ascii="宋体" w:hAnsi="宋体" w:hint="eastAsia"/>
          <w:bCs/>
          <w:sz w:val="24"/>
        </w:rPr>
        <w:t>500</w:t>
      </w:r>
      <w:r>
        <w:rPr>
          <w:rFonts w:ascii="宋体" w:hAnsi="宋体"/>
          <w:bCs/>
          <w:sz w:val="24"/>
        </w:rPr>
        <w:t>.00</w:t>
      </w:r>
      <w:r>
        <w:rPr>
          <w:rFonts w:ascii="宋体" w:hAnsi="宋体"/>
          <w:bCs/>
          <w:sz w:val="24"/>
        </w:rPr>
        <w:t>份</w:t>
      </w:r>
    </w:p>
    <w:p w:rsidR="00BC36F9" w:rsidRDefault="0030070B">
      <w:pPr>
        <w:spacing w:line="360" w:lineRule="auto"/>
        <w:ind w:firstLineChars="200" w:firstLine="480"/>
        <w:rPr>
          <w:rFonts w:ascii="宋体" w:hAnsi="宋体"/>
          <w:bCs/>
          <w:sz w:val="24"/>
        </w:rPr>
      </w:pPr>
      <w:r>
        <w:rPr>
          <w:rFonts w:ascii="宋体" w:hAnsi="宋体"/>
          <w:bCs/>
          <w:sz w:val="24"/>
        </w:rPr>
        <w:t>即投资者投资</w:t>
      </w:r>
      <w:r>
        <w:rPr>
          <w:rFonts w:ascii="宋体" w:hAnsi="宋体"/>
          <w:bCs/>
          <w:sz w:val="24"/>
        </w:rPr>
        <w:t>1</w:t>
      </w:r>
      <w:r>
        <w:rPr>
          <w:rFonts w:ascii="宋体" w:hAnsi="宋体" w:hint="eastAsia"/>
          <w:bCs/>
          <w:sz w:val="24"/>
        </w:rPr>
        <w:t>0</w:t>
      </w:r>
      <w:r>
        <w:rPr>
          <w:rFonts w:ascii="宋体" w:hAnsi="宋体"/>
          <w:bCs/>
          <w:sz w:val="24"/>
        </w:rPr>
        <w:t>0,000</w:t>
      </w:r>
      <w:r>
        <w:rPr>
          <w:rFonts w:ascii="宋体" w:hAnsi="宋体"/>
          <w:bCs/>
          <w:sz w:val="24"/>
        </w:rPr>
        <w:t>元认购本基金</w:t>
      </w:r>
      <w:r>
        <w:rPr>
          <w:rFonts w:ascii="宋体" w:hAnsi="宋体"/>
          <w:bCs/>
          <w:sz w:val="24"/>
        </w:rPr>
        <w:t>C</w:t>
      </w:r>
      <w:r>
        <w:rPr>
          <w:rFonts w:ascii="宋体" w:hAnsi="宋体"/>
          <w:bCs/>
          <w:sz w:val="24"/>
        </w:rPr>
        <w:t>类基金份额，假定募集期产生的利息为</w:t>
      </w:r>
      <w:r>
        <w:rPr>
          <w:rFonts w:ascii="宋体" w:hAnsi="宋体" w:hint="eastAsia"/>
          <w:bCs/>
          <w:sz w:val="24"/>
        </w:rPr>
        <w:t>500</w:t>
      </w:r>
      <w:r>
        <w:rPr>
          <w:rFonts w:ascii="宋体" w:hAnsi="宋体"/>
          <w:bCs/>
          <w:sz w:val="24"/>
        </w:rPr>
        <w:t>元，则其可得到</w:t>
      </w:r>
      <w:r>
        <w:rPr>
          <w:rFonts w:ascii="宋体" w:hAnsi="宋体"/>
          <w:bCs/>
          <w:sz w:val="24"/>
        </w:rPr>
        <w:t>1</w:t>
      </w:r>
      <w:r>
        <w:rPr>
          <w:rFonts w:ascii="宋体" w:hAnsi="宋体" w:hint="eastAsia"/>
          <w:bCs/>
          <w:sz w:val="24"/>
        </w:rPr>
        <w:t>0</w:t>
      </w:r>
      <w:r>
        <w:rPr>
          <w:rFonts w:ascii="宋体" w:hAnsi="宋体"/>
          <w:bCs/>
          <w:sz w:val="24"/>
        </w:rPr>
        <w:t>0,</w:t>
      </w:r>
      <w:r>
        <w:rPr>
          <w:rFonts w:ascii="宋体" w:hAnsi="宋体" w:hint="eastAsia"/>
          <w:bCs/>
          <w:sz w:val="24"/>
        </w:rPr>
        <w:t>500</w:t>
      </w:r>
      <w:r>
        <w:rPr>
          <w:rFonts w:ascii="宋体" w:hAnsi="宋体"/>
          <w:bCs/>
          <w:sz w:val="24"/>
        </w:rPr>
        <w:t>.00</w:t>
      </w:r>
      <w:r>
        <w:rPr>
          <w:rFonts w:ascii="宋体" w:hAnsi="宋体"/>
          <w:bCs/>
          <w:sz w:val="24"/>
        </w:rPr>
        <w:t>份</w:t>
      </w:r>
      <w:r>
        <w:rPr>
          <w:rFonts w:ascii="宋体" w:hAnsi="宋体"/>
          <w:bCs/>
          <w:sz w:val="24"/>
        </w:rPr>
        <w:t>C</w:t>
      </w:r>
      <w:r>
        <w:rPr>
          <w:rFonts w:ascii="宋体" w:hAnsi="宋体"/>
          <w:bCs/>
          <w:sz w:val="24"/>
        </w:rPr>
        <w:t>类基金份额。</w:t>
      </w:r>
    </w:p>
    <w:p w:rsidR="00BC36F9" w:rsidRDefault="0030070B">
      <w:pPr>
        <w:tabs>
          <w:tab w:val="left" w:pos="5175"/>
        </w:tabs>
        <w:spacing w:line="360" w:lineRule="auto"/>
        <w:ind w:firstLineChars="200" w:firstLine="480"/>
        <w:rPr>
          <w:rFonts w:ascii="宋体"/>
          <w:color w:val="000000"/>
          <w:kern w:val="0"/>
          <w:sz w:val="24"/>
        </w:rPr>
      </w:pPr>
      <w:r>
        <w:rPr>
          <w:rFonts w:ascii="宋体" w:hint="eastAsia"/>
          <w:color w:val="000000"/>
          <w:kern w:val="0"/>
          <w:sz w:val="24"/>
        </w:rPr>
        <w:t>6</w:t>
      </w:r>
      <w:r>
        <w:rPr>
          <w:rFonts w:ascii="宋体" w:hint="eastAsia"/>
          <w:color w:val="000000"/>
          <w:kern w:val="0"/>
          <w:sz w:val="24"/>
        </w:rPr>
        <w:t>、基金份额的认购和持有限制</w:t>
      </w:r>
    </w:p>
    <w:p w:rsidR="00BC36F9" w:rsidRDefault="0030070B">
      <w:pPr>
        <w:spacing w:line="360" w:lineRule="auto"/>
        <w:ind w:firstLineChars="200" w:firstLine="480"/>
        <w:rPr>
          <w:rFonts w:ascii="宋体" w:hAnsi="宋体"/>
          <w:bCs/>
          <w:sz w:val="24"/>
        </w:rPr>
      </w:pPr>
      <w:bookmarkStart w:id="14" w:name="OLE_LINK11"/>
      <w:bookmarkStart w:id="15" w:name="OLE_LINK10"/>
      <w:r>
        <w:rPr>
          <w:rFonts w:ascii="宋体" w:hAnsi="宋体" w:hint="eastAsia"/>
          <w:bCs/>
          <w:sz w:val="24"/>
        </w:rPr>
        <w:t>在本基金销售机构的销售网点进行认购时，投资人以金额申请，每个基金账户首次认购本基金</w:t>
      </w:r>
      <w:r>
        <w:rPr>
          <w:rFonts w:ascii="宋体" w:hAnsi="宋体" w:hint="eastAsia"/>
          <w:bCs/>
          <w:sz w:val="24"/>
        </w:rPr>
        <w:t>A</w:t>
      </w:r>
      <w:r>
        <w:rPr>
          <w:rFonts w:ascii="宋体" w:hAnsi="宋体" w:hint="eastAsia"/>
          <w:bCs/>
          <w:sz w:val="24"/>
        </w:rPr>
        <w:t>类基金份额的，最低金额为人民币</w:t>
      </w:r>
      <w:r>
        <w:rPr>
          <w:rFonts w:ascii="宋体" w:hAnsi="宋体"/>
          <w:bCs/>
          <w:sz w:val="24"/>
        </w:rPr>
        <w:t>1</w:t>
      </w:r>
      <w:r>
        <w:rPr>
          <w:rFonts w:ascii="宋体" w:hAnsi="宋体" w:hint="eastAsia"/>
          <w:bCs/>
          <w:sz w:val="24"/>
        </w:rPr>
        <w:t>元，首次认购本基金</w:t>
      </w:r>
      <w:r>
        <w:rPr>
          <w:rFonts w:ascii="宋体" w:hAnsi="宋体" w:hint="eastAsia"/>
          <w:bCs/>
          <w:sz w:val="24"/>
        </w:rPr>
        <w:t>C</w:t>
      </w:r>
      <w:r>
        <w:rPr>
          <w:rFonts w:ascii="宋体" w:hAnsi="宋体" w:hint="eastAsia"/>
          <w:bCs/>
          <w:sz w:val="24"/>
        </w:rPr>
        <w:t>类基金份额的，单笔最低限额为人民币</w:t>
      </w:r>
      <w:r>
        <w:rPr>
          <w:rFonts w:ascii="宋体" w:hAnsi="宋体" w:hint="eastAsia"/>
          <w:bCs/>
          <w:sz w:val="24"/>
        </w:rPr>
        <w:t>1</w:t>
      </w:r>
      <w:r>
        <w:rPr>
          <w:rFonts w:ascii="宋体" w:hAnsi="宋体" w:hint="eastAsia"/>
          <w:bCs/>
          <w:sz w:val="24"/>
        </w:rPr>
        <w:t>元；通过基金管理人的直销机构首次认购本基金</w:t>
      </w:r>
      <w:r>
        <w:rPr>
          <w:rFonts w:ascii="宋体" w:hAnsi="宋体" w:hint="eastAsia"/>
          <w:bCs/>
          <w:sz w:val="24"/>
        </w:rPr>
        <w:t>A</w:t>
      </w:r>
      <w:r>
        <w:rPr>
          <w:rFonts w:ascii="宋体" w:hAnsi="宋体" w:hint="eastAsia"/>
          <w:bCs/>
          <w:sz w:val="24"/>
        </w:rPr>
        <w:t>类基金份额的，单笔最低限额为人民币</w:t>
      </w:r>
      <w:r>
        <w:rPr>
          <w:rFonts w:ascii="宋体" w:hAnsi="宋体" w:hint="eastAsia"/>
          <w:bCs/>
          <w:sz w:val="24"/>
        </w:rPr>
        <w:t>1</w:t>
      </w:r>
      <w:r>
        <w:rPr>
          <w:rFonts w:ascii="宋体" w:hAnsi="宋体" w:hint="eastAsia"/>
          <w:bCs/>
          <w:sz w:val="24"/>
        </w:rPr>
        <w:t>元，首次认购本基金</w:t>
      </w:r>
      <w:r>
        <w:rPr>
          <w:rFonts w:ascii="宋体" w:hAnsi="宋体" w:hint="eastAsia"/>
          <w:bCs/>
          <w:sz w:val="24"/>
        </w:rPr>
        <w:t>C</w:t>
      </w:r>
      <w:r>
        <w:rPr>
          <w:rFonts w:ascii="宋体" w:hAnsi="宋体" w:hint="eastAsia"/>
          <w:bCs/>
          <w:sz w:val="24"/>
        </w:rPr>
        <w:t>类基金份额的，单笔最低限额为人民币</w:t>
      </w:r>
      <w:r>
        <w:rPr>
          <w:rFonts w:ascii="宋体" w:hAnsi="宋体" w:hint="eastAsia"/>
          <w:bCs/>
          <w:sz w:val="24"/>
        </w:rPr>
        <w:t>1</w:t>
      </w:r>
      <w:r>
        <w:rPr>
          <w:rFonts w:ascii="宋体" w:hAnsi="宋体" w:hint="eastAsia"/>
          <w:bCs/>
          <w:sz w:val="24"/>
        </w:rPr>
        <w:t>元。投资者通过本基金销售机构的销售网点每笔追加认购本基金</w:t>
      </w:r>
      <w:r>
        <w:rPr>
          <w:rFonts w:ascii="宋体" w:hAnsi="宋体" w:hint="eastAsia"/>
          <w:bCs/>
          <w:sz w:val="24"/>
        </w:rPr>
        <w:t>A</w:t>
      </w:r>
      <w:r>
        <w:rPr>
          <w:rFonts w:ascii="宋体" w:hAnsi="宋体" w:hint="eastAsia"/>
          <w:bCs/>
          <w:sz w:val="24"/>
        </w:rPr>
        <w:t>类、Ｃ类基金份额的最低金额为人民币</w:t>
      </w:r>
      <w:r>
        <w:rPr>
          <w:rFonts w:ascii="宋体" w:hAnsi="宋体"/>
          <w:bCs/>
          <w:sz w:val="24"/>
        </w:rPr>
        <w:t>1</w:t>
      </w:r>
      <w:r>
        <w:rPr>
          <w:rFonts w:ascii="宋体" w:hAnsi="宋体" w:hint="eastAsia"/>
          <w:bCs/>
          <w:sz w:val="24"/>
        </w:rPr>
        <w:t>元，通过基金管理人的直销机构每笔追加认购本基金</w:t>
      </w:r>
      <w:r>
        <w:rPr>
          <w:rFonts w:ascii="宋体" w:hAnsi="宋体" w:hint="eastAsia"/>
          <w:bCs/>
          <w:sz w:val="24"/>
        </w:rPr>
        <w:t>A</w:t>
      </w:r>
      <w:r>
        <w:rPr>
          <w:rFonts w:ascii="宋体" w:hAnsi="宋体" w:hint="eastAsia"/>
          <w:bCs/>
          <w:sz w:val="24"/>
        </w:rPr>
        <w:t>类、Ｃ类基金份额的最低金额为人民</w:t>
      </w:r>
      <w:r>
        <w:rPr>
          <w:rFonts w:ascii="宋体" w:hAnsi="宋体" w:hint="eastAsia"/>
          <w:bCs/>
          <w:sz w:val="24"/>
        </w:rPr>
        <w:t>币</w:t>
      </w:r>
      <w:r>
        <w:rPr>
          <w:rFonts w:ascii="宋体" w:hAnsi="宋体"/>
          <w:bCs/>
          <w:sz w:val="24"/>
        </w:rPr>
        <w:t>1</w:t>
      </w:r>
      <w:r>
        <w:rPr>
          <w:rFonts w:ascii="宋体" w:hAnsi="宋体" w:hint="eastAsia"/>
          <w:bCs/>
          <w:sz w:val="24"/>
        </w:rPr>
        <w:t>元。</w:t>
      </w:r>
    </w:p>
    <w:p w:rsidR="00BC36F9" w:rsidRDefault="0030070B">
      <w:pPr>
        <w:spacing w:line="360" w:lineRule="auto"/>
        <w:ind w:firstLineChars="200" w:firstLine="480"/>
        <w:rPr>
          <w:rFonts w:ascii="宋体" w:hAnsi="宋体"/>
          <w:bCs/>
          <w:sz w:val="24"/>
        </w:rPr>
      </w:pPr>
      <w:r>
        <w:rPr>
          <w:rFonts w:ascii="宋体" w:hAnsi="宋体" w:hint="eastAsia"/>
          <w:bCs/>
          <w:sz w:val="24"/>
        </w:rPr>
        <w:t>各销售机构对最低认购限额及交易级差有其他规定的，以各销售机构的业务规定为准。本基金募集期间对单个基金份额持有人最高累计认购金额不设限制，但如本基金单个投资人累计认购的基金份额数达到或者超过基金总份额的</w:t>
      </w:r>
      <w:r>
        <w:rPr>
          <w:rFonts w:ascii="宋体" w:hAnsi="宋体" w:hint="eastAsia"/>
          <w:bCs/>
          <w:sz w:val="24"/>
        </w:rPr>
        <w:t>50%</w:t>
      </w:r>
      <w:r>
        <w:rPr>
          <w:rFonts w:ascii="宋体" w:hAnsi="宋体" w:hint="eastAsia"/>
          <w:bCs/>
          <w:sz w:val="24"/>
        </w:rPr>
        <w:t>，基金管理人可以采取比例确认等方式对该投资人的认购申请进行限制。基金管理人接受某笔或者某些认购申请有可能导致投资者变相规避前述</w:t>
      </w:r>
      <w:r>
        <w:rPr>
          <w:rFonts w:ascii="宋体" w:hAnsi="宋体" w:hint="eastAsia"/>
          <w:bCs/>
          <w:sz w:val="24"/>
        </w:rPr>
        <w:t>50%</w:t>
      </w:r>
      <w:r>
        <w:rPr>
          <w:rFonts w:ascii="宋体" w:hAnsi="宋体" w:hint="eastAsia"/>
          <w:bCs/>
          <w:sz w:val="24"/>
        </w:rPr>
        <w:t>比例要求的，基金管理人有权拒绝该等全部或者部分认购申请。投资人认购的基金份额数以基金合同生效后登记机构的确认为准。</w:t>
      </w:r>
    </w:p>
    <w:p w:rsidR="00BC36F9" w:rsidRDefault="0030070B">
      <w:pPr>
        <w:spacing w:line="360" w:lineRule="auto"/>
        <w:ind w:firstLineChars="200" w:firstLine="480"/>
        <w:rPr>
          <w:rFonts w:ascii="宋体"/>
          <w:bCs/>
          <w:color w:val="000000"/>
          <w:sz w:val="24"/>
        </w:rPr>
      </w:pPr>
      <w:r>
        <w:rPr>
          <w:rFonts w:ascii="宋体" w:hAnsi="宋体" w:hint="eastAsia"/>
          <w:bCs/>
          <w:sz w:val="24"/>
        </w:rPr>
        <w:t>基金管理人可根据市场情况，调整本基金认购和追加认</w:t>
      </w:r>
      <w:r>
        <w:rPr>
          <w:rFonts w:ascii="宋体" w:hAnsi="宋体" w:hint="eastAsia"/>
          <w:bCs/>
          <w:sz w:val="24"/>
        </w:rPr>
        <w:t>购的最低金额或单个投资人累计认购金额。</w:t>
      </w:r>
      <w:bookmarkEnd w:id="14"/>
      <w:bookmarkEnd w:id="15"/>
    </w:p>
    <w:p w:rsidR="00BC36F9" w:rsidRDefault="0030070B">
      <w:pPr>
        <w:tabs>
          <w:tab w:val="left" w:pos="5175"/>
        </w:tabs>
        <w:spacing w:line="360" w:lineRule="auto"/>
        <w:ind w:firstLineChars="200" w:firstLine="480"/>
        <w:rPr>
          <w:rFonts w:ascii="宋体"/>
          <w:color w:val="000000"/>
          <w:kern w:val="0"/>
          <w:sz w:val="24"/>
        </w:rPr>
      </w:pPr>
      <w:bookmarkStart w:id="16" w:name="_Toc365531603"/>
      <w:r>
        <w:rPr>
          <w:rFonts w:ascii="宋体"/>
          <w:color w:val="000000"/>
          <w:kern w:val="0"/>
          <w:sz w:val="24"/>
        </w:rPr>
        <w:t>7</w:t>
      </w:r>
      <w:r>
        <w:rPr>
          <w:rFonts w:ascii="宋体"/>
          <w:color w:val="000000"/>
          <w:kern w:val="0"/>
          <w:sz w:val="24"/>
        </w:rPr>
        <w:t>、募集资金</w:t>
      </w:r>
      <w:r>
        <w:rPr>
          <w:rFonts w:ascii="宋体" w:hint="eastAsia"/>
          <w:bCs/>
          <w:color w:val="000000"/>
          <w:sz w:val="24"/>
        </w:rPr>
        <w:t>及利息的处理方式</w:t>
      </w:r>
    </w:p>
    <w:p w:rsidR="00BC36F9" w:rsidRDefault="0030070B">
      <w:pPr>
        <w:spacing w:line="360" w:lineRule="auto"/>
        <w:ind w:firstLineChars="200" w:firstLine="480"/>
        <w:rPr>
          <w:rFonts w:ascii="宋体"/>
          <w:bCs/>
          <w:color w:val="000000"/>
          <w:sz w:val="24"/>
        </w:rPr>
      </w:pPr>
      <w:r>
        <w:rPr>
          <w:rFonts w:ascii="宋体" w:hint="eastAsia"/>
          <w:bCs/>
          <w:color w:val="000000"/>
          <w:sz w:val="24"/>
        </w:rPr>
        <w:t>基金募集期间，投资者的认购款项只能存入专门账户，任何人在基金募集期满前不得动用。</w:t>
      </w:r>
    </w:p>
    <w:p w:rsidR="00BC36F9" w:rsidRDefault="0030070B">
      <w:pPr>
        <w:spacing w:line="360" w:lineRule="auto"/>
        <w:ind w:firstLineChars="200" w:firstLine="480"/>
        <w:rPr>
          <w:rFonts w:ascii="宋体"/>
          <w:bCs/>
          <w:color w:val="000000"/>
          <w:sz w:val="24"/>
        </w:rPr>
      </w:pPr>
      <w:r>
        <w:rPr>
          <w:rFonts w:ascii="宋体" w:hint="eastAsia"/>
          <w:bCs/>
          <w:color w:val="000000"/>
          <w:sz w:val="24"/>
        </w:rPr>
        <w:t>若本基金的基金合同生效，则有效认购款项在基金合同生效前产生的利息将折算为相应类别的基金份额归基金份额持有人所有，其中利息及利息转份额以登记机构的记录为准。</w:t>
      </w:r>
    </w:p>
    <w:p w:rsidR="00BC36F9" w:rsidRDefault="0030070B">
      <w:pPr>
        <w:tabs>
          <w:tab w:val="left" w:pos="5175"/>
        </w:tabs>
        <w:spacing w:line="360" w:lineRule="auto"/>
        <w:ind w:firstLineChars="200" w:firstLine="480"/>
        <w:rPr>
          <w:rFonts w:ascii="宋体"/>
          <w:color w:val="000000"/>
          <w:kern w:val="0"/>
          <w:sz w:val="24"/>
        </w:rPr>
      </w:pPr>
      <w:r>
        <w:rPr>
          <w:rFonts w:ascii="宋体" w:hint="eastAsia"/>
          <w:bCs/>
          <w:color w:val="000000"/>
          <w:sz w:val="24"/>
        </w:rPr>
        <w:t>8</w:t>
      </w:r>
      <w:r>
        <w:rPr>
          <w:rFonts w:ascii="宋体"/>
          <w:color w:val="000000"/>
          <w:kern w:val="0"/>
          <w:sz w:val="24"/>
        </w:rPr>
        <w:t>、募集期间的费用</w:t>
      </w:r>
    </w:p>
    <w:p w:rsidR="00BC36F9" w:rsidRDefault="0030070B">
      <w:pPr>
        <w:tabs>
          <w:tab w:val="left" w:pos="5175"/>
        </w:tabs>
        <w:spacing w:line="360" w:lineRule="auto"/>
        <w:ind w:firstLineChars="200" w:firstLine="480"/>
        <w:rPr>
          <w:rFonts w:ascii="宋体"/>
          <w:color w:val="000000"/>
          <w:kern w:val="0"/>
          <w:sz w:val="24"/>
        </w:rPr>
      </w:pPr>
      <w:r>
        <w:rPr>
          <w:rFonts w:ascii="宋体" w:hint="eastAsia"/>
          <w:color w:val="000000"/>
          <w:kern w:val="0"/>
          <w:sz w:val="24"/>
        </w:rPr>
        <w:t>基金募集期间的信息披露费、会计师费、律师费以及其他费用，不得从基金财产中列支。</w:t>
      </w:r>
    </w:p>
    <w:p w:rsidR="00BC36F9" w:rsidRDefault="0030070B">
      <w:pPr>
        <w:tabs>
          <w:tab w:val="left" w:pos="5175"/>
        </w:tabs>
        <w:spacing w:line="360" w:lineRule="auto"/>
        <w:ind w:firstLineChars="200" w:firstLine="480"/>
        <w:rPr>
          <w:rFonts w:ascii="宋体"/>
          <w:bCs/>
          <w:color w:val="000000"/>
          <w:kern w:val="0"/>
          <w:sz w:val="24"/>
        </w:rPr>
      </w:pPr>
      <w:r>
        <w:rPr>
          <w:rFonts w:ascii="宋体" w:hint="eastAsia"/>
          <w:bCs/>
          <w:color w:val="000000"/>
          <w:kern w:val="0"/>
          <w:sz w:val="24"/>
        </w:rPr>
        <w:t>9</w:t>
      </w:r>
      <w:r>
        <w:rPr>
          <w:rFonts w:ascii="宋体" w:hint="eastAsia"/>
          <w:bCs/>
          <w:color w:val="000000"/>
          <w:kern w:val="0"/>
          <w:sz w:val="24"/>
        </w:rPr>
        <w:t>、投资者适当性管理</w:t>
      </w:r>
    </w:p>
    <w:p w:rsidR="00BC36F9" w:rsidRDefault="0030070B">
      <w:pPr>
        <w:tabs>
          <w:tab w:val="left" w:pos="5175"/>
        </w:tabs>
        <w:spacing w:line="360" w:lineRule="auto"/>
        <w:ind w:firstLineChars="200" w:firstLine="480"/>
        <w:rPr>
          <w:rFonts w:ascii="宋体"/>
          <w:color w:val="000000"/>
          <w:kern w:val="0"/>
          <w:sz w:val="24"/>
        </w:rPr>
      </w:pPr>
      <w:r>
        <w:rPr>
          <w:rFonts w:ascii="宋体" w:cs="仿宋_GB2312" w:hint="eastAsia"/>
          <w:color w:val="000000"/>
          <w:sz w:val="24"/>
        </w:rPr>
        <w:t>投资者须根据投资者适当性管理相关规定，提前做好风险承受能力测评，并根据自身的风险承受能力认购与之相匹配的风险等级的基金产品。</w:t>
      </w:r>
    </w:p>
    <w:p w:rsidR="00BC36F9" w:rsidRDefault="00BC36F9">
      <w:pPr>
        <w:pStyle w:val="ad"/>
        <w:spacing w:before="0" w:after="0"/>
        <w:ind w:firstLine="0"/>
        <w:jc w:val="both"/>
        <w:rPr>
          <w:rFonts w:eastAsia="宋体"/>
          <w:bCs/>
          <w:sz w:val="24"/>
          <w:szCs w:val="24"/>
        </w:rPr>
      </w:pPr>
      <w:bookmarkStart w:id="17" w:name="_Toc365531604"/>
      <w:bookmarkEnd w:id="10"/>
      <w:bookmarkEnd w:id="16"/>
    </w:p>
    <w:p w:rsidR="00BC36F9" w:rsidRDefault="0030070B">
      <w:pPr>
        <w:pStyle w:val="ad"/>
        <w:numPr>
          <w:ilvl w:val="0"/>
          <w:numId w:val="1"/>
        </w:numPr>
        <w:spacing w:before="0" w:after="0"/>
        <w:rPr>
          <w:rFonts w:eastAsia="宋体"/>
          <w:bCs/>
          <w:sz w:val="28"/>
          <w:szCs w:val="28"/>
        </w:rPr>
      </w:pPr>
      <w:bookmarkStart w:id="18" w:name="_Toc376250739"/>
      <w:r>
        <w:rPr>
          <w:rFonts w:eastAsia="宋体" w:hint="eastAsia"/>
          <w:bCs/>
          <w:sz w:val="28"/>
          <w:szCs w:val="28"/>
        </w:rPr>
        <w:t>个人</w:t>
      </w:r>
      <w:r>
        <w:rPr>
          <w:rFonts w:eastAsia="宋体"/>
          <w:bCs/>
          <w:sz w:val="28"/>
          <w:szCs w:val="28"/>
        </w:rPr>
        <w:t>投资者的开户与认购程序</w:t>
      </w:r>
    </w:p>
    <w:p w:rsidR="00BC36F9" w:rsidRDefault="0030070B">
      <w:pPr>
        <w:tabs>
          <w:tab w:val="left" w:pos="5175"/>
        </w:tabs>
        <w:spacing w:line="360" w:lineRule="auto"/>
        <w:ind w:firstLineChars="200" w:firstLine="480"/>
        <w:rPr>
          <w:rFonts w:ascii="宋体"/>
          <w:color w:val="000000"/>
          <w:kern w:val="0"/>
          <w:sz w:val="24"/>
        </w:rPr>
      </w:pPr>
      <w:r>
        <w:rPr>
          <w:rFonts w:ascii="宋体" w:hint="eastAsia"/>
          <w:color w:val="000000"/>
          <w:kern w:val="0"/>
          <w:sz w:val="24"/>
        </w:rPr>
        <w:t>本公司直销机构受理个人投资者的开户与认购申请。</w:t>
      </w:r>
    </w:p>
    <w:p w:rsidR="00BC36F9" w:rsidRDefault="0030070B">
      <w:pPr>
        <w:tabs>
          <w:tab w:val="left" w:pos="5175"/>
        </w:tabs>
        <w:spacing w:line="360" w:lineRule="auto"/>
        <w:rPr>
          <w:rFonts w:ascii="宋体"/>
          <w:color w:val="000000"/>
          <w:kern w:val="0"/>
          <w:sz w:val="24"/>
        </w:rPr>
      </w:pPr>
      <w:r>
        <w:rPr>
          <w:rFonts w:ascii="宋体" w:hint="eastAsia"/>
          <w:color w:val="000000"/>
          <w:kern w:val="0"/>
          <w:sz w:val="24"/>
        </w:rPr>
        <w:t xml:space="preserve">    </w:t>
      </w:r>
      <w:r>
        <w:rPr>
          <w:rFonts w:ascii="宋体" w:hint="eastAsia"/>
          <w:color w:val="000000"/>
          <w:kern w:val="0"/>
          <w:sz w:val="24"/>
        </w:rPr>
        <w:t>（一）直销中心</w:t>
      </w:r>
    </w:p>
    <w:p w:rsidR="00BC36F9" w:rsidRDefault="0030070B">
      <w:pPr>
        <w:tabs>
          <w:tab w:val="left" w:pos="5175"/>
        </w:tabs>
        <w:spacing w:line="360" w:lineRule="auto"/>
        <w:ind w:firstLineChars="200" w:firstLine="480"/>
        <w:rPr>
          <w:rFonts w:ascii="宋体"/>
          <w:color w:val="000000"/>
          <w:kern w:val="0"/>
          <w:sz w:val="24"/>
        </w:rPr>
      </w:pPr>
      <w:r>
        <w:rPr>
          <w:rFonts w:ascii="宋体" w:hint="eastAsia"/>
          <w:color w:val="000000"/>
          <w:kern w:val="0"/>
          <w:sz w:val="24"/>
        </w:rPr>
        <w:t>1</w:t>
      </w:r>
      <w:r>
        <w:rPr>
          <w:rFonts w:ascii="宋体" w:hint="eastAsia"/>
          <w:color w:val="000000"/>
          <w:kern w:val="0"/>
          <w:sz w:val="24"/>
        </w:rPr>
        <w:t>、业务办理时间</w:t>
      </w:r>
    </w:p>
    <w:p w:rsidR="00BC36F9" w:rsidRDefault="0030070B">
      <w:pPr>
        <w:tabs>
          <w:tab w:val="left" w:pos="5175"/>
        </w:tabs>
        <w:spacing w:line="360" w:lineRule="auto"/>
        <w:ind w:firstLineChars="200" w:firstLine="480"/>
        <w:rPr>
          <w:rFonts w:ascii="宋体"/>
          <w:color w:val="000000"/>
          <w:kern w:val="0"/>
          <w:sz w:val="24"/>
        </w:rPr>
      </w:pPr>
      <w:r>
        <w:rPr>
          <w:rFonts w:ascii="宋体" w:hint="eastAsia"/>
          <w:color w:val="000000"/>
          <w:kern w:val="0"/>
          <w:sz w:val="24"/>
        </w:rPr>
        <w:t>发售日</w:t>
      </w:r>
      <w:r>
        <w:rPr>
          <w:rFonts w:ascii="宋体" w:hint="eastAsia"/>
          <w:color w:val="000000"/>
          <w:kern w:val="0"/>
          <w:sz w:val="24"/>
        </w:rPr>
        <w:t>9</w:t>
      </w:r>
      <w:r>
        <w:rPr>
          <w:rFonts w:ascii="宋体" w:hint="eastAsia"/>
          <w:color w:val="000000"/>
          <w:kern w:val="0"/>
          <w:sz w:val="24"/>
        </w:rPr>
        <w:t>：</w:t>
      </w:r>
      <w:r>
        <w:rPr>
          <w:rFonts w:ascii="宋体" w:hint="eastAsia"/>
          <w:color w:val="000000"/>
          <w:kern w:val="0"/>
          <w:sz w:val="24"/>
        </w:rPr>
        <w:t>00-17</w:t>
      </w:r>
      <w:r>
        <w:rPr>
          <w:rFonts w:ascii="宋体" w:hint="eastAsia"/>
          <w:color w:val="000000"/>
          <w:kern w:val="0"/>
          <w:sz w:val="24"/>
        </w:rPr>
        <w:t>：</w:t>
      </w:r>
      <w:r>
        <w:rPr>
          <w:rFonts w:ascii="宋体" w:hint="eastAsia"/>
          <w:color w:val="000000"/>
          <w:kern w:val="0"/>
          <w:sz w:val="24"/>
        </w:rPr>
        <w:t>00</w:t>
      </w:r>
      <w:r>
        <w:rPr>
          <w:rFonts w:ascii="宋体" w:hint="eastAsia"/>
          <w:color w:val="000000"/>
          <w:kern w:val="0"/>
          <w:sz w:val="24"/>
        </w:rPr>
        <w:t>（周六、周日和节假日不受理）。</w:t>
      </w:r>
    </w:p>
    <w:p w:rsidR="00BC36F9" w:rsidRDefault="0030070B">
      <w:pPr>
        <w:tabs>
          <w:tab w:val="left" w:pos="5175"/>
        </w:tabs>
        <w:spacing w:line="360" w:lineRule="auto"/>
        <w:ind w:firstLineChars="200" w:firstLine="480"/>
        <w:rPr>
          <w:rFonts w:ascii="宋体"/>
          <w:color w:val="000000"/>
          <w:kern w:val="0"/>
          <w:sz w:val="24"/>
        </w:rPr>
      </w:pPr>
      <w:r>
        <w:rPr>
          <w:rFonts w:ascii="宋体" w:hint="eastAsia"/>
          <w:color w:val="000000"/>
          <w:kern w:val="0"/>
          <w:sz w:val="24"/>
        </w:rPr>
        <w:t>2</w:t>
      </w:r>
      <w:r>
        <w:rPr>
          <w:rFonts w:ascii="宋体" w:hint="eastAsia"/>
          <w:color w:val="000000"/>
          <w:kern w:val="0"/>
          <w:sz w:val="24"/>
        </w:rPr>
        <w:t>、开立基金账户</w:t>
      </w:r>
    </w:p>
    <w:p w:rsidR="00BC36F9" w:rsidRDefault="0030070B">
      <w:pPr>
        <w:tabs>
          <w:tab w:val="left" w:pos="5175"/>
        </w:tabs>
        <w:spacing w:line="360" w:lineRule="auto"/>
        <w:ind w:firstLineChars="200" w:firstLine="480"/>
        <w:rPr>
          <w:rFonts w:ascii="宋体"/>
          <w:color w:val="000000"/>
          <w:kern w:val="0"/>
          <w:sz w:val="24"/>
        </w:rPr>
      </w:pPr>
      <w:r>
        <w:rPr>
          <w:rFonts w:ascii="宋体" w:hint="eastAsia"/>
          <w:color w:val="000000"/>
          <w:kern w:val="0"/>
          <w:sz w:val="24"/>
        </w:rPr>
        <w:t>个人投资者申请开立基金账户时应提交下列材料：</w:t>
      </w:r>
    </w:p>
    <w:tbl>
      <w:tblPr>
        <w:tblW w:w="8789" w:type="dxa"/>
        <w:tblInd w:w="-459" w:type="dxa"/>
        <w:tblLayout w:type="fixed"/>
        <w:tblLook w:val="04A0"/>
      </w:tblPr>
      <w:tblGrid>
        <w:gridCol w:w="709"/>
        <w:gridCol w:w="851"/>
        <w:gridCol w:w="3704"/>
        <w:gridCol w:w="2816"/>
        <w:gridCol w:w="709"/>
      </w:tblGrid>
      <w:tr w:rsidR="00BC36F9">
        <w:trPr>
          <w:trHeight w:val="285"/>
        </w:trPr>
        <w:tc>
          <w:tcPr>
            <w:tcW w:w="709" w:type="dxa"/>
            <w:tcBorders>
              <w:top w:val="single" w:sz="4" w:space="0" w:color="auto"/>
              <w:left w:val="single" w:sz="4" w:space="0" w:color="auto"/>
              <w:bottom w:val="single" w:sz="4" w:space="0" w:color="auto"/>
              <w:right w:val="single" w:sz="4" w:space="0" w:color="auto"/>
            </w:tcBorders>
            <w:vAlign w:val="center"/>
          </w:tcPr>
          <w:p w:rsidR="00BC36F9" w:rsidRDefault="0030070B">
            <w:pPr>
              <w:tabs>
                <w:tab w:val="left" w:pos="5175"/>
              </w:tabs>
              <w:rPr>
                <w:rFonts w:ascii="宋体"/>
                <w:b/>
                <w:bCs/>
                <w:color w:val="000000"/>
                <w:kern w:val="0"/>
                <w:szCs w:val="21"/>
              </w:rPr>
            </w:pPr>
            <w:r>
              <w:rPr>
                <w:rFonts w:ascii="宋体" w:hint="eastAsia"/>
                <w:b/>
                <w:bCs/>
                <w:color w:val="000000"/>
                <w:kern w:val="0"/>
                <w:szCs w:val="21"/>
              </w:rPr>
              <w:t>序号</w:t>
            </w:r>
          </w:p>
        </w:tc>
        <w:tc>
          <w:tcPr>
            <w:tcW w:w="851" w:type="dxa"/>
            <w:tcBorders>
              <w:top w:val="single" w:sz="4" w:space="0" w:color="auto"/>
              <w:left w:val="nil"/>
              <w:bottom w:val="single" w:sz="4" w:space="0" w:color="auto"/>
              <w:right w:val="single" w:sz="4" w:space="0" w:color="auto"/>
            </w:tcBorders>
            <w:vAlign w:val="center"/>
          </w:tcPr>
          <w:p w:rsidR="00BC36F9" w:rsidRDefault="0030070B">
            <w:pPr>
              <w:tabs>
                <w:tab w:val="left" w:pos="5175"/>
              </w:tabs>
              <w:rPr>
                <w:rFonts w:ascii="宋体"/>
                <w:b/>
                <w:bCs/>
                <w:color w:val="000000"/>
                <w:kern w:val="0"/>
                <w:szCs w:val="21"/>
              </w:rPr>
            </w:pPr>
            <w:r>
              <w:rPr>
                <w:rFonts w:ascii="宋体" w:hint="eastAsia"/>
                <w:b/>
                <w:bCs/>
                <w:color w:val="000000"/>
                <w:kern w:val="0"/>
                <w:szCs w:val="21"/>
              </w:rPr>
              <w:t>类型</w:t>
            </w:r>
          </w:p>
        </w:tc>
        <w:tc>
          <w:tcPr>
            <w:tcW w:w="3704" w:type="dxa"/>
            <w:tcBorders>
              <w:top w:val="single" w:sz="4" w:space="0" w:color="auto"/>
              <w:left w:val="nil"/>
              <w:bottom w:val="single" w:sz="4" w:space="0" w:color="auto"/>
              <w:right w:val="single" w:sz="4" w:space="0" w:color="auto"/>
            </w:tcBorders>
            <w:vAlign w:val="center"/>
          </w:tcPr>
          <w:p w:rsidR="00BC36F9" w:rsidRDefault="0030070B">
            <w:pPr>
              <w:tabs>
                <w:tab w:val="left" w:pos="5175"/>
              </w:tabs>
              <w:ind w:firstLineChars="200" w:firstLine="422"/>
              <w:rPr>
                <w:rFonts w:ascii="宋体"/>
                <w:b/>
                <w:bCs/>
                <w:color w:val="000000"/>
                <w:kern w:val="0"/>
                <w:szCs w:val="21"/>
              </w:rPr>
            </w:pPr>
            <w:r>
              <w:rPr>
                <w:rFonts w:ascii="宋体" w:hint="eastAsia"/>
                <w:b/>
                <w:bCs/>
                <w:color w:val="000000"/>
                <w:kern w:val="0"/>
                <w:szCs w:val="21"/>
              </w:rPr>
              <w:t>所需文件名称</w:t>
            </w:r>
          </w:p>
        </w:tc>
        <w:tc>
          <w:tcPr>
            <w:tcW w:w="2816" w:type="dxa"/>
            <w:tcBorders>
              <w:top w:val="single" w:sz="4" w:space="0" w:color="auto"/>
              <w:left w:val="nil"/>
              <w:bottom w:val="single" w:sz="4" w:space="0" w:color="auto"/>
              <w:right w:val="single" w:sz="4" w:space="0" w:color="auto"/>
            </w:tcBorders>
            <w:vAlign w:val="center"/>
          </w:tcPr>
          <w:p w:rsidR="00BC36F9" w:rsidRDefault="0030070B">
            <w:pPr>
              <w:tabs>
                <w:tab w:val="left" w:pos="5175"/>
              </w:tabs>
              <w:ind w:firstLineChars="200" w:firstLine="422"/>
              <w:rPr>
                <w:rFonts w:ascii="宋体"/>
                <w:b/>
                <w:bCs/>
                <w:color w:val="000000"/>
                <w:kern w:val="0"/>
                <w:szCs w:val="21"/>
              </w:rPr>
            </w:pPr>
            <w:r>
              <w:rPr>
                <w:rFonts w:ascii="宋体" w:hint="eastAsia"/>
                <w:b/>
                <w:bCs/>
                <w:color w:val="000000"/>
                <w:kern w:val="0"/>
                <w:szCs w:val="21"/>
              </w:rPr>
              <w:t>注意事项</w:t>
            </w:r>
          </w:p>
        </w:tc>
        <w:tc>
          <w:tcPr>
            <w:tcW w:w="709" w:type="dxa"/>
            <w:tcBorders>
              <w:top w:val="single" w:sz="4" w:space="0" w:color="auto"/>
              <w:left w:val="nil"/>
              <w:bottom w:val="single" w:sz="4" w:space="0" w:color="auto"/>
              <w:right w:val="single" w:sz="4" w:space="0" w:color="auto"/>
            </w:tcBorders>
            <w:vAlign w:val="center"/>
          </w:tcPr>
          <w:p w:rsidR="00BC36F9" w:rsidRDefault="0030070B">
            <w:pPr>
              <w:tabs>
                <w:tab w:val="left" w:pos="5175"/>
              </w:tabs>
              <w:spacing w:line="360" w:lineRule="auto"/>
              <w:rPr>
                <w:rFonts w:ascii="宋体"/>
                <w:b/>
                <w:bCs/>
                <w:color w:val="000000"/>
                <w:kern w:val="0"/>
                <w:szCs w:val="21"/>
              </w:rPr>
            </w:pPr>
            <w:r>
              <w:rPr>
                <w:rFonts w:ascii="宋体" w:hint="eastAsia"/>
                <w:b/>
                <w:bCs/>
                <w:color w:val="000000"/>
                <w:kern w:val="0"/>
                <w:szCs w:val="21"/>
              </w:rPr>
              <w:t>份数</w:t>
            </w:r>
          </w:p>
        </w:tc>
      </w:tr>
      <w:tr w:rsidR="00BC36F9">
        <w:trPr>
          <w:trHeight w:val="315"/>
        </w:trPr>
        <w:tc>
          <w:tcPr>
            <w:tcW w:w="709" w:type="dxa"/>
            <w:tcBorders>
              <w:top w:val="nil"/>
              <w:left w:val="single" w:sz="4" w:space="0" w:color="auto"/>
              <w:bottom w:val="single" w:sz="4" w:space="0" w:color="auto"/>
              <w:right w:val="single" w:sz="4" w:space="0" w:color="auto"/>
            </w:tcBorders>
            <w:vAlign w:val="center"/>
          </w:tcPr>
          <w:p w:rsidR="00BC36F9" w:rsidRDefault="0030070B">
            <w:pPr>
              <w:tabs>
                <w:tab w:val="left" w:pos="5175"/>
              </w:tabs>
              <w:jc w:val="center"/>
              <w:rPr>
                <w:rFonts w:ascii="宋体"/>
                <w:bCs/>
                <w:color w:val="000000"/>
                <w:kern w:val="0"/>
                <w:szCs w:val="21"/>
              </w:rPr>
            </w:pPr>
            <w:r>
              <w:rPr>
                <w:rFonts w:ascii="宋体"/>
                <w:bCs/>
                <w:color w:val="000000"/>
                <w:kern w:val="0"/>
                <w:szCs w:val="21"/>
              </w:rPr>
              <w:t>1</w:t>
            </w:r>
          </w:p>
        </w:tc>
        <w:tc>
          <w:tcPr>
            <w:tcW w:w="851" w:type="dxa"/>
            <w:vMerge w:val="restart"/>
            <w:tcBorders>
              <w:top w:val="nil"/>
              <w:left w:val="single" w:sz="4" w:space="0" w:color="auto"/>
              <w:bottom w:val="single" w:sz="4" w:space="0" w:color="auto"/>
              <w:right w:val="single" w:sz="4" w:space="0" w:color="auto"/>
            </w:tcBorders>
            <w:vAlign w:val="center"/>
          </w:tcPr>
          <w:p w:rsidR="00BC36F9" w:rsidRDefault="0030070B">
            <w:pPr>
              <w:tabs>
                <w:tab w:val="left" w:pos="5175"/>
              </w:tabs>
              <w:rPr>
                <w:rFonts w:ascii="宋体"/>
                <w:b/>
                <w:bCs/>
                <w:color w:val="000000"/>
                <w:kern w:val="0"/>
                <w:szCs w:val="21"/>
              </w:rPr>
            </w:pPr>
            <w:r>
              <w:rPr>
                <w:rFonts w:ascii="宋体" w:hint="eastAsia"/>
                <w:b/>
                <w:bCs/>
                <w:color w:val="000000"/>
                <w:kern w:val="0"/>
                <w:szCs w:val="21"/>
              </w:rPr>
              <w:t>开户资料</w:t>
            </w:r>
          </w:p>
        </w:tc>
        <w:tc>
          <w:tcPr>
            <w:tcW w:w="3704" w:type="dxa"/>
            <w:tcBorders>
              <w:top w:val="nil"/>
              <w:left w:val="nil"/>
              <w:bottom w:val="single" w:sz="4" w:space="0" w:color="auto"/>
              <w:right w:val="single" w:sz="4" w:space="0" w:color="auto"/>
            </w:tcBorders>
            <w:vAlign w:val="center"/>
          </w:tcPr>
          <w:p w:rsidR="00BC36F9" w:rsidRDefault="0030070B">
            <w:pPr>
              <w:tabs>
                <w:tab w:val="left" w:pos="5175"/>
              </w:tabs>
              <w:rPr>
                <w:rFonts w:ascii="宋体"/>
                <w:color w:val="000000"/>
                <w:kern w:val="0"/>
                <w:szCs w:val="21"/>
              </w:rPr>
            </w:pPr>
            <w:r>
              <w:rPr>
                <w:rFonts w:ascii="宋体" w:hint="eastAsia"/>
                <w:color w:val="000000"/>
                <w:kern w:val="0"/>
                <w:szCs w:val="21"/>
              </w:rPr>
              <w:t>开放式基金账户业务申请表（个人版）</w:t>
            </w:r>
          </w:p>
        </w:tc>
        <w:tc>
          <w:tcPr>
            <w:tcW w:w="2816" w:type="dxa"/>
            <w:vMerge w:val="restart"/>
            <w:tcBorders>
              <w:top w:val="nil"/>
              <w:left w:val="single" w:sz="4" w:space="0" w:color="auto"/>
              <w:bottom w:val="single" w:sz="4" w:space="0" w:color="auto"/>
              <w:right w:val="single" w:sz="4" w:space="0" w:color="auto"/>
            </w:tcBorders>
            <w:vAlign w:val="center"/>
          </w:tcPr>
          <w:p w:rsidR="00BC36F9" w:rsidRDefault="0030070B">
            <w:pPr>
              <w:tabs>
                <w:tab w:val="left" w:pos="5175"/>
              </w:tabs>
              <w:rPr>
                <w:rFonts w:ascii="宋体"/>
                <w:color w:val="000000"/>
                <w:kern w:val="0"/>
                <w:szCs w:val="21"/>
              </w:rPr>
            </w:pPr>
            <w:r>
              <w:rPr>
                <w:rFonts w:ascii="宋体" w:hint="eastAsia"/>
                <w:color w:val="000000"/>
                <w:kern w:val="0"/>
                <w:szCs w:val="21"/>
              </w:rPr>
              <w:t>（</w:t>
            </w:r>
            <w:r>
              <w:rPr>
                <w:rFonts w:ascii="宋体"/>
                <w:color w:val="000000"/>
                <w:kern w:val="0"/>
                <w:szCs w:val="21"/>
              </w:rPr>
              <w:t>1</w:t>
            </w:r>
            <w:r>
              <w:rPr>
                <w:rFonts w:ascii="宋体"/>
                <w:color w:val="000000"/>
                <w:kern w:val="0"/>
                <w:szCs w:val="21"/>
              </w:rPr>
              <w:t>）投资者签字。</w:t>
            </w:r>
            <w:r>
              <w:rPr>
                <w:rFonts w:ascii="宋体"/>
                <w:color w:val="000000"/>
                <w:kern w:val="0"/>
                <w:szCs w:val="21"/>
              </w:rPr>
              <w:t xml:space="preserve">                         </w:t>
            </w:r>
            <w:r>
              <w:rPr>
                <w:rFonts w:ascii="宋体" w:hint="eastAsia"/>
                <w:color w:val="000000"/>
                <w:kern w:val="0"/>
                <w:szCs w:val="21"/>
              </w:rPr>
              <w:t>（</w:t>
            </w:r>
            <w:r>
              <w:rPr>
                <w:rFonts w:ascii="宋体"/>
                <w:color w:val="000000"/>
                <w:kern w:val="0"/>
                <w:szCs w:val="21"/>
              </w:rPr>
              <w:t>2</w:t>
            </w:r>
            <w:r>
              <w:rPr>
                <w:rFonts w:ascii="宋体" w:hint="eastAsia"/>
                <w:color w:val="000000"/>
                <w:kern w:val="0"/>
                <w:szCs w:val="21"/>
              </w:rPr>
              <w:t>）如为代理人代办业务，需提供代理人的有效身份证明文件复印件及投资者签署的委托他人办理业务的授权委托书。</w:t>
            </w:r>
          </w:p>
        </w:tc>
        <w:tc>
          <w:tcPr>
            <w:tcW w:w="709" w:type="dxa"/>
            <w:tcBorders>
              <w:top w:val="nil"/>
              <w:left w:val="nil"/>
              <w:bottom w:val="single" w:sz="4" w:space="0" w:color="auto"/>
              <w:right w:val="single" w:sz="4" w:space="0" w:color="auto"/>
            </w:tcBorders>
            <w:vAlign w:val="center"/>
          </w:tcPr>
          <w:p w:rsidR="00BC36F9" w:rsidRDefault="0030070B">
            <w:pPr>
              <w:tabs>
                <w:tab w:val="left" w:pos="5175"/>
              </w:tabs>
              <w:spacing w:line="360" w:lineRule="auto"/>
              <w:jc w:val="center"/>
              <w:rPr>
                <w:rFonts w:ascii="宋体"/>
                <w:color w:val="000000"/>
                <w:kern w:val="0"/>
                <w:szCs w:val="21"/>
              </w:rPr>
            </w:pPr>
            <w:r>
              <w:rPr>
                <w:rFonts w:ascii="宋体"/>
                <w:color w:val="000000"/>
                <w:kern w:val="0"/>
                <w:szCs w:val="21"/>
              </w:rPr>
              <w:t>2</w:t>
            </w:r>
          </w:p>
        </w:tc>
      </w:tr>
      <w:tr w:rsidR="00BC36F9">
        <w:trPr>
          <w:trHeight w:val="1170"/>
        </w:trPr>
        <w:tc>
          <w:tcPr>
            <w:tcW w:w="709" w:type="dxa"/>
            <w:tcBorders>
              <w:top w:val="nil"/>
              <w:left w:val="single" w:sz="4" w:space="0" w:color="auto"/>
              <w:bottom w:val="single" w:sz="4" w:space="0" w:color="auto"/>
              <w:right w:val="single" w:sz="4" w:space="0" w:color="auto"/>
            </w:tcBorders>
            <w:vAlign w:val="center"/>
          </w:tcPr>
          <w:p w:rsidR="00BC36F9" w:rsidRDefault="0030070B">
            <w:pPr>
              <w:tabs>
                <w:tab w:val="left" w:pos="5175"/>
              </w:tabs>
              <w:jc w:val="center"/>
              <w:rPr>
                <w:rFonts w:ascii="宋体"/>
                <w:bCs/>
                <w:color w:val="000000"/>
                <w:kern w:val="0"/>
                <w:szCs w:val="21"/>
              </w:rPr>
            </w:pPr>
            <w:r>
              <w:rPr>
                <w:rFonts w:ascii="宋体"/>
                <w:bCs/>
                <w:color w:val="000000"/>
                <w:kern w:val="0"/>
                <w:szCs w:val="21"/>
              </w:rPr>
              <w:t>2</w:t>
            </w:r>
          </w:p>
        </w:tc>
        <w:tc>
          <w:tcPr>
            <w:tcW w:w="851" w:type="dxa"/>
            <w:vMerge/>
            <w:tcBorders>
              <w:top w:val="nil"/>
              <w:left w:val="single" w:sz="4" w:space="0" w:color="auto"/>
              <w:bottom w:val="single" w:sz="4" w:space="0" w:color="auto"/>
              <w:right w:val="single" w:sz="4" w:space="0" w:color="auto"/>
            </w:tcBorders>
            <w:vAlign w:val="center"/>
          </w:tcPr>
          <w:p w:rsidR="00BC36F9" w:rsidRDefault="00BC36F9"/>
        </w:tc>
        <w:tc>
          <w:tcPr>
            <w:tcW w:w="3704" w:type="dxa"/>
            <w:tcBorders>
              <w:top w:val="nil"/>
              <w:left w:val="nil"/>
              <w:bottom w:val="single" w:sz="4" w:space="0" w:color="auto"/>
              <w:right w:val="single" w:sz="4" w:space="0" w:color="auto"/>
            </w:tcBorders>
            <w:vAlign w:val="center"/>
          </w:tcPr>
          <w:p w:rsidR="00BC36F9" w:rsidRDefault="0030070B">
            <w:pPr>
              <w:tabs>
                <w:tab w:val="left" w:pos="5175"/>
              </w:tabs>
              <w:rPr>
                <w:rFonts w:ascii="宋体"/>
                <w:color w:val="000000"/>
                <w:kern w:val="0"/>
                <w:szCs w:val="21"/>
              </w:rPr>
            </w:pPr>
            <w:r>
              <w:rPr>
                <w:rFonts w:ascii="宋体" w:hint="eastAsia"/>
                <w:color w:val="000000"/>
                <w:kern w:val="0"/>
                <w:szCs w:val="21"/>
              </w:rPr>
              <w:t>开放式基金投资者承诺函</w:t>
            </w:r>
            <w:r>
              <w:rPr>
                <w:rFonts w:ascii="宋体"/>
                <w:color w:val="000000"/>
                <w:kern w:val="0"/>
                <w:szCs w:val="21"/>
              </w:rPr>
              <w:t>(</w:t>
            </w:r>
            <w:r>
              <w:rPr>
                <w:rFonts w:ascii="宋体"/>
                <w:color w:val="000000"/>
                <w:kern w:val="0"/>
                <w:szCs w:val="21"/>
              </w:rPr>
              <w:t>个人版</w:t>
            </w:r>
            <w:r>
              <w:rPr>
                <w:rFonts w:ascii="宋体"/>
                <w:color w:val="000000"/>
                <w:kern w:val="0"/>
                <w:szCs w:val="21"/>
              </w:rPr>
              <w:t>)</w:t>
            </w:r>
          </w:p>
        </w:tc>
        <w:tc>
          <w:tcPr>
            <w:tcW w:w="2816" w:type="dxa"/>
            <w:vMerge/>
            <w:tcBorders>
              <w:top w:val="nil"/>
              <w:left w:val="single" w:sz="4" w:space="0" w:color="auto"/>
              <w:bottom w:val="single" w:sz="4" w:space="0" w:color="auto"/>
              <w:right w:val="single" w:sz="4" w:space="0" w:color="auto"/>
            </w:tcBorders>
            <w:vAlign w:val="center"/>
          </w:tcPr>
          <w:p w:rsidR="00BC36F9" w:rsidRDefault="00BC36F9"/>
        </w:tc>
        <w:tc>
          <w:tcPr>
            <w:tcW w:w="709" w:type="dxa"/>
            <w:tcBorders>
              <w:top w:val="nil"/>
              <w:left w:val="nil"/>
              <w:bottom w:val="single" w:sz="4" w:space="0" w:color="auto"/>
              <w:right w:val="single" w:sz="4" w:space="0" w:color="auto"/>
            </w:tcBorders>
            <w:vAlign w:val="center"/>
          </w:tcPr>
          <w:p w:rsidR="00BC36F9" w:rsidRDefault="0030070B">
            <w:pPr>
              <w:tabs>
                <w:tab w:val="left" w:pos="5175"/>
              </w:tabs>
              <w:spacing w:line="360" w:lineRule="auto"/>
              <w:jc w:val="center"/>
              <w:rPr>
                <w:rFonts w:ascii="宋体"/>
                <w:color w:val="000000"/>
                <w:kern w:val="0"/>
                <w:szCs w:val="21"/>
              </w:rPr>
            </w:pPr>
            <w:r>
              <w:rPr>
                <w:rFonts w:ascii="宋体"/>
                <w:color w:val="000000"/>
                <w:kern w:val="0"/>
                <w:szCs w:val="21"/>
              </w:rPr>
              <w:t>2</w:t>
            </w:r>
          </w:p>
        </w:tc>
      </w:tr>
      <w:tr w:rsidR="00BC36F9">
        <w:trPr>
          <w:trHeight w:val="570"/>
        </w:trPr>
        <w:tc>
          <w:tcPr>
            <w:tcW w:w="709" w:type="dxa"/>
            <w:tcBorders>
              <w:top w:val="nil"/>
              <w:left w:val="single" w:sz="4" w:space="0" w:color="auto"/>
              <w:bottom w:val="single" w:sz="4" w:space="0" w:color="auto"/>
              <w:right w:val="single" w:sz="4" w:space="0" w:color="auto"/>
            </w:tcBorders>
            <w:vAlign w:val="center"/>
          </w:tcPr>
          <w:p w:rsidR="00BC36F9" w:rsidRDefault="0030070B">
            <w:pPr>
              <w:tabs>
                <w:tab w:val="left" w:pos="5175"/>
              </w:tabs>
              <w:jc w:val="center"/>
              <w:rPr>
                <w:rFonts w:ascii="宋体"/>
                <w:bCs/>
                <w:color w:val="000000"/>
                <w:kern w:val="0"/>
                <w:szCs w:val="21"/>
              </w:rPr>
            </w:pPr>
            <w:r>
              <w:rPr>
                <w:rFonts w:ascii="宋体"/>
                <w:bCs/>
                <w:color w:val="000000"/>
                <w:kern w:val="0"/>
                <w:szCs w:val="21"/>
              </w:rPr>
              <w:t>3</w:t>
            </w:r>
          </w:p>
        </w:tc>
        <w:tc>
          <w:tcPr>
            <w:tcW w:w="851" w:type="dxa"/>
            <w:vMerge/>
            <w:tcBorders>
              <w:top w:val="nil"/>
              <w:left w:val="single" w:sz="4" w:space="0" w:color="auto"/>
              <w:bottom w:val="single" w:sz="4" w:space="0" w:color="auto"/>
              <w:right w:val="single" w:sz="4" w:space="0" w:color="auto"/>
            </w:tcBorders>
            <w:vAlign w:val="center"/>
          </w:tcPr>
          <w:p w:rsidR="00BC36F9" w:rsidRDefault="00BC36F9"/>
        </w:tc>
        <w:tc>
          <w:tcPr>
            <w:tcW w:w="3704" w:type="dxa"/>
            <w:tcBorders>
              <w:top w:val="nil"/>
              <w:left w:val="nil"/>
              <w:bottom w:val="single" w:sz="4" w:space="0" w:color="auto"/>
              <w:right w:val="single" w:sz="4" w:space="0" w:color="auto"/>
            </w:tcBorders>
            <w:vAlign w:val="center"/>
          </w:tcPr>
          <w:p w:rsidR="00BC36F9" w:rsidRDefault="0030070B">
            <w:pPr>
              <w:tabs>
                <w:tab w:val="left" w:pos="5175"/>
              </w:tabs>
              <w:rPr>
                <w:rFonts w:ascii="宋体"/>
                <w:color w:val="000000"/>
                <w:kern w:val="0"/>
                <w:szCs w:val="21"/>
              </w:rPr>
            </w:pPr>
            <w:r>
              <w:rPr>
                <w:rFonts w:ascii="宋体" w:hint="eastAsia"/>
                <w:color w:val="000000"/>
                <w:kern w:val="0"/>
                <w:szCs w:val="21"/>
              </w:rPr>
              <w:t>投资者电子交易委托服务协议</w:t>
            </w:r>
            <w:r>
              <w:rPr>
                <w:rFonts w:ascii="宋体" w:hint="eastAsia"/>
                <w:color w:val="000000"/>
                <w:kern w:val="0"/>
                <w:szCs w:val="21"/>
              </w:rPr>
              <w:t>-</w:t>
            </w:r>
            <w:r>
              <w:rPr>
                <w:rFonts w:ascii="宋体" w:hint="eastAsia"/>
                <w:color w:val="000000"/>
                <w:kern w:val="0"/>
                <w:szCs w:val="21"/>
              </w:rPr>
              <w:t>兴业基金</w:t>
            </w:r>
          </w:p>
        </w:tc>
        <w:tc>
          <w:tcPr>
            <w:tcW w:w="2816" w:type="dxa"/>
            <w:vMerge/>
            <w:tcBorders>
              <w:top w:val="nil"/>
              <w:left w:val="single" w:sz="4" w:space="0" w:color="auto"/>
              <w:bottom w:val="single" w:sz="4" w:space="0" w:color="auto"/>
              <w:right w:val="single" w:sz="4" w:space="0" w:color="auto"/>
            </w:tcBorders>
            <w:vAlign w:val="center"/>
          </w:tcPr>
          <w:p w:rsidR="00BC36F9" w:rsidRDefault="00BC36F9"/>
        </w:tc>
        <w:tc>
          <w:tcPr>
            <w:tcW w:w="709" w:type="dxa"/>
            <w:tcBorders>
              <w:top w:val="nil"/>
              <w:left w:val="nil"/>
              <w:bottom w:val="single" w:sz="4" w:space="0" w:color="auto"/>
              <w:right w:val="single" w:sz="4" w:space="0" w:color="auto"/>
            </w:tcBorders>
            <w:vAlign w:val="center"/>
          </w:tcPr>
          <w:p w:rsidR="00BC36F9" w:rsidRDefault="0030070B">
            <w:pPr>
              <w:tabs>
                <w:tab w:val="left" w:pos="5175"/>
              </w:tabs>
              <w:spacing w:line="360" w:lineRule="auto"/>
              <w:jc w:val="center"/>
              <w:rPr>
                <w:rFonts w:ascii="宋体"/>
                <w:color w:val="000000"/>
                <w:kern w:val="0"/>
                <w:szCs w:val="21"/>
              </w:rPr>
            </w:pPr>
            <w:r>
              <w:rPr>
                <w:rFonts w:ascii="宋体"/>
                <w:color w:val="000000"/>
                <w:kern w:val="0"/>
                <w:szCs w:val="21"/>
              </w:rPr>
              <w:t>2</w:t>
            </w:r>
          </w:p>
        </w:tc>
      </w:tr>
      <w:tr w:rsidR="00BC36F9">
        <w:trPr>
          <w:trHeight w:val="570"/>
        </w:trPr>
        <w:tc>
          <w:tcPr>
            <w:tcW w:w="709" w:type="dxa"/>
            <w:tcBorders>
              <w:top w:val="nil"/>
              <w:left w:val="single" w:sz="4" w:space="0" w:color="auto"/>
              <w:bottom w:val="single" w:sz="4" w:space="0" w:color="auto"/>
              <w:right w:val="single" w:sz="4" w:space="0" w:color="auto"/>
            </w:tcBorders>
            <w:vAlign w:val="center"/>
          </w:tcPr>
          <w:p w:rsidR="00BC36F9" w:rsidRDefault="0030070B">
            <w:pPr>
              <w:tabs>
                <w:tab w:val="left" w:pos="5175"/>
              </w:tabs>
              <w:jc w:val="center"/>
              <w:rPr>
                <w:rFonts w:ascii="宋体"/>
                <w:bCs/>
                <w:color w:val="000000"/>
                <w:kern w:val="0"/>
                <w:szCs w:val="21"/>
              </w:rPr>
            </w:pPr>
            <w:r>
              <w:rPr>
                <w:rFonts w:ascii="宋体"/>
                <w:bCs/>
                <w:color w:val="000000"/>
                <w:kern w:val="0"/>
                <w:szCs w:val="21"/>
              </w:rPr>
              <w:t>4</w:t>
            </w:r>
          </w:p>
        </w:tc>
        <w:tc>
          <w:tcPr>
            <w:tcW w:w="851" w:type="dxa"/>
            <w:vMerge/>
            <w:tcBorders>
              <w:top w:val="nil"/>
              <w:left w:val="single" w:sz="4" w:space="0" w:color="auto"/>
              <w:bottom w:val="single" w:sz="4" w:space="0" w:color="auto"/>
              <w:right w:val="single" w:sz="4" w:space="0" w:color="auto"/>
            </w:tcBorders>
            <w:vAlign w:val="center"/>
          </w:tcPr>
          <w:p w:rsidR="00BC36F9" w:rsidRDefault="00BC36F9"/>
        </w:tc>
        <w:tc>
          <w:tcPr>
            <w:tcW w:w="3704" w:type="dxa"/>
            <w:tcBorders>
              <w:top w:val="nil"/>
              <w:left w:val="nil"/>
              <w:bottom w:val="single" w:sz="4" w:space="0" w:color="auto"/>
              <w:right w:val="single" w:sz="4" w:space="0" w:color="auto"/>
            </w:tcBorders>
            <w:vAlign w:val="center"/>
          </w:tcPr>
          <w:p w:rsidR="00BC36F9" w:rsidRDefault="0030070B">
            <w:pPr>
              <w:tabs>
                <w:tab w:val="left" w:pos="5175"/>
              </w:tabs>
              <w:rPr>
                <w:rFonts w:ascii="宋体"/>
                <w:color w:val="000000"/>
                <w:kern w:val="0"/>
                <w:szCs w:val="21"/>
              </w:rPr>
            </w:pPr>
            <w:r>
              <w:rPr>
                <w:rFonts w:ascii="宋体" w:hint="eastAsia"/>
                <w:color w:val="000000"/>
                <w:kern w:val="0"/>
                <w:szCs w:val="21"/>
              </w:rPr>
              <w:t>开放式基金投资者风险承受能力调查问卷</w:t>
            </w:r>
            <w:r>
              <w:rPr>
                <w:rFonts w:ascii="宋体"/>
                <w:color w:val="000000"/>
                <w:kern w:val="0"/>
                <w:szCs w:val="21"/>
              </w:rPr>
              <w:t>(</w:t>
            </w:r>
            <w:r>
              <w:rPr>
                <w:rFonts w:ascii="宋体"/>
                <w:color w:val="000000"/>
                <w:kern w:val="0"/>
                <w:szCs w:val="21"/>
              </w:rPr>
              <w:t>个人版</w:t>
            </w:r>
            <w:r>
              <w:rPr>
                <w:rFonts w:ascii="宋体"/>
                <w:color w:val="000000"/>
                <w:kern w:val="0"/>
                <w:szCs w:val="21"/>
              </w:rPr>
              <w:t>)</w:t>
            </w:r>
          </w:p>
        </w:tc>
        <w:tc>
          <w:tcPr>
            <w:tcW w:w="2816" w:type="dxa"/>
            <w:vMerge/>
            <w:tcBorders>
              <w:top w:val="nil"/>
              <w:left w:val="single" w:sz="4" w:space="0" w:color="auto"/>
              <w:bottom w:val="single" w:sz="4" w:space="0" w:color="auto"/>
              <w:right w:val="single" w:sz="4" w:space="0" w:color="auto"/>
            </w:tcBorders>
            <w:vAlign w:val="center"/>
          </w:tcPr>
          <w:p w:rsidR="00BC36F9" w:rsidRDefault="00BC36F9"/>
        </w:tc>
        <w:tc>
          <w:tcPr>
            <w:tcW w:w="709" w:type="dxa"/>
            <w:tcBorders>
              <w:top w:val="nil"/>
              <w:left w:val="nil"/>
              <w:bottom w:val="single" w:sz="4" w:space="0" w:color="auto"/>
              <w:right w:val="single" w:sz="4" w:space="0" w:color="auto"/>
            </w:tcBorders>
            <w:vAlign w:val="center"/>
          </w:tcPr>
          <w:p w:rsidR="00BC36F9" w:rsidRDefault="0030070B">
            <w:pPr>
              <w:tabs>
                <w:tab w:val="left" w:pos="5175"/>
              </w:tabs>
              <w:spacing w:line="360" w:lineRule="auto"/>
              <w:jc w:val="center"/>
              <w:rPr>
                <w:rFonts w:ascii="宋体"/>
                <w:color w:val="000000"/>
                <w:kern w:val="0"/>
                <w:szCs w:val="21"/>
              </w:rPr>
            </w:pPr>
            <w:r>
              <w:rPr>
                <w:rFonts w:ascii="宋体"/>
                <w:color w:val="000000"/>
                <w:kern w:val="0"/>
                <w:szCs w:val="21"/>
              </w:rPr>
              <w:t>2</w:t>
            </w:r>
          </w:p>
        </w:tc>
      </w:tr>
      <w:tr w:rsidR="00BC36F9">
        <w:trPr>
          <w:trHeight w:val="285"/>
        </w:trPr>
        <w:tc>
          <w:tcPr>
            <w:tcW w:w="709" w:type="dxa"/>
            <w:tcBorders>
              <w:top w:val="nil"/>
              <w:left w:val="single" w:sz="4" w:space="0" w:color="auto"/>
              <w:bottom w:val="single" w:sz="4" w:space="0" w:color="auto"/>
              <w:right w:val="single" w:sz="4" w:space="0" w:color="auto"/>
            </w:tcBorders>
            <w:vAlign w:val="center"/>
          </w:tcPr>
          <w:p w:rsidR="00BC36F9" w:rsidRDefault="0030070B">
            <w:pPr>
              <w:tabs>
                <w:tab w:val="left" w:pos="5175"/>
              </w:tabs>
              <w:jc w:val="center"/>
              <w:rPr>
                <w:rFonts w:ascii="宋体"/>
                <w:bCs/>
                <w:color w:val="000000"/>
                <w:kern w:val="0"/>
                <w:szCs w:val="21"/>
              </w:rPr>
            </w:pPr>
            <w:r>
              <w:rPr>
                <w:rFonts w:ascii="宋体"/>
                <w:bCs/>
                <w:color w:val="000000"/>
                <w:kern w:val="0"/>
                <w:szCs w:val="21"/>
              </w:rPr>
              <w:t>5</w:t>
            </w:r>
          </w:p>
        </w:tc>
        <w:tc>
          <w:tcPr>
            <w:tcW w:w="851" w:type="dxa"/>
            <w:vMerge/>
            <w:tcBorders>
              <w:top w:val="nil"/>
              <w:left w:val="single" w:sz="4" w:space="0" w:color="auto"/>
              <w:bottom w:val="single" w:sz="4" w:space="0" w:color="auto"/>
              <w:right w:val="single" w:sz="4" w:space="0" w:color="auto"/>
            </w:tcBorders>
            <w:vAlign w:val="center"/>
          </w:tcPr>
          <w:p w:rsidR="00BC36F9" w:rsidRDefault="00BC36F9"/>
        </w:tc>
        <w:tc>
          <w:tcPr>
            <w:tcW w:w="3704" w:type="dxa"/>
            <w:tcBorders>
              <w:top w:val="nil"/>
              <w:left w:val="nil"/>
              <w:bottom w:val="single" w:sz="4" w:space="0" w:color="auto"/>
              <w:right w:val="single" w:sz="4" w:space="0" w:color="auto"/>
            </w:tcBorders>
            <w:vAlign w:val="center"/>
          </w:tcPr>
          <w:p w:rsidR="00BC36F9" w:rsidRDefault="0030070B">
            <w:pPr>
              <w:tabs>
                <w:tab w:val="left" w:pos="5175"/>
              </w:tabs>
              <w:rPr>
                <w:rFonts w:ascii="宋体"/>
                <w:color w:val="000000"/>
                <w:kern w:val="0"/>
                <w:szCs w:val="21"/>
              </w:rPr>
            </w:pPr>
            <w:r>
              <w:rPr>
                <w:rFonts w:ascii="宋体" w:hint="eastAsia"/>
                <w:color w:val="000000"/>
                <w:kern w:val="0"/>
                <w:szCs w:val="21"/>
              </w:rPr>
              <w:t>个人税收居民身份声明文件</w:t>
            </w:r>
          </w:p>
        </w:tc>
        <w:tc>
          <w:tcPr>
            <w:tcW w:w="2816" w:type="dxa"/>
            <w:vMerge/>
            <w:tcBorders>
              <w:top w:val="nil"/>
              <w:left w:val="single" w:sz="4" w:space="0" w:color="auto"/>
              <w:bottom w:val="single" w:sz="4" w:space="0" w:color="auto"/>
              <w:right w:val="single" w:sz="4" w:space="0" w:color="auto"/>
            </w:tcBorders>
            <w:vAlign w:val="center"/>
          </w:tcPr>
          <w:p w:rsidR="00BC36F9" w:rsidRDefault="00BC36F9"/>
        </w:tc>
        <w:tc>
          <w:tcPr>
            <w:tcW w:w="709" w:type="dxa"/>
            <w:tcBorders>
              <w:top w:val="nil"/>
              <w:left w:val="nil"/>
              <w:bottom w:val="single" w:sz="4" w:space="0" w:color="auto"/>
              <w:right w:val="single" w:sz="4" w:space="0" w:color="auto"/>
            </w:tcBorders>
            <w:vAlign w:val="center"/>
          </w:tcPr>
          <w:p w:rsidR="00BC36F9" w:rsidRDefault="0030070B">
            <w:pPr>
              <w:tabs>
                <w:tab w:val="left" w:pos="5175"/>
              </w:tabs>
              <w:spacing w:line="360" w:lineRule="auto"/>
              <w:jc w:val="center"/>
              <w:rPr>
                <w:rFonts w:ascii="宋体"/>
                <w:color w:val="000000"/>
                <w:kern w:val="0"/>
                <w:szCs w:val="21"/>
              </w:rPr>
            </w:pPr>
            <w:r>
              <w:rPr>
                <w:rFonts w:ascii="宋体"/>
                <w:color w:val="000000"/>
                <w:kern w:val="0"/>
                <w:szCs w:val="21"/>
              </w:rPr>
              <w:t>2</w:t>
            </w:r>
          </w:p>
        </w:tc>
      </w:tr>
      <w:tr w:rsidR="00BC36F9">
        <w:trPr>
          <w:trHeight w:val="285"/>
        </w:trPr>
        <w:tc>
          <w:tcPr>
            <w:tcW w:w="709" w:type="dxa"/>
            <w:tcBorders>
              <w:top w:val="nil"/>
              <w:left w:val="single" w:sz="4" w:space="0" w:color="auto"/>
              <w:bottom w:val="single" w:sz="4" w:space="0" w:color="auto"/>
              <w:right w:val="single" w:sz="4" w:space="0" w:color="auto"/>
            </w:tcBorders>
            <w:vAlign w:val="center"/>
          </w:tcPr>
          <w:p w:rsidR="00BC36F9" w:rsidRDefault="0030070B">
            <w:pPr>
              <w:tabs>
                <w:tab w:val="left" w:pos="5175"/>
              </w:tabs>
              <w:jc w:val="center"/>
              <w:rPr>
                <w:rFonts w:ascii="宋体"/>
                <w:bCs/>
                <w:color w:val="000000"/>
                <w:kern w:val="0"/>
                <w:szCs w:val="21"/>
              </w:rPr>
            </w:pPr>
            <w:r>
              <w:rPr>
                <w:rFonts w:ascii="宋体"/>
                <w:bCs/>
                <w:color w:val="000000"/>
                <w:kern w:val="0"/>
                <w:szCs w:val="21"/>
              </w:rPr>
              <w:t>6</w:t>
            </w:r>
          </w:p>
        </w:tc>
        <w:tc>
          <w:tcPr>
            <w:tcW w:w="851" w:type="dxa"/>
            <w:vMerge/>
            <w:tcBorders>
              <w:top w:val="nil"/>
              <w:left w:val="single" w:sz="4" w:space="0" w:color="auto"/>
              <w:bottom w:val="single" w:sz="4" w:space="0" w:color="auto"/>
              <w:right w:val="single" w:sz="4" w:space="0" w:color="auto"/>
            </w:tcBorders>
            <w:vAlign w:val="center"/>
          </w:tcPr>
          <w:p w:rsidR="00BC36F9" w:rsidRDefault="00BC36F9"/>
        </w:tc>
        <w:tc>
          <w:tcPr>
            <w:tcW w:w="3704" w:type="dxa"/>
            <w:tcBorders>
              <w:top w:val="nil"/>
              <w:left w:val="nil"/>
              <w:bottom w:val="single" w:sz="4" w:space="0" w:color="auto"/>
              <w:right w:val="single" w:sz="4" w:space="0" w:color="auto"/>
            </w:tcBorders>
            <w:vAlign w:val="center"/>
          </w:tcPr>
          <w:p w:rsidR="00BC36F9" w:rsidRDefault="0030070B">
            <w:pPr>
              <w:tabs>
                <w:tab w:val="left" w:pos="5175"/>
              </w:tabs>
              <w:rPr>
                <w:rFonts w:ascii="宋体"/>
                <w:color w:val="000000"/>
                <w:kern w:val="0"/>
                <w:szCs w:val="21"/>
              </w:rPr>
            </w:pPr>
            <w:r>
              <w:rPr>
                <w:rFonts w:ascii="宋体" w:hint="eastAsia"/>
                <w:color w:val="000000"/>
                <w:kern w:val="0"/>
                <w:szCs w:val="21"/>
              </w:rPr>
              <w:t>控制人税收居民身份声明文件（涉及时提供）</w:t>
            </w:r>
          </w:p>
        </w:tc>
        <w:tc>
          <w:tcPr>
            <w:tcW w:w="2816" w:type="dxa"/>
            <w:vMerge/>
            <w:tcBorders>
              <w:top w:val="nil"/>
              <w:left w:val="single" w:sz="4" w:space="0" w:color="auto"/>
              <w:bottom w:val="single" w:sz="4" w:space="0" w:color="auto"/>
              <w:right w:val="single" w:sz="4" w:space="0" w:color="auto"/>
            </w:tcBorders>
            <w:vAlign w:val="center"/>
          </w:tcPr>
          <w:p w:rsidR="00BC36F9" w:rsidRDefault="00BC36F9"/>
        </w:tc>
        <w:tc>
          <w:tcPr>
            <w:tcW w:w="709" w:type="dxa"/>
            <w:tcBorders>
              <w:top w:val="nil"/>
              <w:left w:val="nil"/>
              <w:bottom w:val="single" w:sz="4" w:space="0" w:color="auto"/>
              <w:right w:val="single" w:sz="4" w:space="0" w:color="auto"/>
            </w:tcBorders>
            <w:vAlign w:val="center"/>
          </w:tcPr>
          <w:p w:rsidR="00BC36F9" w:rsidRDefault="0030070B">
            <w:pPr>
              <w:tabs>
                <w:tab w:val="left" w:pos="5175"/>
              </w:tabs>
              <w:spacing w:line="360" w:lineRule="auto"/>
              <w:jc w:val="center"/>
              <w:rPr>
                <w:rFonts w:ascii="宋体"/>
                <w:color w:val="000000"/>
                <w:kern w:val="0"/>
                <w:szCs w:val="21"/>
              </w:rPr>
            </w:pPr>
            <w:r>
              <w:rPr>
                <w:rFonts w:ascii="宋体"/>
                <w:color w:val="000000"/>
                <w:kern w:val="0"/>
                <w:szCs w:val="21"/>
              </w:rPr>
              <w:t>2</w:t>
            </w:r>
          </w:p>
        </w:tc>
      </w:tr>
      <w:tr w:rsidR="00BC36F9">
        <w:trPr>
          <w:trHeight w:val="570"/>
        </w:trPr>
        <w:tc>
          <w:tcPr>
            <w:tcW w:w="709" w:type="dxa"/>
            <w:tcBorders>
              <w:top w:val="nil"/>
              <w:left w:val="single" w:sz="4" w:space="0" w:color="auto"/>
              <w:bottom w:val="single" w:sz="4" w:space="0" w:color="auto"/>
              <w:right w:val="single" w:sz="4" w:space="0" w:color="auto"/>
            </w:tcBorders>
            <w:vAlign w:val="center"/>
          </w:tcPr>
          <w:p w:rsidR="00BC36F9" w:rsidRDefault="0030070B">
            <w:pPr>
              <w:tabs>
                <w:tab w:val="left" w:pos="5175"/>
              </w:tabs>
              <w:jc w:val="center"/>
              <w:rPr>
                <w:rFonts w:ascii="宋体"/>
                <w:bCs/>
                <w:color w:val="000000"/>
                <w:kern w:val="0"/>
                <w:szCs w:val="21"/>
              </w:rPr>
            </w:pPr>
            <w:r>
              <w:rPr>
                <w:rFonts w:ascii="宋体"/>
                <w:bCs/>
                <w:color w:val="000000"/>
                <w:kern w:val="0"/>
                <w:szCs w:val="21"/>
              </w:rPr>
              <w:t>1</w:t>
            </w:r>
          </w:p>
        </w:tc>
        <w:tc>
          <w:tcPr>
            <w:tcW w:w="851" w:type="dxa"/>
            <w:vMerge w:val="restart"/>
            <w:tcBorders>
              <w:top w:val="nil"/>
              <w:left w:val="single" w:sz="4" w:space="0" w:color="auto"/>
              <w:bottom w:val="single" w:sz="4" w:space="0" w:color="auto"/>
              <w:right w:val="single" w:sz="4" w:space="0" w:color="auto"/>
            </w:tcBorders>
            <w:vAlign w:val="center"/>
          </w:tcPr>
          <w:p w:rsidR="00BC36F9" w:rsidRDefault="0030070B">
            <w:pPr>
              <w:tabs>
                <w:tab w:val="left" w:pos="5175"/>
              </w:tabs>
              <w:rPr>
                <w:rFonts w:ascii="宋体"/>
                <w:b/>
                <w:bCs/>
                <w:color w:val="000000"/>
                <w:kern w:val="0"/>
                <w:szCs w:val="21"/>
              </w:rPr>
            </w:pPr>
            <w:r>
              <w:rPr>
                <w:rFonts w:ascii="宋体" w:hint="eastAsia"/>
                <w:b/>
                <w:bCs/>
                <w:color w:val="000000"/>
                <w:kern w:val="0"/>
                <w:szCs w:val="21"/>
              </w:rPr>
              <w:t>证明材料</w:t>
            </w:r>
          </w:p>
        </w:tc>
        <w:tc>
          <w:tcPr>
            <w:tcW w:w="3704" w:type="dxa"/>
            <w:tcBorders>
              <w:top w:val="nil"/>
              <w:left w:val="nil"/>
              <w:bottom w:val="single" w:sz="4" w:space="0" w:color="auto"/>
              <w:right w:val="single" w:sz="4" w:space="0" w:color="auto"/>
            </w:tcBorders>
            <w:vAlign w:val="center"/>
          </w:tcPr>
          <w:p w:rsidR="00BC36F9" w:rsidRDefault="0030070B">
            <w:pPr>
              <w:tabs>
                <w:tab w:val="left" w:pos="5175"/>
              </w:tabs>
              <w:rPr>
                <w:rFonts w:ascii="宋体"/>
                <w:color w:val="000000"/>
                <w:kern w:val="0"/>
                <w:szCs w:val="21"/>
              </w:rPr>
            </w:pPr>
            <w:r>
              <w:rPr>
                <w:rFonts w:ascii="宋体" w:hint="eastAsia"/>
                <w:color w:val="000000"/>
                <w:kern w:val="0"/>
                <w:szCs w:val="21"/>
              </w:rPr>
              <w:t>投资者出示有效身份证件原件，并提供有效身份证明文件的复印件</w:t>
            </w:r>
          </w:p>
        </w:tc>
        <w:tc>
          <w:tcPr>
            <w:tcW w:w="2816" w:type="dxa"/>
            <w:vMerge w:val="restart"/>
            <w:tcBorders>
              <w:top w:val="nil"/>
              <w:left w:val="single" w:sz="4" w:space="0" w:color="auto"/>
              <w:bottom w:val="single" w:sz="4" w:space="0" w:color="000000"/>
              <w:right w:val="single" w:sz="4" w:space="0" w:color="auto"/>
            </w:tcBorders>
            <w:vAlign w:val="center"/>
          </w:tcPr>
          <w:p w:rsidR="00BC36F9" w:rsidRDefault="0030070B">
            <w:pPr>
              <w:tabs>
                <w:tab w:val="left" w:pos="5175"/>
              </w:tabs>
              <w:rPr>
                <w:rFonts w:ascii="宋体"/>
                <w:color w:val="000000"/>
                <w:kern w:val="0"/>
                <w:szCs w:val="21"/>
              </w:rPr>
            </w:pPr>
            <w:r>
              <w:rPr>
                <w:rFonts w:ascii="宋体" w:hint="eastAsia"/>
                <w:color w:val="000000"/>
                <w:kern w:val="0"/>
                <w:szCs w:val="21"/>
              </w:rPr>
              <w:t>（</w:t>
            </w:r>
            <w:r>
              <w:rPr>
                <w:rFonts w:ascii="宋体"/>
                <w:color w:val="000000"/>
                <w:kern w:val="0"/>
                <w:szCs w:val="21"/>
              </w:rPr>
              <w:t>1</w:t>
            </w:r>
            <w:r>
              <w:rPr>
                <w:rFonts w:ascii="宋体"/>
                <w:color w:val="000000"/>
                <w:kern w:val="0"/>
                <w:szCs w:val="21"/>
              </w:rPr>
              <w:t>）需清晰看到证件号码及证件有效期；</w:t>
            </w:r>
            <w:r>
              <w:rPr>
                <w:rFonts w:ascii="宋体"/>
                <w:color w:val="000000"/>
                <w:kern w:val="0"/>
                <w:szCs w:val="21"/>
              </w:rPr>
              <w:t xml:space="preserve">                     </w:t>
            </w:r>
            <w:r>
              <w:rPr>
                <w:rFonts w:ascii="宋体"/>
                <w:color w:val="000000"/>
                <w:kern w:val="0"/>
                <w:szCs w:val="21"/>
              </w:rPr>
              <w:t>（</w:t>
            </w:r>
            <w:r>
              <w:rPr>
                <w:rFonts w:ascii="宋体"/>
                <w:color w:val="000000"/>
                <w:kern w:val="0"/>
                <w:szCs w:val="21"/>
              </w:rPr>
              <w:t>2</w:t>
            </w:r>
            <w:r>
              <w:rPr>
                <w:rFonts w:ascii="宋体"/>
                <w:color w:val="000000"/>
                <w:kern w:val="0"/>
                <w:szCs w:val="21"/>
              </w:rPr>
              <w:t>）银行卡背面签名栏，需投资者签名。</w:t>
            </w:r>
            <w:r>
              <w:rPr>
                <w:rFonts w:ascii="宋体"/>
                <w:color w:val="000000"/>
                <w:kern w:val="0"/>
                <w:szCs w:val="21"/>
              </w:rPr>
              <w:t xml:space="preserve">           </w:t>
            </w:r>
          </w:p>
        </w:tc>
        <w:tc>
          <w:tcPr>
            <w:tcW w:w="709" w:type="dxa"/>
            <w:tcBorders>
              <w:top w:val="nil"/>
              <w:left w:val="nil"/>
              <w:bottom w:val="single" w:sz="4" w:space="0" w:color="auto"/>
              <w:right w:val="single" w:sz="4" w:space="0" w:color="auto"/>
            </w:tcBorders>
            <w:vAlign w:val="center"/>
          </w:tcPr>
          <w:p w:rsidR="00BC36F9" w:rsidRDefault="0030070B">
            <w:pPr>
              <w:tabs>
                <w:tab w:val="left" w:pos="5175"/>
              </w:tabs>
              <w:spacing w:line="360" w:lineRule="auto"/>
              <w:jc w:val="center"/>
              <w:rPr>
                <w:rFonts w:ascii="宋体"/>
                <w:color w:val="000000"/>
                <w:kern w:val="0"/>
                <w:szCs w:val="21"/>
              </w:rPr>
            </w:pPr>
            <w:r>
              <w:rPr>
                <w:rFonts w:ascii="宋体"/>
                <w:color w:val="000000"/>
                <w:kern w:val="0"/>
                <w:szCs w:val="21"/>
              </w:rPr>
              <w:t>1</w:t>
            </w:r>
          </w:p>
        </w:tc>
      </w:tr>
      <w:tr w:rsidR="00BC36F9">
        <w:trPr>
          <w:trHeight w:val="285"/>
        </w:trPr>
        <w:tc>
          <w:tcPr>
            <w:tcW w:w="709" w:type="dxa"/>
            <w:tcBorders>
              <w:top w:val="nil"/>
              <w:left w:val="single" w:sz="4" w:space="0" w:color="auto"/>
              <w:bottom w:val="single" w:sz="4" w:space="0" w:color="auto"/>
              <w:right w:val="single" w:sz="4" w:space="0" w:color="auto"/>
            </w:tcBorders>
            <w:vAlign w:val="center"/>
          </w:tcPr>
          <w:p w:rsidR="00BC36F9" w:rsidRDefault="0030070B">
            <w:pPr>
              <w:tabs>
                <w:tab w:val="left" w:pos="5175"/>
              </w:tabs>
              <w:jc w:val="center"/>
              <w:rPr>
                <w:rFonts w:ascii="宋体"/>
                <w:bCs/>
                <w:color w:val="000000"/>
                <w:kern w:val="0"/>
                <w:szCs w:val="21"/>
              </w:rPr>
            </w:pPr>
            <w:r>
              <w:rPr>
                <w:rFonts w:ascii="宋体"/>
                <w:bCs/>
                <w:color w:val="000000"/>
                <w:kern w:val="0"/>
                <w:szCs w:val="21"/>
              </w:rPr>
              <w:t>2</w:t>
            </w:r>
          </w:p>
        </w:tc>
        <w:tc>
          <w:tcPr>
            <w:tcW w:w="851" w:type="dxa"/>
            <w:vMerge/>
            <w:tcBorders>
              <w:top w:val="nil"/>
              <w:left w:val="single" w:sz="4" w:space="0" w:color="auto"/>
              <w:bottom w:val="single" w:sz="4" w:space="0" w:color="auto"/>
              <w:right w:val="single" w:sz="4" w:space="0" w:color="auto"/>
            </w:tcBorders>
            <w:vAlign w:val="center"/>
          </w:tcPr>
          <w:p w:rsidR="00BC36F9" w:rsidRDefault="00BC36F9"/>
        </w:tc>
        <w:tc>
          <w:tcPr>
            <w:tcW w:w="3704" w:type="dxa"/>
            <w:tcBorders>
              <w:top w:val="nil"/>
              <w:left w:val="nil"/>
              <w:bottom w:val="single" w:sz="4" w:space="0" w:color="auto"/>
              <w:right w:val="single" w:sz="4" w:space="0" w:color="auto"/>
            </w:tcBorders>
            <w:vAlign w:val="center"/>
          </w:tcPr>
          <w:p w:rsidR="00BC36F9" w:rsidRDefault="0030070B">
            <w:pPr>
              <w:tabs>
                <w:tab w:val="left" w:pos="5175"/>
              </w:tabs>
              <w:rPr>
                <w:rFonts w:ascii="宋体"/>
                <w:color w:val="000000"/>
                <w:kern w:val="0"/>
                <w:szCs w:val="21"/>
              </w:rPr>
            </w:pPr>
            <w:r>
              <w:rPr>
                <w:rFonts w:ascii="宋体" w:hint="eastAsia"/>
                <w:color w:val="000000"/>
                <w:kern w:val="0"/>
                <w:szCs w:val="21"/>
              </w:rPr>
              <w:t>投资者的银行储蓄卡的正反面复印件</w:t>
            </w:r>
          </w:p>
        </w:tc>
        <w:tc>
          <w:tcPr>
            <w:tcW w:w="2816" w:type="dxa"/>
            <w:vMerge/>
            <w:tcBorders>
              <w:top w:val="nil"/>
              <w:left w:val="single" w:sz="4" w:space="0" w:color="auto"/>
              <w:bottom w:val="single" w:sz="4" w:space="0" w:color="000000"/>
              <w:right w:val="single" w:sz="4" w:space="0" w:color="auto"/>
            </w:tcBorders>
            <w:vAlign w:val="center"/>
          </w:tcPr>
          <w:p w:rsidR="00BC36F9" w:rsidRDefault="00BC36F9"/>
        </w:tc>
        <w:tc>
          <w:tcPr>
            <w:tcW w:w="709" w:type="dxa"/>
            <w:tcBorders>
              <w:top w:val="nil"/>
              <w:left w:val="nil"/>
              <w:bottom w:val="single" w:sz="4" w:space="0" w:color="auto"/>
              <w:right w:val="single" w:sz="4" w:space="0" w:color="auto"/>
            </w:tcBorders>
            <w:vAlign w:val="center"/>
          </w:tcPr>
          <w:p w:rsidR="00BC36F9" w:rsidRDefault="0030070B">
            <w:pPr>
              <w:tabs>
                <w:tab w:val="left" w:pos="5175"/>
              </w:tabs>
              <w:spacing w:line="360" w:lineRule="auto"/>
              <w:jc w:val="center"/>
              <w:rPr>
                <w:rFonts w:ascii="宋体"/>
                <w:color w:val="000000"/>
                <w:kern w:val="0"/>
                <w:szCs w:val="21"/>
              </w:rPr>
            </w:pPr>
            <w:r>
              <w:rPr>
                <w:rFonts w:ascii="宋体"/>
                <w:color w:val="000000"/>
                <w:kern w:val="0"/>
                <w:szCs w:val="21"/>
              </w:rPr>
              <w:t>1</w:t>
            </w:r>
          </w:p>
        </w:tc>
      </w:tr>
      <w:tr w:rsidR="00BC36F9">
        <w:trPr>
          <w:trHeight w:val="570"/>
        </w:trPr>
        <w:tc>
          <w:tcPr>
            <w:tcW w:w="709" w:type="dxa"/>
            <w:tcBorders>
              <w:top w:val="nil"/>
              <w:left w:val="single" w:sz="4" w:space="0" w:color="auto"/>
              <w:bottom w:val="single" w:sz="4" w:space="0" w:color="auto"/>
              <w:right w:val="single" w:sz="4" w:space="0" w:color="auto"/>
            </w:tcBorders>
            <w:vAlign w:val="center"/>
          </w:tcPr>
          <w:p w:rsidR="00BC36F9" w:rsidRDefault="0030070B">
            <w:pPr>
              <w:tabs>
                <w:tab w:val="left" w:pos="5175"/>
              </w:tabs>
              <w:jc w:val="center"/>
              <w:rPr>
                <w:rFonts w:ascii="宋体"/>
                <w:bCs/>
                <w:color w:val="000000"/>
                <w:kern w:val="0"/>
                <w:szCs w:val="21"/>
              </w:rPr>
            </w:pPr>
            <w:r>
              <w:rPr>
                <w:rFonts w:ascii="宋体"/>
                <w:bCs/>
                <w:color w:val="000000"/>
                <w:kern w:val="0"/>
                <w:szCs w:val="21"/>
              </w:rPr>
              <w:t>3</w:t>
            </w:r>
          </w:p>
        </w:tc>
        <w:tc>
          <w:tcPr>
            <w:tcW w:w="851" w:type="dxa"/>
            <w:vMerge/>
            <w:tcBorders>
              <w:top w:val="nil"/>
              <w:left w:val="single" w:sz="4" w:space="0" w:color="auto"/>
              <w:bottom w:val="single" w:sz="4" w:space="0" w:color="auto"/>
              <w:right w:val="single" w:sz="4" w:space="0" w:color="auto"/>
            </w:tcBorders>
            <w:vAlign w:val="center"/>
          </w:tcPr>
          <w:p w:rsidR="00BC36F9" w:rsidRDefault="00BC36F9"/>
        </w:tc>
        <w:tc>
          <w:tcPr>
            <w:tcW w:w="3704" w:type="dxa"/>
            <w:tcBorders>
              <w:top w:val="nil"/>
              <w:left w:val="nil"/>
              <w:bottom w:val="single" w:sz="4" w:space="0" w:color="auto"/>
              <w:right w:val="single" w:sz="4" w:space="0" w:color="auto"/>
            </w:tcBorders>
            <w:vAlign w:val="center"/>
          </w:tcPr>
          <w:p w:rsidR="00BC36F9" w:rsidRDefault="0030070B">
            <w:pPr>
              <w:tabs>
                <w:tab w:val="left" w:pos="5175"/>
              </w:tabs>
              <w:rPr>
                <w:rFonts w:ascii="宋体"/>
                <w:color w:val="000000"/>
                <w:kern w:val="0"/>
                <w:szCs w:val="21"/>
              </w:rPr>
            </w:pPr>
            <w:r>
              <w:rPr>
                <w:rFonts w:ascii="宋体" w:hint="eastAsia"/>
                <w:color w:val="000000"/>
                <w:kern w:val="0"/>
                <w:szCs w:val="21"/>
              </w:rPr>
              <w:t>代理人出示有效身份证件原件，并提供有效身份证明文件的复印件</w:t>
            </w:r>
          </w:p>
        </w:tc>
        <w:tc>
          <w:tcPr>
            <w:tcW w:w="2816" w:type="dxa"/>
            <w:vMerge/>
            <w:tcBorders>
              <w:top w:val="nil"/>
              <w:left w:val="single" w:sz="4" w:space="0" w:color="auto"/>
              <w:bottom w:val="single" w:sz="4" w:space="0" w:color="000000"/>
              <w:right w:val="single" w:sz="4" w:space="0" w:color="auto"/>
            </w:tcBorders>
            <w:vAlign w:val="center"/>
          </w:tcPr>
          <w:p w:rsidR="00BC36F9" w:rsidRDefault="00BC36F9"/>
        </w:tc>
        <w:tc>
          <w:tcPr>
            <w:tcW w:w="709" w:type="dxa"/>
            <w:tcBorders>
              <w:top w:val="nil"/>
              <w:left w:val="nil"/>
              <w:bottom w:val="single" w:sz="4" w:space="0" w:color="auto"/>
              <w:right w:val="single" w:sz="4" w:space="0" w:color="auto"/>
            </w:tcBorders>
            <w:vAlign w:val="center"/>
          </w:tcPr>
          <w:p w:rsidR="00BC36F9" w:rsidRDefault="0030070B">
            <w:pPr>
              <w:tabs>
                <w:tab w:val="left" w:pos="5175"/>
              </w:tabs>
              <w:spacing w:line="360" w:lineRule="auto"/>
              <w:jc w:val="center"/>
              <w:rPr>
                <w:rFonts w:ascii="宋体"/>
                <w:color w:val="000000"/>
                <w:kern w:val="0"/>
                <w:szCs w:val="21"/>
              </w:rPr>
            </w:pPr>
            <w:r>
              <w:rPr>
                <w:rFonts w:ascii="宋体"/>
                <w:color w:val="000000"/>
                <w:kern w:val="0"/>
                <w:szCs w:val="21"/>
              </w:rPr>
              <w:t>1</w:t>
            </w:r>
          </w:p>
        </w:tc>
      </w:tr>
      <w:tr w:rsidR="00BC36F9">
        <w:trPr>
          <w:trHeight w:val="570"/>
        </w:trPr>
        <w:tc>
          <w:tcPr>
            <w:tcW w:w="709" w:type="dxa"/>
            <w:tcBorders>
              <w:top w:val="nil"/>
              <w:left w:val="single" w:sz="4" w:space="0" w:color="auto"/>
              <w:bottom w:val="single" w:sz="4" w:space="0" w:color="auto"/>
              <w:right w:val="single" w:sz="4" w:space="0" w:color="auto"/>
            </w:tcBorders>
            <w:vAlign w:val="center"/>
          </w:tcPr>
          <w:p w:rsidR="00BC36F9" w:rsidRDefault="0030070B">
            <w:pPr>
              <w:tabs>
                <w:tab w:val="left" w:pos="5175"/>
              </w:tabs>
              <w:jc w:val="center"/>
              <w:rPr>
                <w:rFonts w:ascii="宋体"/>
                <w:bCs/>
                <w:color w:val="000000"/>
                <w:kern w:val="0"/>
                <w:szCs w:val="21"/>
              </w:rPr>
            </w:pPr>
            <w:r>
              <w:rPr>
                <w:rFonts w:ascii="宋体"/>
                <w:bCs/>
                <w:color w:val="000000"/>
                <w:kern w:val="0"/>
                <w:szCs w:val="21"/>
              </w:rPr>
              <w:t>4</w:t>
            </w:r>
          </w:p>
        </w:tc>
        <w:tc>
          <w:tcPr>
            <w:tcW w:w="851" w:type="dxa"/>
            <w:vMerge/>
            <w:tcBorders>
              <w:top w:val="nil"/>
              <w:left w:val="single" w:sz="4" w:space="0" w:color="auto"/>
              <w:bottom w:val="single" w:sz="4" w:space="0" w:color="auto"/>
              <w:right w:val="single" w:sz="4" w:space="0" w:color="auto"/>
            </w:tcBorders>
            <w:vAlign w:val="center"/>
          </w:tcPr>
          <w:p w:rsidR="00BC36F9" w:rsidRDefault="00BC36F9"/>
        </w:tc>
        <w:tc>
          <w:tcPr>
            <w:tcW w:w="3704" w:type="dxa"/>
            <w:tcBorders>
              <w:top w:val="nil"/>
              <w:left w:val="nil"/>
              <w:bottom w:val="single" w:sz="4" w:space="0" w:color="auto"/>
              <w:right w:val="single" w:sz="4" w:space="0" w:color="auto"/>
            </w:tcBorders>
            <w:vAlign w:val="center"/>
          </w:tcPr>
          <w:p w:rsidR="00BC36F9" w:rsidRDefault="0030070B">
            <w:pPr>
              <w:tabs>
                <w:tab w:val="left" w:pos="5175"/>
              </w:tabs>
              <w:rPr>
                <w:rFonts w:ascii="宋体"/>
                <w:color w:val="000000"/>
                <w:kern w:val="0"/>
                <w:szCs w:val="21"/>
              </w:rPr>
            </w:pPr>
            <w:r>
              <w:rPr>
                <w:rFonts w:ascii="宋体" w:hint="eastAsia"/>
                <w:color w:val="000000"/>
                <w:kern w:val="0"/>
                <w:szCs w:val="21"/>
              </w:rPr>
              <w:t>提供兴业基金管理有限公司认为与办理账户类业务有关的其它证明材料</w:t>
            </w:r>
          </w:p>
        </w:tc>
        <w:tc>
          <w:tcPr>
            <w:tcW w:w="2816" w:type="dxa"/>
            <w:vMerge/>
            <w:tcBorders>
              <w:top w:val="nil"/>
              <w:left w:val="single" w:sz="4" w:space="0" w:color="auto"/>
              <w:bottom w:val="single" w:sz="4" w:space="0" w:color="000000"/>
              <w:right w:val="single" w:sz="4" w:space="0" w:color="auto"/>
            </w:tcBorders>
            <w:vAlign w:val="center"/>
          </w:tcPr>
          <w:p w:rsidR="00BC36F9" w:rsidRDefault="00BC36F9"/>
        </w:tc>
        <w:tc>
          <w:tcPr>
            <w:tcW w:w="709" w:type="dxa"/>
            <w:tcBorders>
              <w:top w:val="nil"/>
              <w:left w:val="nil"/>
              <w:bottom w:val="single" w:sz="4" w:space="0" w:color="auto"/>
              <w:right w:val="single" w:sz="4" w:space="0" w:color="auto"/>
            </w:tcBorders>
            <w:vAlign w:val="center"/>
          </w:tcPr>
          <w:p w:rsidR="00BC36F9" w:rsidRDefault="0030070B">
            <w:pPr>
              <w:tabs>
                <w:tab w:val="left" w:pos="5175"/>
              </w:tabs>
              <w:spacing w:line="360" w:lineRule="auto"/>
              <w:jc w:val="center"/>
              <w:rPr>
                <w:rFonts w:ascii="宋体"/>
                <w:color w:val="000000"/>
                <w:kern w:val="0"/>
                <w:szCs w:val="21"/>
              </w:rPr>
            </w:pPr>
            <w:r>
              <w:rPr>
                <w:rFonts w:ascii="宋体"/>
                <w:color w:val="000000"/>
                <w:kern w:val="0"/>
                <w:szCs w:val="21"/>
              </w:rPr>
              <w:t>1</w:t>
            </w:r>
          </w:p>
        </w:tc>
      </w:tr>
      <w:tr w:rsidR="00BC36F9">
        <w:trPr>
          <w:trHeight w:val="5715"/>
        </w:trPr>
        <w:tc>
          <w:tcPr>
            <w:tcW w:w="709" w:type="dxa"/>
            <w:tcBorders>
              <w:top w:val="nil"/>
              <w:left w:val="single" w:sz="4" w:space="0" w:color="auto"/>
              <w:bottom w:val="single" w:sz="4" w:space="0" w:color="auto"/>
              <w:right w:val="single" w:sz="4" w:space="0" w:color="auto"/>
            </w:tcBorders>
            <w:vAlign w:val="center"/>
          </w:tcPr>
          <w:p w:rsidR="00BC36F9" w:rsidRDefault="0030070B">
            <w:pPr>
              <w:tabs>
                <w:tab w:val="left" w:pos="5175"/>
              </w:tabs>
              <w:jc w:val="center"/>
              <w:rPr>
                <w:rFonts w:ascii="宋体"/>
                <w:bCs/>
                <w:color w:val="000000"/>
                <w:kern w:val="0"/>
                <w:szCs w:val="21"/>
              </w:rPr>
            </w:pPr>
            <w:r>
              <w:rPr>
                <w:rFonts w:ascii="宋体"/>
                <w:bCs/>
                <w:color w:val="000000"/>
                <w:kern w:val="0"/>
                <w:szCs w:val="21"/>
              </w:rPr>
              <w:t>1</w:t>
            </w:r>
          </w:p>
        </w:tc>
        <w:tc>
          <w:tcPr>
            <w:tcW w:w="851" w:type="dxa"/>
            <w:vMerge w:val="restart"/>
            <w:tcBorders>
              <w:top w:val="nil"/>
              <w:left w:val="single" w:sz="4" w:space="0" w:color="auto"/>
              <w:bottom w:val="single" w:sz="4" w:space="0" w:color="auto"/>
              <w:right w:val="single" w:sz="4" w:space="0" w:color="auto"/>
            </w:tcBorders>
            <w:vAlign w:val="center"/>
          </w:tcPr>
          <w:p w:rsidR="00BC36F9" w:rsidRDefault="0030070B">
            <w:pPr>
              <w:tabs>
                <w:tab w:val="left" w:pos="5175"/>
              </w:tabs>
              <w:rPr>
                <w:rFonts w:ascii="宋体"/>
                <w:b/>
                <w:bCs/>
                <w:color w:val="000000"/>
                <w:kern w:val="0"/>
                <w:szCs w:val="21"/>
              </w:rPr>
            </w:pPr>
            <w:r>
              <w:rPr>
                <w:rFonts w:ascii="宋体" w:hint="eastAsia"/>
                <w:b/>
                <w:bCs/>
                <w:color w:val="000000"/>
                <w:kern w:val="0"/>
                <w:szCs w:val="21"/>
              </w:rPr>
              <w:t>适当性材料</w:t>
            </w:r>
          </w:p>
        </w:tc>
        <w:tc>
          <w:tcPr>
            <w:tcW w:w="3704" w:type="dxa"/>
            <w:tcBorders>
              <w:top w:val="nil"/>
              <w:left w:val="nil"/>
              <w:bottom w:val="single" w:sz="4" w:space="0" w:color="auto"/>
              <w:right w:val="single" w:sz="4" w:space="0" w:color="auto"/>
            </w:tcBorders>
            <w:vAlign w:val="center"/>
          </w:tcPr>
          <w:p w:rsidR="00BC36F9" w:rsidRDefault="0030070B">
            <w:pPr>
              <w:tabs>
                <w:tab w:val="left" w:pos="5175"/>
              </w:tabs>
              <w:rPr>
                <w:rFonts w:ascii="宋体"/>
                <w:color w:val="000000"/>
                <w:kern w:val="0"/>
                <w:szCs w:val="21"/>
              </w:rPr>
            </w:pPr>
            <w:r>
              <w:rPr>
                <w:rFonts w:ascii="宋体" w:hint="eastAsia"/>
                <w:color w:val="000000"/>
                <w:kern w:val="0"/>
                <w:szCs w:val="21"/>
              </w:rPr>
              <w:t>专业投资者判定问卷（申请开户、投资者类别转换时</w:t>
            </w:r>
            <w:r>
              <w:rPr>
                <w:rFonts w:ascii="宋体" w:hint="eastAsia"/>
                <w:b/>
                <w:bCs/>
                <w:color w:val="000000"/>
                <w:kern w:val="0"/>
                <w:szCs w:val="21"/>
              </w:rPr>
              <w:t>必填</w:t>
            </w:r>
            <w:r>
              <w:rPr>
                <w:rFonts w:ascii="宋体" w:hint="eastAsia"/>
                <w:color w:val="000000"/>
                <w:kern w:val="0"/>
                <w:szCs w:val="21"/>
              </w:rPr>
              <w:t>）</w:t>
            </w:r>
          </w:p>
        </w:tc>
        <w:tc>
          <w:tcPr>
            <w:tcW w:w="2816" w:type="dxa"/>
            <w:vMerge w:val="restart"/>
            <w:tcBorders>
              <w:top w:val="nil"/>
              <w:left w:val="single" w:sz="4" w:space="0" w:color="auto"/>
              <w:bottom w:val="single" w:sz="4" w:space="0" w:color="auto"/>
              <w:right w:val="single" w:sz="4" w:space="0" w:color="auto"/>
            </w:tcBorders>
            <w:vAlign w:val="center"/>
          </w:tcPr>
          <w:p w:rsidR="00BC36F9" w:rsidRDefault="0030070B">
            <w:pPr>
              <w:tabs>
                <w:tab w:val="left" w:pos="5175"/>
              </w:tabs>
              <w:jc w:val="left"/>
              <w:rPr>
                <w:rFonts w:ascii="宋体"/>
                <w:color w:val="000000"/>
                <w:kern w:val="0"/>
                <w:szCs w:val="21"/>
              </w:rPr>
            </w:pPr>
            <w:r>
              <w:rPr>
                <w:rFonts w:ascii="宋体" w:hint="eastAsia"/>
                <w:color w:val="000000"/>
                <w:kern w:val="0"/>
                <w:szCs w:val="21"/>
              </w:rPr>
              <w:t>（</w:t>
            </w:r>
            <w:r>
              <w:rPr>
                <w:rFonts w:ascii="宋体"/>
                <w:color w:val="000000"/>
                <w:kern w:val="0"/>
                <w:szCs w:val="21"/>
              </w:rPr>
              <w:t>1</w:t>
            </w:r>
            <w:r>
              <w:rPr>
                <w:rFonts w:ascii="宋体"/>
                <w:color w:val="000000"/>
                <w:kern w:val="0"/>
                <w:szCs w:val="21"/>
              </w:rPr>
              <w:t>）投资者需填写专业投资者判定问卷，并根据自身判定结果，附上相应证明材料。</w:t>
            </w:r>
            <w:r>
              <w:rPr>
                <w:rFonts w:ascii="宋体"/>
                <w:color w:val="000000"/>
                <w:kern w:val="0"/>
                <w:szCs w:val="21"/>
              </w:rPr>
              <w:t xml:space="preserve">               </w:t>
            </w:r>
            <w:r>
              <w:rPr>
                <w:rFonts w:ascii="宋体" w:hint="eastAsia"/>
                <w:color w:val="000000"/>
                <w:kern w:val="0"/>
                <w:szCs w:val="21"/>
              </w:rPr>
              <w:t>（</w:t>
            </w:r>
            <w:r>
              <w:rPr>
                <w:rFonts w:ascii="宋体"/>
                <w:color w:val="000000"/>
                <w:kern w:val="0"/>
                <w:szCs w:val="21"/>
              </w:rPr>
              <w:t>2</w:t>
            </w:r>
            <w:r>
              <w:rPr>
                <w:rFonts w:ascii="宋体"/>
                <w:color w:val="000000"/>
                <w:kern w:val="0"/>
                <w:szCs w:val="21"/>
              </w:rPr>
              <w:t>）专业投资者证明材料如下</w:t>
            </w:r>
            <w:r>
              <w:rPr>
                <w:rFonts w:ascii="宋体"/>
                <w:color w:val="000000"/>
                <w:kern w:val="0"/>
                <w:szCs w:val="21"/>
              </w:rPr>
              <w:t>: (a)</w:t>
            </w:r>
            <w:r>
              <w:rPr>
                <w:rFonts w:ascii="宋体"/>
                <w:color w:val="000000"/>
                <w:kern w:val="0"/>
                <w:szCs w:val="21"/>
              </w:rPr>
              <w:t>、金融资产不低于</w:t>
            </w:r>
            <w:r>
              <w:rPr>
                <w:rFonts w:ascii="宋体"/>
                <w:color w:val="000000"/>
                <w:kern w:val="0"/>
                <w:szCs w:val="21"/>
              </w:rPr>
              <w:t>500</w:t>
            </w:r>
            <w:r>
              <w:rPr>
                <w:rFonts w:ascii="宋体"/>
                <w:color w:val="000000"/>
                <w:kern w:val="0"/>
                <w:szCs w:val="21"/>
              </w:rPr>
              <w:t>万元，或者最近</w:t>
            </w:r>
            <w:r>
              <w:rPr>
                <w:rFonts w:ascii="宋体"/>
                <w:color w:val="000000"/>
                <w:kern w:val="0"/>
                <w:szCs w:val="21"/>
              </w:rPr>
              <w:t>3</w:t>
            </w:r>
            <w:r>
              <w:rPr>
                <w:rFonts w:ascii="宋体"/>
                <w:color w:val="000000"/>
                <w:kern w:val="0"/>
                <w:szCs w:val="21"/>
              </w:rPr>
              <w:t>年个人年均收入不低于</w:t>
            </w:r>
            <w:r>
              <w:rPr>
                <w:rFonts w:ascii="宋体"/>
                <w:color w:val="000000"/>
                <w:kern w:val="0"/>
                <w:szCs w:val="21"/>
              </w:rPr>
              <w:t>50</w:t>
            </w:r>
            <w:r>
              <w:rPr>
                <w:rFonts w:ascii="宋体"/>
                <w:color w:val="000000"/>
                <w:kern w:val="0"/>
                <w:szCs w:val="21"/>
              </w:rPr>
              <w:t>万元。</w:t>
            </w:r>
            <w:r>
              <w:rPr>
                <w:rFonts w:ascii="宋体"/>
                <w:color w:val="000000"/>
                <w:kern w:val="0"/>
                <w:szCs w:val="21"/>
              </w:rPr>
              <w:t xml:space="preserve">                             (b)</w:t>
            </w:r>
            <w:r>
              <w:rPr>
                <w:rFonts w:ascii="宋体"/>
                <w:color w:val="000000"/>
                <w:kern w:val="0"/>
                <w:szCs w:val="21"/>
              </w:rPr>
              <w:t>、具有</w:t>
            </w:r>
            <w:r>
              <w:rPr>
                <w:rFonts w:ascii="宋体"/>
                <w:color w:val="000000"/>
                <w:kern w:val="0"/>
                <w:szCs w:val="21"/>
              </w:rPr>
              <w:t>2</w:t>
            </w:r>
            <w:r>
              <w:rPr>
                <w:rFonts w:ascii="宋体"/>
                <w:color w:val="000000"/>
                <w:kern w:val="0"/>
                <w:szCs w:val="21"/>
              </w:rPr>
              <w:t>年以上证券、基金、期货、黄金、外汇等投资经历，或者具有</w:t>
            </w:r>
            <w:r>
              <w:rPr>
                <w:rFonts w:ascii="宋体"/>
                <w:color w:val="000000"/>
                <w:kern w:val="0"/>
                <w:szCs w:val="21"/>
              </w:rPr>
              <w:t>2</w:t>
            </w:r>
            <w:r>
              <w:rPr>
                <w:rFonts w:ascii="宋体"/>
                <w:color w:val="000000"/>
                <w:kern w:val="0"/>
                <w:szCs w:val="21"/>
              </w:rPr>
              <w:t>年以上金融产品设计、投资、风险管理及相关工作经历，或者属于经有关金融监管部门批准设立的金融机构，包括证券公司、期货公司、基金管理公司及其子公司、商业银行、保险公司、信托公司、</w:t>
            </w:r>
            <w:r>
              <w:rPr>
                <w:rFonts w:ascii="宋体"/>
                <w:color w:val="000000"/>
                <w:kern w:val="0"/>
                <w:szCs w:val="21"/>
              </w:rPr>
              <w:t>财务公司等；经行业协会备案或者登记的证券公司子公司、期货公司子公司、私募基金管理人的高级管理人员、获得职业资格认证的从事金融相关业务的注册会计师和律师。</w:t>
            </w:r>
          </w:p>
        </w:tc>
        <w:tc>
          <w:tcPr>
            <w:tcW w:w="709" w:type="dxa"/>
            <w:tcBorders>
              <w:top w:val="nil"/>
              <w:left w:val="nil"/>
              <w:bottom w:val="single" w:sz="4" w:space="0" w:color="auto"/>
              <w:right w:val="single" w:sz="4" w:space="0" w:color="auto"/>
            </w:tcBorders>
            <w:vAlign w:val="center"/>
          </w:tcPr>
          <w:p w:rsidR="00BC36F9" w:rsidRDefault="0030070B">
            <w:pPr>
              <w:tabs>
                <w:tab w:val="left" w:pos="5175"/>
              </w:tabs>
              <w:spacing w:line="360" w:lineRule="auto"/>
              <w:jc w:val="center"/>
              <w:rPr>
                <w:rFonts w:ascii="宋体"/>
                <w:color w:val="000000"/>
                <w:kern w:val="0"/>
                <w:szCs w:val="21"/>
              </w:rPr>
            </w:pPr>
            <w:r>
              <w:rPr>
                <w:rFonts w:ascii="宋体"/>
                <w:color w:val="000000"/>
                <w:kern w:val="0"/>
                <w:szCs w:val="21"/>
              </w:rPr>
              <w:t>2</w:t>
            </w:r>
          </w:p>
        </w:tc>
      </w:tr>
      <w:tr w:rsidR="00BC36F9">
        <w:trPr>
          <w:trHeight w:val="570"/>
        </w:trPr>
        <w:tc>
          <w:tcPr>
            <w:tcW w:w="709" w:type="dxa"/>
            <w:tcBorders>
              <w:top w:val="nil"/>
              <w:left w:val="single" w:sz="4" w:space="0" w:color="auto"/>
              <w:bottom w:val="single" w:sz="4" w:space="0" w:color="auto"/>
              <w:right w:val="single" w:sz="4" w:space="0" w:color="auto"/>
            </w:tcBorders>
            <w:vAlign w:val="center"/>
          </w:tcPr>
          <w:p w:rsidR="00BC36F9" w:rsidRDefault="0030070B">
            <w:pPr>
              <w:tabs>
                <w:tab w:val="left" w:pos="5175"/>
              </w:tabs>
              <w:spacing w:line="360" w:lineRule="auto"/>
              <w:jc w:val="center"/>
              <w:rPr>
                <w:rFonts w:ascii="宋体"/>
                <w:bCs/>
                <w:color w:val="000000"/>
                <w:kern w:val="0"/>
                <w:sz w:val="24"/>
              </w:rPr>
            </w:pPr>
            <w:r>
              <w:rPr>
                <w:rFonts w:ascii="宋体" w:hint="eastAsia"/>
                <w:bCs/>
                <w:color w:val="000000"/>
                <w:kern w:val="0"/>
                <w:sz w:val="24"/>
              </w:rPr>
              <w:t>2</w:t>
            </w:r>
          </w:p>
        </w:tc>
        <w:tc>
          <w:tcPr>
            <w:tcW w:w="851" w:type="dxa"/>
            <w:vMerge/>
            <w:tcBorders>
              <w:top w:val="nil"/>
              <w:left w:val="single" w:sz="4" w:space="0" w:color="auto"/>
              <w:bottom w:val="single" w:sz="4" w:space="0" w:color="auto"/>
              <w:right w:val="single" w:sz="4" w:space="0" w:color="auto"/>
            </w:tcBorders>
            <w:vAlign w:val="center"/>
          </w:tcPr>
          <w:p w:rsidR="00BC36F9" w:rsidRDefault="00BC36F9"/>
        </w:tc>
        <w:tc>
          <w:tcPr>
            <w:tcW w:w="3704" w:type="dxa"/>
            <w:tcBorders>
              <w:top w:val="nil"/>
              <w:left w:val="nil"/>
              <w:bottom w:val="single" w:sz="4" w:space="0" w:color="auto"/>
              <w:right w:val="single" w:sz="4" w:space="0" w:color="auto"/>
            </w:tcBorders>
            <w:vAlign w:val="center"/>
          </w:tcPr>
          <w:p w:rsidR="00BC36F9" w:rsidRDefault="0030070B">
            <w:pPr>
              <w:tabs>
                <w:tab w:val="left" w:pos="5175"/>
              </w:tabs>
              <w:rPr>
                <w:rFonts w:ascii="宋体"/>
                <w:color w:val="000000"/>
                <w:kern w:val="0"/>
                <w:szCs w:val="21"/>
              </w:rPr>
            </w:pPr>
            <w:r>
              <w:rPr>
                <w:rFonts w:ascii="宋体" w:hint="eastAsia"/>
                <w:color w:val="000000"/>
                <w:kern w:val="0"/>
                <w:szCs w:val="21"/>
              </w:rPr>
              <w:t>普通投资者转化为专业投资者申请及确认书</w:t>
            </w:r>
          </w:p>
        </w:tc>
        <w:tc>
          <w:tcPr>
            <w:tcW w:w="2816" w:type="dxa"/>
            <w:vMerge/>
            <w:tcBorders>
              <w:top w:val="nil"/>
              <w:left w:val="single" w:sz="4" w:space="0" w:color="auto"/>
              <w:bottom w:val="single" w:sz="4" w:space="0" w:color="auto"/>
              <w:right w:val="single" w:sz="4" w:space="0" w:color="auto"/>
            </w:tcBorders>
            <w:vAlign w:val="center"/>
          </w:tcPr>
          <w:p w:rsidR="00BC36F9" w:rsidRDefault="00BC36F9"/>
        </w:tc>
        <w:tc>
          <w:tcPr>
            <w:tcW w:w="709" w:type="dxa"/>
            <w:tcBorders>
              <w:top w:val="nil"/>
              <w:left w:val="nil"/>
              <w:bottom w:val="single" w:sz="4" w:space="0" w:color="auto"/>
              <w:right w:val="single" w:sz="4" w:space="0" w:color="auto"/>
            </w:tcBorders>
            <w:vAlign w:val="center"/>
          </w:tcPr>
          <w:p w:rsidR="00BC36F9" w:rsidRDefault="0030070B">
            <w:pPr>
              <w:tabs>
                <w:tab w:val="left" w:pos="5175"/>
              </w:tabs>
              <w:spacing w:line="360" w:lineRule="auto"/>
              <w:jc w:val="center"/>
              <w:rPr>
                <w:rFonts w:ascii="宋体"/>
                <w:color w:val="000000"/>
                <w:kern w:val="0"/>
                <w:sz w:val="24"/>
              </w:rPr>
            </w:pPr>
            <w:r>
              <w:rPr>
                <w:rFonts w:ascii="宋体" w:hint="eastAsia"/>
                <w:color w:val="000000"/>
                <w:kern w:val="0"/>
                <w:sz w:val="24"/>
              </w:rPr>
              <w:t>2</w:t>
            </w:r>
          </w:p>
        </w:tc>
      </w:tr>
      <w:tr w:rsidR="00BC36F9">
        <w:trPr>
          <w:trHeight w:val="300"/>
        </w:trPr>
        <w:tc>
          <w:tcPr>
            <w:tcW w:w="709" w:type="dxa"/>
            <w:tcBorders>
              <w:top w:val="nil"/>
              <w:left w:val="single" w:sz="4" w:space="0" w:color="auto"/>
              <w:bottom w:val="single" w:sz="4" w:space="0" w:color="auto"/>
              <w:right w:val="single" w:sz="4" w:space="0" w:color="auto"/>
            </w:tcBorders>
            <w:vAlign w:val="center"/>
          </w:tcPr>
          <w:p w:rsidR="00BC36F9" w:rsidRDefault="0030070B">
            <w:pPr>
              <w:tabs>
                <w:tab w:val="left" w:pos="5175"/>
              </w:tabs>
              <w:spacing w:line="360" w:lineRule="auto"/>
              <w:jc w:val="center"/>
              <w:rPr>
                <w:rFonts w:ascii="宋体"/>
                <w:bCs/>
                <w:color w:val="000000"/>
                <w:kern w:val="0"/>
                <w:sz w:val="24"/>
              </w:rPr>
            </w:pPr>
            <w:r>
              <w:rPr>
                <w:rFonts w:ascii="宋体" w:hint="eastAsia"/>
                <w:bCs/>
                <w:color w:val="000000"/>
                <w:kern w:val="0"/>
                <w:sz w:val="24"/>
              </w:rPr>
              <w:t>3</w:t>
            </w:r>
          </w:p>
        </w:tc>
        <w:tc>
          <w:tcPr>
            <w:tcW w:w="851" w:type="dxa"/>
            <w:vMerge/>
            <w:tcBorders>
              <w:top w:val="nil"/>
              <w:left w:val="single" w:sz="4" w:space="0" w:color="auto"/>
              <w:bottom w:val="single" w:sz="4" w:space="0" w:color="auto"/>
              <w:right w:val="single" w:sz="4" w:space="0" w:color="auto"/>
            </w:tcBorders>
            <w:vAlign w:val="center"/>
          </w:tcPr>
          <w:p w:rsidR="00BC36F9" w:rsidRDefault="00BC36F9"/>
        </w:tc>
        <w:tc>
          <w:tcPr>
            <w:tcW w:w="3704" w:type="dxa"/>
            <w:tcBorders>
              <w:top w:val="nil"/>
              <w:left w:val="nil"/>
              <w:bottom w:val="single" w:sz="4" w:space="0" w:color="auto"/>
              <w:right w:val="single" w:sz="4" w:space="0" w:color="auto"/>
            </w:tcBorders>
            <w:vAlign w:val="center"/>
          </w:tcPr>
          <w:p w:rsidR="00BC36F9" w:rsidRDefault="0030070B">
            <w:pPr>
              <w:tabs>
                <w:tab w:val="left" w:pos="5175"/>
              </w:tabs>
              <w:rPr>
                <w:rFonts w:ascii="宋体"/>
                <w:color w:val="000000"/>
                <w:kern w:val="0"/>
                <w:szCs w:val="21"/>
              </w:rPr>
            </w:pPr>
            <w:r>
              <w:rPr>
                <w:rFonts w:ascii="宋体" w:hint="eastAsia"/>
                <w:color w:val="000000"/>
                <w:kern w:val="0"/>
                <w:szCs w:val="21"/>
              </w:rPr>
              <w:t>投资知识测试问卷</w:t>
            </w:r>
          </w:p>
        </w:tc>
        <w:tc>
          <w:tcPr>
            <w:tcW w:w="2816" w:type="dxa"/>
            <w:vMerge/>
            <w:tcBorders>
              <w:top w:val="nil"/>
              <w:left w:val="single" w:sz="4" w:space="0" w:color="auto"/>
              <w:bottom w:val="single" w:sz="4" w:space="0" w:color="auto"/>
              <w:right w:val="single" w:sz="4" w:space="0" w:color="auto"/>
            </w:tcBorders>
            <w:vAlign w:val="center"/>
          </w:tcPr>
          <w:p w:rsidR="00BC36F9" w:rsidRDefault="00BC36F9"/>
        </w:tc>
        <w:tc>
          <w:tcPr>
            <w:tcW w:w="709" w:type="dxa"/>
            <w:tcBorders>
              <w:top w:val="nil"/>
              <w:left w:val="nil"/>
              <w:bottom w:val="single" w:sz="4" w:space="0" w:color="auto"/>
              <w:right w:val="single" w:sz="4" w:space="0" w:color="auto"/>
            </w:tcBorders>
            <w:vAlign w:val="center"/>
          </w:tcPr>
          <w:p w:rsidR="00BC36F9" w:rsidRDefault="0030070B">
            <w:pPr>
              <w:tabs>
                <w:tab w:val="left" w:pos="5175"/>
              </w:tabs>
              <w:spacing w:line="360" w:lineRule="auto"/>
              <w:jc w:val="center"/>
              <w:rPr>
                <w:rFonts w:ascii="宋体"/>
                <w:color w:val="000000"/>
                <w:kern w:val="0"/>
                <w:sz w:val="24"/>
              </w:rPr>
            </w:pPr>
            <w:r>
              <w:rPr>
                <w:rFonts w:ascii="宋体" w:hint="eastAsia"/>
                <w:color w:val="000000"/>
                <w:kern w:val="0"/>
                <w:sz w:val="24"/>
              </w:rPr>
              <w:t>2</w:t>
            </w:r>
          </w:p>
        </w:tc>
      </w:tr>
      <w:tr w:rsidR="00BC36F9">
        <w:trPr>
          <w:trHeight w:val="585"/>
        </w:trPr>
        <w:tc>
          <w:tcPr>
            <w:tcW w:w="709" w:type="dxa"/>
            <w:tcBorders>
              <w:top w:val="nil"/>
              <w:left w:val="single" w:sz="4" w:space="0" w:color="auto"/>
              <w:bottom w:val="single" w:sz="4" w:space="0" w:color="auto"/>
              <w:right w:val="single" w:sz="4" w:space="0" w:color="auto"/>
            </w:tcBorders>
            <w:vAlign w:val="center"/>
          </w:tcPr>
          <w:p w:rsidR="00BC36F9" w:rsidRDefault="0030070B">
            <w:pPr>
              <w:tabs>
                <w:tab w:val="left" w:pos="5175"/>
              </w:tabs>
              <w:spacing w:line="360" w:lineRule="auto"/>
              <w:jc w:val="center"/>
              <w:rPr>
                <w:rFonts w:ascii="宋体"/>
                <w:bCs/>
                <w:color w:val="000000"/>
                <w:kern w:val="0"/>
                <w:sz w:val="24"/>
              </w:rPr>
            </w:pPr>
            <w:r>
              <w:rPr>
                <w:rFonts w:ascii="宋体" w:hint="eastAsia"/>
                <w:bCs/>
                <w:color w:val="000000"/>
                <w:kern w:val="0"/>
                <w:sz w:val="24"/>
              </w:rPr>
              <w:t>4</w:t>
            </w:r>
          </w:p>
        </w:tc>
        <w:tc>
          <w:tcPr>
            <w:tcW w:w="851" w:type="dxa"/>
            <w:vMerge/>
            <w:tcBorders>
              <w:top w:val="nil"/>
              <w:left w:val="single" w:sz="4" w:space="0" w:color="auto"/>
              <w:bottom w:val="single" w:sz="4" w:space="0" w:color="auto"/>
              <w:right w:val="single" w:sz="4" w:space="0" w:color="auto"/>
            </w:tcBorders>
            <w:vAlign w:val="center"/>
          </w:tcPr>
          <w:p w:rsidR="00BC36F9" w:rsidRDefault="00BC36F9"/>
        </w:tc>
        <w:tc>
          <w:tcPr>
            <w:tcW w:w="3704" w:type="dxa"/>
            <w:tcBorders>
              <w:top w:val="nil"/>
              <w:left w:val="nil"/>
              <w:bottom w:val="single" w:sz="4" w:space="0" w:color="auto"/>
              <w:right w:val="single" w:sz="4" w:space="0" w:color="auto"/>
            </w:tcBorders>
            <w:vAlign w:val="center"/>
          </w:tcPr>
          <w:p w:rsidR="00BC36F9" w:rsidRDefault="0030070B">
            <w:pPr>
              <w:tabs>
                <w:tab w:val="left" w:pos="5175"/>
              </w:tabs>
              <w:rPr>
                <w:rFonts w:ascii="宋体"/>
                <w:color w:val="000000"/>
                <w:kern w:val="0"/>
                <w:szCs w:val="21"/>
              </w:rPr>
            </w:pPr>
            <w:r>
              <w:rPr>
                <w:rFonts w:ascii="宋体" w:hint="eastAsia"/>
                <w:color w:val="000000"/>
                <w:kern w:val="0"/>
                <w:szCs w:val="21"/>
              </w:rPr>
              <w:t>专业投资者转化为普通投资者申请及确认书</w:t>
            </w:r>
          </w:p>
        </w:tc>
        <w:tc>
          <w:tcPr>
            <w:tcW w:w="2816" w:type="dxa"/>
            <w:vMerge/>
            <w:tcBorders>
              <w:top w:val="nil"/>
              <w:left w:val="single" w:sz="4" w:space="0" w:color="auto"/>
              <w:bottom w:val="single" w:sz="4" w:space="0" w:color="auto"/>
              <w:right w:val="single" w:sz="4" w:space="0" w:color="auto"/>
            </w:tcBorders>
            <w:vAlign w:val="center"/>
          </w:tcPr>
          <w:p w:rsidR="00BC36F9" w:rsidRDefault="00BC36F9"/>
        </w:tc>
        <w:tc>
          <w:tcPr>
            <w:tcW w:w="709" w:type="dxa"/>
            <w:tcBorders>
              <w:top w:val="nil"/>
              <w:left w:val="nil"/>
              <w:bottom w:val="single" w:sz="4" w:space="0" w:color="auto"/>
              <w:right w:val="single" w:sz="4" w:space="0" w:color="auto"/>
            </w:tcBorders>
            <w:vAlign w:val="center"/>
          </w:tcPr>
          <w:p w:rsidR="00BC36F9" w:rsidRDefault="0030070B">
            <w:pPr>
              <w:tabs>
                <w:tab w:val="left" w:pos="5175"/>
              </w:tabs>
              <w:spacing w:line="360" w:lineRule="auto"/>
              <w:jc w:val="center"/>
              <w:rPr>
                <w:rFonts w:ascii="宋体"/>
                <w:color w:val="000000"/>
                <w:kern w:val="0"/>
                <w:sz w:val="24"/>
              </w:rPr>
            </w:pPr>
            <w:r>
              <w:rPr>
                <w:rFonts w:ascii="宋体" w:hint="eastAsia"/>
                <w:color w:val="000000"/>
                <w:kern w:val="0"/>
                <w:sz w:val="24"/>
              </w:rPr>
              <w:t>2</w:t>
            </w:r>
          </w:p>
        </w:tc>
      </w:tr>
    </w:tbl>
    <w:p w:rsidR="00BC36F9" w:rsidRDefault="0030070B">
      <w:pPr>
        <w:tabs>
          <w:tab w:val="left" w:pos="5175"/>
        </w:tabs>
        <w:spacing w:line="360" w:lineRule="auto"/>
        <w:ind w:firstLineChars="200" w:firstLine="480"/>
        <w:rPr>
          <w:rFonts w:ascii="宋体"/>
          <w:color w:val="000000"/>
          <w:kern w:val="0"/>
          <w:sz w:val="24"/>
        </w:rPr>
      </w:pPr>
      <w:r>
        <w:rPr>
          <w:rFonts w:ascii="宋体" w:hint="eastAsia"/>
          <w:color w:val="000000"/>
          <w:kern w:val="0"/>
          <w:sz w:val="24"/>
        </w:rPr>
        <w:t>注：其中银行储蓄卡是指个人投资者开户时预留的作为赎回、分红、退款的结算账户，银行账户名称必须同个人投资者基金账户的户名一致。</w:t>
      </w:r>
    </w:p>
    <w:p w:rsidR="00BC36F9" w:rsidRDefault="0030070B">
      <w:pPr>
        <w:tabs>
          <w:tab w:val="left" w:pos="5175"/>
        </w:tabs>
        <w:spacing w:line="360" w:lineRule="auto"/>
        <w:ind w:firstLineChars="200" w:firstLine="480"/>
        <w:rPr>
          <w:rFonts w:ascii="宋体"/>
          <w:color w:val="000000"/>
          <w:kern w:val="0"/>
          <w:sz w:val="24"/>
        </w:rPr>
      </w:pPr>
      <w:r>
        <w:rPr>
          <w:rFonts w:ascii="宋体" w:hint="eastAsia"/>
          <w:color w:val="000000"/>
          <w:kern w:val="0"/>
          <w:sz w:val="24"/>
        </w:rPr>
        <w:t>3</w:t>
      </w:r>
      <w:r>
        <w:rPr>
          <w:rFonts w:ascii="宋体" w:hint="eastAsia"/>
          <w:color w:val="000000"/>
          <w:kern w:val="0"/>
          <w:sz w:val="24"/>
        </w:rPr>
        <w:t>、提出认购申请</w:t>
      </w:r>
    </w:p>
    <w:p w:rsidR="00BC36F9" w:rsidRDefault="0030070B">
      <w:pPr>
        <w:tabs>
          <w:tab w:val="left" w:pos="5175"/>
        </w:tabs>
        <w:spacing w:line="360" w:lineRule="auto"/>
        <w:ind w:firstLineChars="200" w:firstLine="480"/>
        <w:rPr>
          <w:rFonts w:ascii="宋体"/>
          <w:color w:val="000000"/>
          <w:kern w:val="0"/>
          <w:sz w:val="24"/>
        </w:rPr>
      </w:pPr>
      <w:r>
        <w:rPr>
          <w:rFonts w:ascii="宋体" w:hint="eastAsia"/>
          <w:color w:val="000000"/>
          <w:kern w:val="0"/>
          <w:sz w:val="24"/>
        </w:rPr>
        <w:t>个人投资者办理认购申请需准备以下资料：</w:t>
      </w:r>
    </w:p>
    <w:p w:rsidR="00BC36F9" w:rsidRDefault="0030070B">
      <w:pPr>
        <w:tabs>
          <w:tab w:val="left" w:pos="5175"/>
        </w:tabs>
        <w:spacing w:line="360" w:lineRule="auto"/>
        <w:ind w:firstLineChars="200" w:firstLine="480"/>
        <w:rPr>
          <w:sz w:val="23"/>
          <w:szCs w:val="23"/>
        </w:rPr>
      </w:pPr>
      <w:r>
        <w:rPr>
          <w:rFonts w:ascii="宋体" w:hint="eastAsia"/>
          <w:color w:val="000000"/>
          <w:kern w:val="0"/>
          <w:sz w:val="24"/>
        </w:rPr>
        <w:t>（</w:t>
      </w:r>
      <w:r>
        <w:rPr>
          <w:rFonts w:ascii="宋体" w:hint="eastAsia"/>
          <w:color w:val="000000"/>
          <w:kern w:val="0"/>
          <w:sz w:val="24"/>
        </w:rPr>
        <w:t>1</w:t>
      </w:r>
      <w:r>
        <w:rPr>
          <w:rFonts w:ascii="宋体" w:hint="eastAsia"/>
          <w:color w:val="000000"/>
          <w:kern w:val="0"/>
          <w:sz w:val="24"/>
        </w:rPr>
        <w:t>）</w:t>
      </w:r>
      <w:r>
        <w:rPr>
          <w:rFonts w:hint="eastAsia"/>
          <w:sz w:val="23"/>
          <w:szCs w:val="23"/>
        </w:rPr>
        <w:t>填妥的加盖投资者签章的《交易类业务申请表》</w:t>
      </w:r>
      <w:r>
        <w:rPr>
          <w:rFonts w:ascii="宋体" w:hint="eastAsia"/>
          <w:color w:val="000000"/>
          <w:kern w:val="0"/>
          <w:sz w:val="24"/>
        </w:rPr>
        <w:t>；</w:t>
      </w:r>
      <w:r>
        <w:rPr>
          <w:rFonts w:ascii="宋体"/>
          <w:color w:val="000000"/>
          <w:kern w:val="0"/>
          <w:sz w:val="24"/>
        </w:rPr>
        <w:t xml:space="preserve"> </w:t>
      </w:r>
    </w:p>
    <w:p w:rsidR="00BC36F9" w:rsidRDefault="0030070B">
      <w:pPr>
        <w:tabs>
          <w:tab w:val="left" w:pos="5175"/>
        </w:tabs>
        <w:spacing w:line="360" w:lineRule="auto"/>
        <w:ind w:firstLineChars="200" w:firstLine="480"/>
        <w:rPr>
          <w:rFonts w:ascii="宋体"/>
          <w:color w:val="000000"/>
          <w:kern w:val="0"/>
          <w:sz w:val="24"/>
        </w:rPr>
      </w:pPr>
      <w:r>
        <w:rPr>
          <w:rFonts w:ascii="宋体" w:hint="eastAsia"/>
          <w:color w:val="000000"/>
          <w:kern w:val="0"/>
          <w:sz w:val="24"/>
        </w:rPr>
        <w:t>（</w:t>
      </w:r>
      <w:r>
        <w:rPr>
          <w:rFonts w:ascii="宋体" w:hint="eastAsia"/>
          <w:color w:val="000000"/>
          <w:kern w:val="0"/>
          <w:sz w:val="24"/>
        </w:rPr>
        <w:t>2</w:t>
      </w:r>
      <w:r>
        <w:rPr>
          <w:rFonts w:ascii="宋体" w:hint="eastAsia"/>
          <w:color w:val="000000"/>
          <w:kern w:val="0"/>
          <w:sz w:val="24"/>
        </w:rPr>
        <w:t>）银行转账凭证回单联；</w:t>
      </w:r>
    </w:p>
    <w:p w:rsidR="00BC36F9" w:rsidRDefault="0030070B">
      <w:pPr>
        <w:tabs>
          <w:tab w:val="left" w:pos="5175"/>
        </w:tabs>
        <w:spacing w:line="360" w:lineRule="auto"/>
        <w:ind w:firstLineChars="200" w:firstLine="480"/>
        <w:rPr>
          <w:rFonts w:ascii="宋体"/>
          <w:color w:val="000000"/>
          <w:kern w:val="0"/>
          <w:sz w:val="24"/>
        </w:rPr>
      </w:pPr>
      <w:r>
        <w:rPr>
          <w:rFonts w:ascii="宋体" w:hint="eastAsia"/>
          <w:color w:val="000000"/>
          <w:kern w:val="0"/>
          <w:sz w:val="24"/>
        </w:rPr>
        <w:t>（</w:t>
      </w:r>
      <w:r>
        <w:rPr>
          <w:rFonts w:ascii="宋体" w:hint="eastAsia"/>
          <w:color w:val="000000"/>
          <w:kern w:val="0"/>
          <w:sz w:val="24"/>
        </w:rPr>
        <w:t>3</w:t>
      </w:r>
      <w:r>
        <w:rPr>
          <w:rFonts w:ascii="宋体" w:hint="eastAsia"/>
          <w:color w:val="000000"/>
          <w:kern w:val="0"/>
          <w:sz w:val="24"/>
        </w:rPr>
        <w:t>）身份证件原件（包括：身份证、护照等）及复印件。</w:t>
      </w:r>
    </w:p>
    <w:p w:rsidR="00BC36F9" w:rsidRDefault="0030070B">
      <w:pPr>
        <w:tabs>
          <w:tab w:val="left" w:pos="5175"/>
        </w:tabs>
        <w:spacing w:line="360" w:lineRule="auto"/>
        <w:ind w:firstLineChars="200" w:firstLine="480"/>
        <w:rPr>
          <w:rFonts w:ascii="宋体"/>
          <w:color w:val="000000"/>
          <w:kern w:val="0"/>
          <w:sz w:val="24"/>
        </w:rPr>
      </w:pPr>
      <w:r>
        <w:rPr>
          <w:rFonts w:ascii="宋体" w:hint="eastAsia"/>
          <w:color w:val="000000"/>
          <w:kern w:val="0"/>
          <w:sz w:val="24"/>
        </w:rPr>
        <w:t>注：募集期间个人投资者可同时办理开户和认购手续。</w:t>
      </w:r>
    </w:p>
    <w:p w:rsidR="00BC36F9" w:rsidRDefault="0030070B">
      <w:pPr>
        <w:tabs>
          <w:tab w:val="left" w:pos="5175"/>
        </w:tabs>
        <w:spacing w:line="360" w:lineRule="auto"/>
        <w:ind w:firstLineChars="200" w:firstLine="480"/>
        <w:rPr>
          <w:rFonts w:ascii="宋体"/>
          <w:color w:val="000000"/>
          <w:kern w:val="0"/>
          <w:sz w:val="24"/>
        </w:rPr>
      </w:pPr>
      <w:r>
        <w:rPr>
          <w:rFonts w:ascii="宋体" w:hint="eastAsia"/>
          <w:color w:val="000000"/>
          <w:kern w:val="0"/>
          <w:sz w:val="24"/>
        </w:rPr>
        <w:t>投资者必须确认自身风险承受能力及所认购</w:t>
      </w:r>
      <w:r>
        <w:rPr>
          <w:rFonts w:ascii="宋体"/>
          <w:color w:val="000000"/>
          <w:kern w:val="0"/>
          <w:sz w:val="24"/>
        </w:rPr>
        <w:t>/</w:t>
      </w:r>
      <w:r>
        <w:rPr>
          <w:rFonts w:ascii="宋体" w:hint="eastAsia"/>
          <w:color w:val="000000"/>
          <w:kern w:val="0"/>
          <w:sz w:val="24"/>
        </w:rPr>
        <w:t>申购基金产品的当前风险等级。请务必于《交易类业务申请表》上勾选两者类别及相互之间的匹配度，并签署确认如出现自身风险承受能力与所认购</w:t>
      </w:r>
      <w:r>
        <w:rPr>
          <w:rFonts w:ascii="宋体"/>
          <w:color w:val="000000"/>
          <w:kern w:val="0"/>
          <w:sz w:val="24"/>
        </w:rPr>
        <w:t>/</w:t>
      </w:r>
      <w:r>
        <w:rPr>
          <w:rFonts w:ascii="宋体" w:hint="eastAsia"/>
          <w:color w:val="000000"/>
          <w:kern w:val="0"/>
          <w:sz w:val="24"/>
        </w:rPr>
        <w:t>申购基金产品风险等级之间的不匹配情形时是否继续提交该交易申请，不匹配的应当另行签署投资者确认书。</w:t>
      </w:r>
    </w:p>
    <w:p w:rsidR="00BC36F9" w:rsidRDefault="0030070B">
      <w:pPr>
        <w:tabs>
          <w:tab w:val="left" w:pos="5175"/>
        </w:tabs>
        <w:spacing w:line="360" w:lineRule="auto"/>
        <w:ind w:firstLineChars="200" w:firstLine="480"/>
        <w:rPr>
          <w:rFonts w:ascii="宋体"/>
          <w:color w:val="000000"/>
          <w:kern w:val="0"/>
          <w:sz w:val="24"/>
        </w:rPr>
      </w:pPr>
      <w:r>
        <w:rPr>
          <w:rFonts w:ascii="宋体" w:hint="eastAsia"/>
          <w:color w:val="000000"/>
          <w:kern w:val="0"/>
          <w:sz w:val="24"/>
        </w:rPr>
        <w:t>4</w:t>
      </w:r>
      <w:r>
        <w:rPr>
          <w:rFonts w:ascii="宋体" w:hint="eastAsia"/>
          <w:color w:val="000000"/>
          <w:kern w:val="0"/>
          <w:sz w:val="24"/>
        </w:rPr>
        <w:t>、认购资金的划拨</w:t>
      </w:r>
    </w:p>
    <w:p w:rsidR="00BC36F9" w:rsidRDefault="0030070B">
      <w:pPr>
        <w:tabs>
          <w:tab w:val="left" w:pos="5175"/>
        </w:tabs>
        <w:spacing w:line="360" w:lineRule="auto"/>
        <w:ind w:firstLineChars="200" w:firstLine="480"/>
        <w:rPr>
          <w:rFonts w:ascii="宋体"/>
          <w:color w:val="000000"/>
          <w:kern w:val="0"/>
          <w:sz w:val="24"/>
        </w:rPr>
      </w:pPr>
      <w:r>
        <w:rPr>
          <w:rFonts w:ascii="宋体" w:hint="eastAsia"/>
          <w:color w:val="000000"/>
          <w:kern w:val="0"/>
          <w:sz w:val="24"/>
        </w:rPr>
        <w:t>个人投资者办理认购前应将足额认购资金通过银行转账转入本公司指定的直销专户。</w:t>
      </w:r>
    </w:p>
    <w:p w:rsidR="00BC36F9" w:rsidRDefault="0030070B">
      <w:pPr>
        <w:tabs>
          <w:tab w:val="left" w:pos="5175"/>
        </w:tabs>
        <w:spacing w:line="360" w:lineRule="auto"/>
        <w:ind w:firstLineChars="200" w:firstLine="480"/>
        <w:rPr>
          <w:rFonts w:ascii="宋体"/>
          <w:color w:val="000000"/>
          <w:kern w:val="0"/>
          <w:sz w:val="24"/>
        </w:rPr>
      </w:pPr>
      <w:r>
        <w:rPr>
          <w:rFonts w:ascii="宋体" w:hint="eastAsia"/>
          <w:color w:val="000000"/>
          <w:kern w:val="0"/>
          <w:sz w:val="24"/>
        </w:rPr>
        <w:t>账户名称：兴业基金管理有限公司</w:t>
      </w:r>
    </w:p>
    <w:p w:rsidR="00BC36F9" w:rsidRDefault="0030070B">
      <w:pPr>
        <w:tabs>
          <w:tab w:val="left" w:pos="5175"/>
        </w:tabs>
        <w:spacing w:line="360" w:lineRule="auto"/>
        <w:ind w:firstLineChars="200" w:firstLine="480"/>
        <w:rPr>
          <w:rFonts w:ascii="宋体"/>
          <w:color w:val="000000"/>
          <w:kern w:val="0"/>
          <w:sz w:val="24"/>
        </w:rPr>
      </w:pPr>
      <w:r>
        <w:rPr>
          <w:rFonts w:ascii="宋体" w:hint="eastAsia"/>
          <w:color w:val="000000"/>
          <w:kern w:val="0"/>
          <w:sz w:val="24"/>
        </w:rPr>
        <w:t>开户银行：兴业银行上海分行营业部</w:t>
      </w:r>
    </w:p>
    <w:p w:rsidR="00BC36F9" w:rsidRDefault="0030070B">
      <w:pPr>
        <w:tabs>
          <w:tab w:val="left" w:pos="5175"/>
        </w:tabs>
        <w:spacing w:line="360" w:lineRule="auto"/>
        <w:ind w:firstLineChars="200" w:firstLine="480"/>
        <w:rPr>
          <w:rFonts w:ascii="宋体"/>
          <w:color w:val="000000"/>
          <w:kern w:val="0"/>
          <w:sz w:val="24"/>
        </w:rPr>
      </w:pPr>
      <w:r>
        <w:rPr>
          <w:rFonts w:ascii="宋体" w:hint="eastAsia"/>
          <w:color w:val="000000"/>
          <w:kern w:val="0"/>
          <w:sz w:val="24"/>
        </w:rPr>
        <w:t>银行账号：</w:t>
      </w:r>
      <w:r>
        <w:rPr>
          <w:rFonts w:ascii="宋体" w:hint="eastAsia"/>
          <w:color w:val="000000"/>
          <w:kern w:val="0"/>
          <w:sz w:val="24"/>
        </w:rPr>
        <w:t>216200100100599905</w:t>
      </w:r>
    </w:p>
    <w:p w:rsidR="00BC36F9" w:rsidRDefault="0030070B">
      <w:pPr>
        <w:tabs>
          <w:tab w:val="left" w:pos="5175"/>
        </w:tabs>
        <w:spacing w:line="360" w:lineRule="auto"/>
        <w:ind w:firstLineChars="200" w:firstLine="480"/>
        <w:rPr>
          <w:rFonts w:ascii="宋体"/>
          <w:color w:val="000000"/>
          <w:kern w:val="0"/>
          <w:sz w:val="24"/>
        </w:rPr>
      </w:pPr>
      <w:r>
        <w:rPr>
          <w:rFonts w:ascii="宋体" w:hint="eastAsia"/>
          <w:color w:val="000000"/>
          <w:kern w:val="0"/>
          <w:sz w:val="24"/>
        </w:rPr>
        <w:t>（二）网上直销</w:t>
      </w:r>
    </w:p>
    <w:p w:rsidR="00BC36F9" w:rsidRDefault="0030070B">
      <w:pPr>
        <w:autoSpaceDE w:val="0"/>
        <w:autoSpaceDN w:val="0"/>
        <w:adjustRightInd w:val="0"/>
        <w:spacing w:line="360" w:lineRule="auto"/>
        <w:ind w:firstLineChars="200" w:firstLine="480"/>
        <w:jc w:val="left"/>
        <w:rPr>
          <w:rFonts w:ascii="宋体"/>
          <w:color w:val="000000"/>
          <w:kern w:val="0"/>
          <w:sz w:val="24"/>
        </w:rPr>
      </w:pPr>
      <w:r>
        <w:rPr>
          <w:rFonts w:ascii="宋体" w:hint="eastAsia"/>
          <w:color w:val="000000"/>
          <w:kern w:val="0"/>
          <w:sz w:val="24"/>
        </w:rPr>
        <w:t>1</w:t>
      </w:r>
      <w:r>
        <w:rPr>
          <w:rFonts w:ascii="宋体" w:hint="eastAsia"/>
          <w:color w:val="000000"/>
          <w:kern w:val="0"/>
          <w:sz w:val="24"/>
        </w:rPr>
        <w:t>、受理开户及认购的时间</w:t>
      </w:r>
    </w:p>
    <w:p w:rsidR="00BC36F9" w:rsidRDefault="0030070B">
      <w:pPr>
        <w:autoSpaceDE w:val="0"/>
        <w:autoSpaceDN w:val="0"/>
        <w:adjustRightInd w:val="0"/>
        <w:spacing w:line="360" w:lineRule="auto"/>
        <w:ind w:firstLineChars="200" w:firstLine="480"/>
        <w:jc w:val="left"/>
        <w:rPr>
          <w:rFonts w:ascii="宋体"/>
          <w:color w:val="000000"/>
          <w:kern w:val="0"/>
          <w:sz w:val="24"/>
        </w:rPr>
      </w:pPr>
      <w:r>
        <w:rPr>
          <w:rFonts w:ascii="宋体" w:hint="eastAsia"/>
          <w:color w:val="000000"/>
          <w:kern w:val="0"/>
          <w:sz w:val="24"/>
        </w:rPr>
        <w:t>认购时间为本基金的基金份额发售日（周六、周日正常营业），全天</w:t>
      </w:r>
      <w:r>
        <w:rPr>
          <w:rFonts w:ascii="宋体" w:hint="eastAsia"/>
          <w:color w:val="000000"/>
          <w:kern w:val="0"/>
          <w:sz w:val="24"/>
        </w:rPr>
        <w:t>24</w:t>
      </w:r>
      <w:r>
        <w:rPr>
          <w:rFonts w:ascii="宋体" w:hint="eastAsia"/>
          <w:color w:val="000000"/>
          <w:kern w:val="0"/>
          <w:sz w:val="24"/>
        </w:rPr>
        <w:t>小时接受开户及认购业务。</w:t>
      </w:r>
    </w:p>
    <w:p w:rsidR="00BC36F9" w:rsidRDefault="0030070B">
      <w:pPr>
        <w:autoSpaceDE w:val="0"/>
        <w:autoSpaceDN w:val="0"/>
        <w:adjustRightInd w:val="0"/>
        <w:spacing w:line="360" w:lineRule="auto"/>
        <w:ind w:firstLineChars="200" w:firstLine="480"/>
        <w:jc w:val="left"/>
        <w:rPr>
          <w:rFonts w:ascii="宋体"/>
          <w:color w:val="000000"/>
          <w:kern w:val="0"/>
          <w:sz w:val="24"/>
        </w:rPr>
      </w:pPr>
      <w:r>
        <w:rPr>
          <w:rFonts w:ascii="宋体" w:hint="eastAsia"/>
          <w:color w:val="000000"/>
          <w:kern w:val="0"/>
          <w:sz w:val="24"/>
        </w:rPr>
        <w:t>2</w:t>
      </w:r>
      <w:r>
        <w:rPr>
          <w:rFonts w:ascii="宋体" w:hint="eastAsia"/>
          <w:color w:val="000000"/>
          <w:kern w:val="0"/>
          <w:sz w:val="24"/>
        </w:rPr>
        <w:t>、开户及认购程序</w:t>
      </w:r>
    </w:p>
    <w:p w:rsidR="00BC36F9" w:rsidRDefault="0030070B">
      <w:pPr>
        <w:autoSpaceDE w:val="0"/>
        <w:autoSpaceDN w:val="0"/>
        <w:adjustRightInd w:val="0"/>
        <w:spacing w:line="360" w:lineRule="auto"/>
        <w:ind w:firstLineChars="200" w:firstLine="480"/>
        <w:rPr>
          <w:rFonts w:ascii="宋体"/>
          <w:color w:val="000000"/>
          <w:kern w:val="0"/>
          <w:sz w:val="24"/>
        </w:rPr>
      </w:pPr>
      <w:r>
        <w:rPr>
          <w:rFonts w:ascii="宋体" w:hint="eastAsia"/>
          <w:color w:val="000000"/>
          <w:kern w:val="0"/>
          <w:sz w:val="24"/>
        </w:rPr>
        <w:t>（</w:t>
      </w:r>
      <w:r>
        <w:rPr>
          <w:rFonts w:ascii="宋体" w:hint="eastAsia"/>
          <w:color w:val="000000"/>
          <w:kern w:val="0"/>
          <w:sz w:val="24"/>
        </w:rPr>
        <w:t>1</w:t>
      </w:r>
      <w:r>
        <w:rPr>
          <w:rFonts w:ascii="宋体" w:hint="eastAsia"/>
          <w:color w:val="000000"/>
          <w:kern w:val="0"/>
          <w:sz w:val="24"/>
        </w:rPr>
        <w:t>）请参照公布于本公司网站（</w:t>
      </w:r>
      <w:r>
        <w:rPr>
          <w:rFonts w:ascii="宋体"/>
          <w:color w:val="000000"/>
          <w:kern w:val="0"/>
          <w:sz w:val="18"/>
          <w:szCs w:val="18"/>
        </w:rPr>
        <w:t>https://trade.cib-fund.com.cn/etrading/</w:t>
      </w:r>
      <w:r>
        <w:rPr>
          <w:rFonts w:ascii="宋体" w:hint="eastAsia"/>
          <w:color w:val="000000"/>
          <w:kern w:val="0"/>
          <w:sz w:val="24"/>
        </w:rPr>
        <w:t>）上的《</w:t>
      </w:r>
      <w:r>
        <w:rPr>
          <w:rFonts w:ascii="宋体"/>
          <w:color w:val="000000"/>
          <w:kern w:val="0"/>
          <w:sz w:val="24"/>
        </w:rPr>
        <w:t>兴业基金管理有限公司开放式基金网上交易开户指南</w:t>
      </w:r>
      <w:r>
        <w:rPr>
          <w:rFonts w:ascii="宋体" w:hint="eastAsia"/>
          <w:color w:val="000000"/>
          <w:kern w:val="0"/>
          <w:sz w:val="24"/>
        </w:rPr>
        <w:t>》以及《</w:t>
      </w:r>
      <w:r>
        <w:rPr>
          <w:rFonts w:ascii="宋体"/>
          <w:color w:val="000000"/>
          <w:kern w:val="0"/>
          <w:sz w:val="24"/>
        </w:rPr>
        <w:t>兴业基金管理有限公司开放式基金网上直销交易指南</w:t>
      </w:r>
      <w:r>
        <w:rPr>
          <w:rFonts w:ascii="宋体" w:hint="eastAsia"/>
          <w:color w:val="000000"/>
          <w:kern w:val="0"/>
          <w:sz w:val="24"/>
        </w:rPr>
        <w:t>》办理相关开户和认购等业务；</w:t>
      </w:r>
    </w:p>
    <w:p w:rsidR="00BC36F9" w:rsidRDefault="0030070B">
      <w:pPr>
        <w:autoSpaceDE w:val="0"/>
        <w:autoSpaceDN w:val="0"/>
        <w:adjustRightInd w:val="0"/>
        <w:spacing w:line="360" w:lineRule="auto"/>
        <w:ind w:firstLineChars="200" w:firstLine="480"/>
        <w:rPr>
          <w:rFonts w:ascii="宋体"/>
          <w:color w:val="000000"/>
          <w:kern w:val="0"/>
          <w:sz w:val="24"/>
        </w:rPr>
      </w:pPr>
      <w:r>
        <w:rPr>
          <w:rFonts w:ascii="宋体" w:hint="eastAsia"/>
          <w:color w:val="000000"/>
          <w:kern w:val="0"/>
          <w:sz w:val="24"/>
        </w:rPr>
        <w:t>（</w:t>
      </w:r>
      <w:r>
        <w:rPr>
          <w:rFonts w:ascii="宋体" w:hint="eastAsia"/>
          <w:color w:val="000000"/>
          <w:kern w:val="0"/>
          <w:sz w:val="24"/>
        </w:rPr>
        <w:t>2</w:t>
      </w:r>
      <w:r>
        <w:rPr>
          <w:rFonts w:ascii="宋体" w:hint="eastAsia"/>
          <w:color w:val="000000"/>
          <w:kern w:val="0"/>
          <w:sz w:val="24"/>
        </w:rPr>
        <w:t>）尚未开通兴业基金网上直销的个人投资者，可以直接登录本公司网站（</w:t>
      </w:r>
      <w:r>
        <w:rPr>
          <w:rFonts w:ascii="宋体" w:hint="eastAsia"/>
          <w:color w:val="000000"/>
          <w:kern w:val="0"/>
          <w:sz w:val="24"/>
        </w:rPr>
        <w:t>www.cib-fund.com.cn</w:t>
      </w:r>
      <w:r>
        <w:rPr>
          <w:rFonts w:ascii="宋体" w:hint="eastAsia"/>
          <w:color w:val="000000"/>
          <w:kern w:val="0"/>
          <w:sz w:val="24"/>
        </w:rPr>
        <w:t>），根据页面提示进行开户操作，在开户申请提交成功后可直接登录网上直销系统进行认购；</w:t>
      </w:r>
    </w:p>
    <w:p w:rsidR="00BC36F9" w:rsidRDefault="0030070B">
      <w:pPr>
        <w:tabs>
          <w:tab w:val="left" w:pos="5175"/>
        </w:tabs>
        <w:spacing w:line="360" w:lineRule="auto"/>
        <w:ind w:firstLineChars="200" w:firstLine="480"/>
        <w:rPr>
          <w:rFonts w:ascii="宋体"/>
          <w:color w:val="000000"/>
          <w:kern w:val="0"/>
          <w:sz w:val="24"/>
        </w:rPr>
      </w:pPr>
      <w:r>
        <w:rPr>
          <w:rFonts w:ascii="宋体" w:hint="eastAsia"/>
          <w:color w:val="000000"/>
          <w:kern w:val="0"/>
          <w:sz w:val="24"/>
        </w:rPr>
        <w:t>（</w:t>
      </w:r>
      <w:r>
        <w:rPr>
          <w:rFonts w:ascii="宋体" w:hint="eastAsia"/>
          <w:color w:val="000000"/>
          <w:kern w:val="0"/>
          <w:sz w:val="24"/>
        </w:rPr>
        <w:t>3</w:t>
      </w:r>
      <w:r>
        <w:rPr>
          <w:rFonts w:ascii="宋体" w:hint="eastAsia"/>
          <w:color w:val="000000"/>
          <w:kern w:val="0"/>
          <w:sz w:val="24"/>
        </w:rPr>
        <w:t>）已经开通兴业基金网上直销的个人投资者，请直接登录兴业基金网上直销系统进行网上认购。</w:t>
      </w:r>
    </w:p>
    <w:p w:rsidR="00BC36F9" w:rsidRDefault="0030070B">
      <w:pPr>
        <w:tabs>
          <w:tab w:val="left" w:pos="5175"/>
        </w:tabs>
        <w:spacing w:line="360" w:lineRule="auto"/>
        <w:ind w:firstLineChars="200" w:firstLine="480"/>
        <w:rPr>
          <w:rFonts w:ascii="宋体"/>
          <w:color w:val="000000"/>
          <w:kern w:val="0"/>
          <w:sz w:val="24"/>
        </w:rPr>
      </w:pPr>
      <w:r>
        <w:rPr>
          <w:rFonts w:ascii="宋体" w:hint="eastAsia"/>
          <w:color w:val="000000"/>
          <w:kern w:val="0"/>
          <w:sz w:val="24"/>
        </w:rPr>
        <w:t>（三）注意事项</w:t>
      </w:r>
    </w:p>
    <w:p w:rsidR="00BC36F9" w:rsidRDefault="0030070B">
      <w:pPr>
        <w:tabs>
          <w:tab w:val="left" w:pos="5175"/>
        </w:tabs>
        <w:spacing w:line="360" w:lineRule="auto"/>
        <w:ind w:firstLineChars="200" w:firstLine="480"/>
        <w:rPr>
          <w:rFonts w:ascii="宋体"/>
          <w:color w:val="000000"/>
          <w:kern w:val="0"/>
          <w:sz w:val="24"/>
        </w:rPr>
      </w:pPr>
      <w:r>
        <w:rPr>
          <w:rFonts w:ascii="宋体" w:hint="eastAsia"/>
          <w:color w:val="000000"/>
          <w:kern w:val="0"/>
          <w:sz w:val="24"/>
        </w:rPr>
        <w:t>（</w:t>
      </w:r>
      <w:r>
        <w:rPr>
          <w:rFonts w:ascii="宋体" w:hint="eastAsia"/>
          <w:color w:val="000000"/>
          <w:kern w:val="0"/>
          <w:sz w:val="24"/>
        </w:rPr>
        <w:t>1</w:t>
      </w:r>
      <w:r>
        <w:rPr>
          <w:rFonts w:ascii="宋体" w:hint="eastAsia"/>
          <w:color w:val="000000"/>
          <w:kern w:val="0"/>
          <w:sz w:val="24"/>
        </w:rPr>
        <w:t>）个人投资者认购时要注明所购买的基金名称或基金代码。</w:t>
      </w:r>
    </w:p>
    <w:p w:rsidR="00BC36F9" w:rsidRDefault="0030070B">
      <w:pPr>
        <w:tabs>
          <w:tab w:val="left" w:pos="5175"/>
        </w:tabs>
        <w:spacing w:line="360" w:lineRule="auto"/>
        <w:ind w:firstLineChars="200" w:firstLine="480"/>
        <w:rPr>
          <w:rFonts w:ascii="宋体"/>
          <w:color w:val="000000"/>
          <w:kern w:val="0"/>
          <w:sz w:val="24"/>
        </w:rPr>
      </w:pPr>
      <w:r>
        <w:rPr>
          <w:rFonts w:ascii="宋体" w:hint="eastAsia"/>
          <w:color w:val="000000"/>
          <w:kern w:val="0"/>
          <w:sz w:val="24"/>
        </w:rPr>
        <w:t>（</w:t>
      </w:r>
      <w:r>
        <w:rPr>
          <w:rFonts w:ascii="宋体" w:hint="eastAsia"/>
          <w:color w:val="000000"/>
          <w:kern w:val="0"/>
          <w:sz w:val="24"/>
        </w:rPr>
        <w:t>2</w:t>
      </w:r>
      <w:r>
        <w:rPr>
          <w:rFonts w:ascii="宋体" w:hint="eastAsia"/>
          <w:color w:val="000000"/>
          <w:kern w:val="0"/>
          <w:sz w:val="24"/>
        </w:rPr>
        <w:t>）个人投资者</w:t>
      </w:r>
      <w:r>
        <w:rPr>
          <w:rFonts w:ascii="宋体" w:hint="eastAsia"/>
          <w:color w:val="000000"/>
          <w:kern w:val="0"/>
          <w:sz w:val="24"/>
        </w:rPr>
        <w:t>T</w:t>
      </w:r>
      <w:r>
        <w:rPr>
          <w:rFonts w:ascii="宋体" w:hint="eastAsia"/>
          <w:color w:val="000000"/>
          <w:kern w:val="0"/>
          <w:sz w:val="24"/>
        </w:rPr>
        <w:t>日提交开户申请后，应于</w:t>
      </w:r>
      <w:r>
        <w:rPr>
          <w:rFonts w:ascii="宋体" w:hint="eastAsia"/>
          <w:color w:val="000000"/>
          <w:kern w:val="0"/>
          <w:sz w:val="24"/>
        </w:rPr>
        <w:t>T+2</w:t>
      </w:r>
      <w:r>
        <w:rPr>
          <w:rFonts w:ascii="宋体" w:hint="eastAsia"/>
          <w:color w:val="000000"/>
          <w:kern w:val="0"/>
          <w:sz w:val="24"/>
        </w:rPr>
        <w:t>日后（包括该日）到本公司直销机构查询</w:t>
      </w:r>
      <w:r>
        <w:rPr>
          <w:rFonts w:ascii="宋体" w:hint="eastAsia"/>
          <w:color w:val="000000"/>
          <w:kern w:val="0"/>
          <w:sz w:val="24"/>
        </w:rPr>
        <w:t>确认结果，或通过本公司客户服务中心、网上直销系统查询。</w:t>
      </w:r>
    </w:p>
    <w:p w:rsidR="00BC36F9" w:rsidRDefault="0030070B">
      <w:pPr>
        <w:tabs>
          <w:tab w:val="left" w:pos="5175"/>
        </w:tabs>
        <w:spacing w:line="360" w:lineRule="auto"/>
        <w:ind w:firstLineChars="200" w:firstLine="480"/>
        <w:rPr>
          <w:rFonts w:ascii="宋体"/>
          <w:color w:val="000000"/>
          <w:kern w:val="0"/>
          <w:sz w:val="24"/>
        </w:rPr>
      </w:pPr>
      <w:r>
        <w:rPr>
          <w:rFonts w:ascii="宋体" w:hint="eastAsia"/>
          <w:color w:val="000000"/>
          <w:kern w:val="0"/>
          <w:sz w:val="24"/>
        </w:rPr>
        <w:t>（</w:t>
      </w:r>
      <w:r>
        <w:rPr>
          <w:rFonts w:ascii="宋体" w:hint="eastAsia"/>
          <w:color w:val="000000"/>
          <w:kern w:val="0"/>
          <w:sz w:val="24"/>
        </w:rPr>
        <w:t>3</w:t>
      </w:r>
      <w:r>
        <w:rPr>
          <w:rFonts w:ascii="宋体" w:hint="eastAsia"/>
          <w:color w:val="000000"/>
          <w:kern w:val="0"/>
          <w:sz w:val="24"/>
        </w:rPr>
        <w:t>）个人投资者</w:t>
      </w:r>
      <w:r>
        <w:rPr>
          <w:rFonts w:ascii="宋体" w:hint="eastAsia"/>
          <w:color w:val="000000"/>
          <w:kern w:val="0"/>
          <w:sz w:val="24"/>
        </w:rPr>
        <w:t>T</w:t>
      </w:r>
      <w:r>
        <w:rPr>
          <w:rFonts w:ascii="宋体" w:hint="eastAsia"/>
          <w:color w:val="000000"/>
          <w:kern w:val="0"/>
          <w:sz w:val="24"/>
        </w:rPr>
        <w:t>日提交认购申请后，应于</w:t>
      </w:r>
      <w:r>
        <w:rPr>
          <w:rFonts w:ascii="宋体" w:hint="eastAsia"/>
          <w:color w:val="000000"/>
          <w:kern w:val="0"/>
          <w:sz w:val="24"/>
        </w:rPr>
        <w:t>T+2</w:t>
      </w:r>
      <w:r>
        <w:rPr>
          <w:rFonts w:ascii="宋体" w:hint="eastAsia"/>
          <w:color w:val="000000"/>
          <w:kern w:val="0"/>
          <w:sz w:val="24"/>
        </w:rPr>
        <w:t>日后（包括该日）到本公司直销机构查询认购接受结果，或通过本公司客户服务中心查询。认购确认结果可于基金成立后到本公司直销机构查询，或通过本公司客户服务中心、网上直销系统查询。</w:t>
      </w:r>
    </w:p>
    <w:p w:rsidR="00BC36F9" w:rsidRDefault="0030070B">
      <w:pPr>
        <w:tabs>
          <w:tab w:val="left" w:pos="5175"/>
        </w:tabs>
        <w:spacing w:line="360" w:lineRule="auto"/>
        <w:ind w:firstLineChars="200" w:firstLine="480"/>
        <w:rPr>
          <w:rFonts w:ascii="宋体"/>
          <w:color w:val="000000"/>
          <w:kern w:val="0"/>
          <w:sz w:val="24"/>
        </w:rPr>
      </w:pPr>
      <w:r>
        <w:rPr>
          <w:rFonts w:ascii="宋体" w:hint="eastAsia"/>
          <w:color w:val="000000"/>
          <w:kern w:val="0"/>
          <w:sz w:val="24"/>
        </w:rPr>
        <w:t>（</w:t>
      </w:r>
      <w:r>
        <w:rPr>
          <w:rFonts w:ascii="宋体" w:hint="eastAsia"/>
          <w:color w:val="000000"/>
          <w:kern w:val="0"/>
          <w:sz w:val="24"/>
        </w:rPr>
        <w:t>4</w:t>
      </w:r>
      <w:r>
        <w:rPr>
          <w:rFonts w:ascii="宋体" w:hint="eastAsia"/>
          <w:color w:val="000000"/>
          <w:kern w:val="0"/>
          <w:sz w:val="24"/>
        </w:rPr>
        <w:t>）直销机构与其他销售机构的销售网点的业务申请表不同，个人投资者请勿混用。</w:t>
      </w:r>
    </w:p>
    <w:p w:rsidR="00BC36F9" w:rsidRDefault="0030070B">
      <w:pPr>
        <w:tabs>
          <w:tab w:val="left" w:pos="5175"/>
        </w:tabs>
        <w:spacing w:line="360" w:lineRule="auto"/>
        <w:ind w:firstLineChars="200" w:firstLine="480"/>
        <w:rPr>
          <w:rFonts w:ascii="宋体"/>
          <w:color w:val="000000"/>
          <w:kern w:val="0"/>
          <w:sz w:val="24"/>
        </w:rPr>
      </w:pPr>
      <w:r>
        <w:rPr>
          <w:rFonts w:ascii="宋体" w:hint="eastAsia"/>
          <w:color w:val="000000"/>
          <w:kern w:val="0"/>
          <w:sz w:val="24"/>
        </w:rPr>
        <w:t>（</w:t>
      </w:r>
      <w:r>
        <w:rPr>
          <w:rFonts w:ascii="宋体" w:hint="eastAsia"/>
          <w:color w:val="000000"/>
          <w:kern w:val="0"/>
          <w:sz w:val="24"/>
        </w:rPr>
        <w:t>5</w:t>
      </w:r>
      <w:r>
        <w:rPr>
          <w:rFonts w:ascii="宋体" w:hint="eastAsia"/>
          <w:color w:val="000000"/>
          <w:kern w:val="0"/>
          <w:sz w:val="24"/>
        </w:rPr>
        <w:t>）</w:t>
      </w:r>
      <w:r>
        <w:rPr>
          <w:rFonts w:ascii="宋体"/>
          <w:color w:val="000000"/>
          <w:kern w:val="0"/>
          <w:sz w:val="24"/>
        </w:rPr>
        <w:t>个人投资者当日提交申请并在当日规定时间内认购资金到账，方可视为有效申请；如果个人投资者认购资金当日未到账，实际资金到账之日提交的申请可视为有效申请；如果</w:t>
      </w:r>
      <w:r>
        <w:rPr>
          <w:rFonts w:ascii="宋体"/>
          <w:color w:val="000000"/>
          <w:kern w:val="0"/>
          <w:sz w:val="24"/>
        </w:rPr>
        <w:t>个人投资者认购资金当日到账，但是晚于规定时间，则当日提交的申请可顺延到下一个工作日受理</w:t>
      </w:r>
      <w:r>
        <w:rPr>
          <w:rFonts w:ascii="宋体" w:hint="eastAsia"/>
          <w:color w:val="000000"/>
          <w:kern w:val="0"/>
          <w:sz w:val="24"/>
        </w:rPr>
        <w:t>（本基金认购结束日除外）</w:t>
      </w:r>
      <w:r>
        <w:rPr>
          <w:rFonts w:ascii="宋体"/>
          <w:color w:val="000000"/>
          <w:kern w:val="0"/>
          <w:sz w:val="24"/>
        </w:rPr>
        <w:t>。</w:t>
      </w:r>
    </w:p>
    <w:p w:rsidR="00BC36F9" w:rsidRDefault="0030070B">
      <w:pPr>
        <w:tabs>
          <w:tab w:val="left" w:pos="5175"/>
        </w:tabs>
        <w:spacing w:line="360" w:lineRule="auto"/>
        <w:ind w:firstLineChars="200" w:firstLine="480"/>
        <w:rPr>
          <w:rFonts w:ascii="宋体"/>
          <w:color w:val="000000"/>
          <w:kern w:val="0"/>
          <w:sz w:val="24"/>
        </w:rPr>
      </w:pPr>
      <w:r>
        <w:rPr>
          <w:rFonts w:ascii="宋体" w:hint="eastAsia"/>
          <w:color w:val="000000"/>
          <w:kern w:val="0"/>
          <w:sz w:val="24"/>
        </w:rPr>
        <w:t>（</w:t>
      </w:r>
      <w:r>
        <w:rPr>
          <w:rFonts w:ascii="宋体" w:hint="eastAsia"/>
          <w:color w:val="000000"/>
          <w:kern w:val="0"/>
          <w:sz w:val="24"/>
        </w:rPr>
        <w:t>6</w:t>
      </w:r>
      <w:r>
        <w:rPr>
          <w:rFonts w:ascii="宋体" w:hint="eastAsia"/>
          <w:color w:val="000000"/>
          <w:kern w:val="0"/>
          <w:sz w:val="24"/>
        </w:rPr>
        <w:t>）</w:t>
      </w:r>
      <w:r>
        <w:rPr>
          <w:rFonts w:ascii="宋体"/>
          <w:color w:val="000000"/>
          <w:kern w:val="0"/>
          <w:sz w:val="24"/>
        </w:rPr>
        <w:t>以下情况将被视为无效认购，款项将退往投资者指定的资金结算账户：</w:t>
      </w:r>
    </w:p>
    <w:p w:rsidR="00BC36F9" w:rsidRDefault="0030070B">
      <w:pPr>
        <w:tabs>
          <w:tab w:val="left" w:pos="5175"/>
        </w:tabs>
        <w:spacing w:line="360" w:lineRule="auto"/>
        <w:ind w:firstLineChars="200" w:firstLine="480"/>
        <w:rPr>
          <w:rFonts w:ascii="宋体"/>
          <w:color w:val="000000"/>
          <w:kern w:val="0"/>
          <w:sz w:val="24"/>
        </w:rPr>
      </w:pPr>
      <w:r>
        <w:rPr>
          <w:rFonts w:ascii="宋体"/>
          <w:color w:val="000000"/>
          <w:kern w:val="0"/>
          <w:sz w:val="24"/>
        </w:rPr>
        <w:t>1</w:t>
      </w:r>
      <w:r>
        <w:rPr>
          <w:rFonts w:ascii="宋体"/>
          <w:color w:val="000000"/>
          <w:kern w:val="0"/>
          <w:sz w:val="24"/>
        </w:rPr>
        <w:t>）投资者已缴款，但未办理开户手续或开户不成功的；</w:t>
      </w:r>
    </w:p>
    <w:p w:rsidR="00BC36F9" w:rsidRDefault="0030070B">
      <w:pPr>
        <w:tabs>
          <w:tab w:val="left" w:pos="5175"/>
        </w:tabs>
        <w:spacing w:line="360" w:lineRule="auto"/>
        <w:ind w:firstLineChars="200" w:firstLine="480"/>
        <w:rPr>
          <w:rFonts w:ascii="宋体"/>
          <w:color w:val="000000"/>
          <w:kern w:val="0"/>
          <w:sz w:val="24"/>
        </w:rPr>
      </w:pPr>
      <w:r>
        <w:rPr>
          <w:rFonts w:ascii="宋体"/>
          <w:color w:val="000000"/>
          <w:kern w:val="0"/>
          <w:sz w:val="24"/>
        </w:rPr>
        <w:t>2</w:t>
      </w:r>
      <w:r>
        <w:rPr>
          <w:rFonts w:ascii="宋体"/>
          <w:color w:val="000000"/>
          <w:kern w:val="0"/>
          <w:sz w:val="24"/>
        </w:rPr>
        <w:t>）投资者已缴款，但未办理认购申请或认购申请未被确认的；</w:t>
      </w:r>
    </w:p>
    <w:p w:rsidR="00BC36F9" w:rsidRDefault="0030070B">
      <w:pPr>
        <w:tabs>
          <w:tab w:val="left" w:pos="5175"/>
        </w:tabs>
        <w:spacing w:line="360" w:lineRule="auto"/>
        <w:ind w:firstLineChars="200" w:firstLine="480"/>
        <w:rPr>
          <w:rFonts w:ascii="宋体"/>
          <w:color w:val="000000"/>
          <w:kern w:val="0"/>
          <w:sz w:val="24"/>
        </w:rPr>
      </w:pPr>
      <w:r>
        <w:rPr>
          <w:rFonts w:ascii="宋体"/>
          <w:color w:val="000000"/>
          <w:kern w:val="0"/>
          <w:sz w:val="24"/>
        </w:rPr>
        <w:t>3</w:t>
      </w:r>
      <w:r>
        <w:rPr>
          <w:rFonts w:ascii="宋体"/>
          <w:color w:val="000000"/>
          <w:kern w:val="0"/>
          <w:sz w:val="24"/>
        </w:rPr>
        <w:t>）投资者缴款金额少于其申请的认购金额的；</w:t>
      </w:r>
    </w:p>
    <w:p w:rsidR="00BC36F9" w:rsidRDefault="0030070B">
      <w:pPr>
        <w:tabs>
          <w:tab w:val="left" w:pos="5175"/>
        </w:tabs>
        <w:spacing w:line="360" w:lineRule="auto"/>
        <w:ind w:firstLineChars="200" w:firstLine="480"/>
        <w:rPr>
          <w:rFonts w:ascii="宋体"/>
          <w:color w:val="000000"/>
          <w:kern w:val="0"/>
          <w:sz w:val="24"/>
        </w:rPr>
      </w:pPr>
      <w:r>
        <w:rPr>
          <w:rFonts w:ascii="宋体"/>
          <w:color w:val="000000"/>
          <w:kern w:val="0"/>
          <w:sz w:val="24"/>
        </w:rPr>
        <w:t>4</w:t>
      </w:r>
      <w:r>
        <w:rPr>
          <w:rFonts w:ascii="宋体"/>
          <w:color w:val="000000"/>
          <w:kern w:val="0"/>
          <w:sz w:val="24"/>
        </w:rPr>
        <w:t>）投资者缴款时间晚于基金认购结束日本公司规定时间的；</w:t>
      </w:r>
    </w:p>
    <w:p w:rsidR="00BC36F9" w:rsidRDefault="0030070B">
      <w:pPr>
        <w:tabs>
          <w:tab w:val="left" w:pos="5175"/>
        </w:tabs>
        <w:spacing w:line="360" w:lineRule="auto"/>
        <w:ind w:firstLineChars="200" w:firstLine="480"/>
        <w:rPr>
          <w:rFonts w:ascii="宋体"/>
          <w:color w:val="000000"/>
          <w:kern w:val="0"/>
          <w:sz w:val="24"/>
        </w:rPr>
      </w:pPr>
      <w:r>
        <w:rPr>
          <w:rFonts w:ascii="宋体"/>
          <w:color w:val="000000"/>
          <w:kern w:val="0"/>
          <w:sz w:val="24"/>
        </w:rPr>
        <w:t>5</w:t>
      </w:r>
      <w:r>
        <w:rPr>
          <w:rFonts w:ascii="宋体"/>
          <w:color w:val="000000"/>
          <w:kern w:val="0"/>
          <w:sz w:val="24"/>
        </w:rPr>
        <w:t>）其它导致认购无效的情况。</w:t>
      </w:r>
    </w:p>
    <w:p w:rsidR="00BC36F9" w:rsidRDefault="0030070B">
      <w:pPr>
        <w:tabs>
          <w:tab w:val="left" w:pos="5175"/>
        </w:tabs>
        <w:spacing w:line="360" w:lineRule="auto"/>
        <w:ind w:firstLineChars="200" w:firstLine="480"/>
        <w:rPr>
          <w:rFonts w:ascii="宋体"/>
          <w:color w:val="000000"/>
          <w:kern w:val="0"/>
          <w:sz w:val="24"/>
        </w:rPr>
      </w:pPr>
      <w:r>
        <w:rPr>
          <w:rFonts w:ascii="宋体" w:hint="eastAsia"/>
          <w:color w:val="000000"/>
          <w:kern w:val="0"/>
          <w:sz w:val="24"/>
        </w:rPr>
        <w:t>（</w:t>
      </w:r>
      <w:r>
        <w:rPr>
          <w:rFonts w:ascii="宋体" w:hint="eastAsia"/>
          <w:color w:val="000000"/>
          <w:kern w:val="0"/>
          <w:sz w:val="24"/>
        </w:rPr>
        <w:t>7</w:t>
      </w:r>
      <w:r>
        <w:rPr>
          <w:rFonts w:ascii="宋体" w:hint="eastAsia"/>
          <w:color w:val="000000"/>
          <w:kern w:val="0"/>
          <w:sz w:val="24"/>
        </w:rPr>
        <w:t>）适当性匹配：</w:t>
      </w:r>
    </w:p>
    <w:p w:rsidR="00BC36F9" w:rsidRDefault="0030070B">
      <w:pPr>
        <w:tabs>
          <w:tab w:val="left" w:pos="5175"/>
        </w:tabs>
        <w:spacing w:line="360" w:lineRule="auto"/>
        <w:ind w:firstLineChars="200" w:firstLine="480"/>
        <w:rPr>
          <w:rFonts w:ascii="宋体"/>
          <w:color w:val="000000"/>
          <w:kern w:val="0"/>
          <w:sz w:val="24"/>
        </w:rPr>
      </w:pPr>
      <w:r>
        <w:rPr>
          <w:rFonts w:ascii="宋体"/>
          <w:color w:val="000000"/>
          <w:kern w:val="0"/>
          <w:sz w:val="24"/>
        </w:rPr>
        <w:t>1</w:t>
      </w:r>
      <w:r>
        <w:rPr>
          <w:rFonts w:ascii="宋体" w:hint="eastAsia"/>
          <w:color w:val="000000"/>
          <w:kern w:val="0"/>
          <w:sz w:val="24"/>
        </w:rPr>
        <w:t>）风险匹配：投资者的风险评估结果与我司产品风险等级相匹配，投资者得到直销柜台匹配告知后签署《投资者风险匹配告知书及投资者确认函》，直销柜台予以受理交易。</w:t>
      </w:r>
      <w:r>
        <w:rPr>
          <w:rFonts w:ascii="宋体"/>
          <w:color w:val="000000"/>
          <w:kern w:val="0"/>
          <w:sz w:val="24"/>
        </w:rPr>
        <w:t xml:space="preserve"> </w:t>
      </w:r>
    </w:p>
    <w:p w:rsidR="00BC36F9" w:rsidRDefault="0030070B">
      <w:pPr>
        <w:tabs>
          <w:tab w:val="left" w:pos="5175"/>
        </w:tabs>
        <w:spacing w:line="360" w:lineRule="auto"/>
        <w:ind w:firstLineChars="200" w:firstLine="480"/>
        <w:rPr>
          <w:rFonts w:ascii="宋体"/>
          <w:color w:val="000000"/>
          <w:kern w:val="0"/>
          <w:sz w:val="24"/>
        </w:rPr>
      </w:pPr>
      <w:r>
        <w:rPr>
          <w:rFonts w:ascii="宋体"/>
          <w:color w:val="000000"/>
          <w:kern w:val="0"/>
          <w:sz w:val="24"/>
        </w:rPr>
        <w:t>2</w:t>
      </w:r>
      <w:r>
        <w:rPr>
          <w:rFonts w:ascii="宋体" w:hint="eastAsia"/>
          <w:color w:val="000000"/>
          <w:kern w:val="0"/>
          <w:sz w:val="24"/>
        </w:rPr>
        <w:t>）风险不匹配：投资者的风险评估结果与我司产品风险等级不匹配，投资者得到直销柜台不匹配告知后签署《风险不匹配警示函及投资者确认书》，直销柜台予以受理交易。若不签署，不受理交易。</w:t>
      </w:r>
    </w:p>
    <w:p w:rsidR="00BC36F9" w:rsidRDefault="00BC36F9">
      <w:pPr>
        <w:pStyle w:val="ad"/>
        <w:spacing w:before="0" w:after="0"/>
        <w:ind w:firstLine="0"/>
        <w:jc w:val="both"/>
        <w:rPr>
          <w:rFonts w:eastAsia="宋体"/>
          <w:bCs/>
          <w:sz w:val="24"/>
          <w:szCs w:val="24"/>
        </w:rPr>
      </w:pPr>
    </w:p>
    <w:p w:rsidR="00BC36F9" w:rsidRDefault="0030070B">
      <w:pPr>
        <w:pStyle w:val="ad"/>
        <w:numPr>
          <w:ilvl w:val="0"/>
          <w:numId w:val="1"/>
        </w:numPr>
        <w:spacing w:before="0" w:after="0"/>
        <w:ind w:firstLine="1214"/>
        <w:jc w:val="both"/>
        <w:rPr>
          <w:rFonts w:eastAsia="宋体"/>
          <w:bCs/>
          <w:sz w:val="24"/>
          <w:szCs w:val="24"/>
        </w:rPr>
      </w:pPr>
      <w:r>
        <w:rPr>
          <w:rFonts w:eastAsia="宋体"/>
          <w:bCs/>
          <w:sz w:val="28"/>
          <w:szCs w:val="28"/>
        </w:rPr>
        <w:t>机构投资者的开户与认购程序</w:t>
      </w:r>
      <w:bookmarkEnd w:id="17"/>
      <w:bookmarkEnd w:id="18"/>
    </w:p>
    <w:p w:rsidR="00BC36F9" w:rsidRDefault="0030070B">
      <w:pPr>
        <w:tabs>
          <w:tab w:val="left" w:pos="5175"/>
        </w:tabs>
        <w:spacing w:line="360" w:lineRule="auto"/>
        <w:ind w:firstLineChars="200" w:firstLine="480"/>
        <w:rPr>
          <w:rFonts w:ascii="宋体"/>
          <w:color w:val="000000"/>
          <w:kern w:val="0"/>
          <w:sz w:val="24"/>
        </w:rPr>
      </w:pPr>
      <w:r>
        <w:rPr>
          <w:rFonts w:ascii="宋体" w:hint="eastAsia"/>
          <w:color w:val="000000"/>
          <w:kern w:val="0"/>
          <w:sz w:val="24"/>
        </w:rPr>
        <w:t>（一）兴业基金管理有限公司直销机构</w:t>
      </w:r>
    </w:p>
    <w:p w:rsidR="00BC36F9" w:rsidRDefault="0030070B">
      <w:pPr>
        <w:tabs>
          <w:tab w:val="left" w:pos="5175"/>
        </w:tabs>
        <w:spacing w:line="360" w:lineRule="auto"/>
        <w:ind w:firstLineChars="200" w:firstLine="480"/>
        <w:rPr>
          <w:rFonts w:ascii="宋体"/>
          <w:color w:val="000000"/>
          <w:kern w:val="0"/>
          <w:sz w:val="24"/>
        </w:rPr>
      </w:pPr>
      <w:r>
        <w:rPr>
          <w:rFonts w:ascii="宋体" w:hint="eastAsia"/>
          <w:color w:val="000000"/>
          <w:kern w:val="0"/>
          <w:sz w:val="24"/>
        </w:rPr>
        <w:t>1</w:t>
      </w:r>
      <w:r>
        <w:rPr>
          <w:rFonts w:ascii="宋体" w:hint="eastAsia"/>
          <w:color w:val="000000"/>
          <w:kern w:val="0"/>
          <w:sz w:val="24"/>
        </w:rPr>
        <w:t>、本公司的直销柜台受理机构投资者的开户和认购申请。</w:t>
      </w:r>
    </w:p>
    <w:p w:rsidR="00BC36F9" w:rsidRDefault="0030070B">
      <w:pPr>
        <w:tabs>
          <w:tab w:val="left" w:pos="5175"/>
        </w:tabs>
        <w:spacing w:line="360" w:lineRule="auto"/>
        <w:ind w:firstLineChars="200" w:firstLine="480"/>
        <w:rPr>
          <w:rFonts w:ascii="宋体"/>
          <w:color w:val="000000"/>
          <w:kern w:val="0"/>
          <w:sz w:val="24"/>
        </w:rPr>
      </w:pPr>
      <w:r>
        <w:rPr>
          <w:rFonts w:ascii="宋体" w:hint="eastAsia"/>
          <w:color w:val="000000"/>
          <w:kern w:val="0"/>
          <w:sz w:val="24"/>
        </w:rPr>
        <w:t>2</w:t>
      </w:r>
      <w:r>
        <w:rPr>
          <w:rFonts w:ascii="宋体" w:hint="eastAsia"/>
          <w:color w:val="000000"/>
          <w:kern w:val="0"/>
          <w:sz w:val="24"/>
        </w:rPr>
        <w:t>、业务办理时间</w:t>
      </w:r>
    </w:p>
    <w:p w:rsidR="00BC36F9" w:rsidRDefault="0030070B">
      <w:pPr>
        <w:tabs>
          <w:tab w:val="left" w:pos="5175"/>
        </w:tabs>
        <w:spacing w:line="360" w:lineRule="auto"/>
        <w:ind w:firstLineChars="200" w:firstLine="480"/>
        <w:rPr>
          <w:rFonts w:ascii="宋体"/>
          <w:color w:val="000000"/>
          <w:kern w:val="0"/>
          <w:sz w:val="24"/>
        </w:rPr>
      </w:pPr>
      <w:r>
        <w:rPr>
          <w:rFonts w:ascii="宋体" w:hint="eastAsia"/>
          <w:color w:val="000000"/>
          <w:kern w:val="0"/>
          <w:sz w:val="24"/>
        </w:rPr>
        <w:t>发售日</w:t>
      </w:r>
      <w:r>
        <w:rPr>
          <w:rFonts w:ascii="宋体" w:hint="eastAsia"/>
          <w:color w:val="000000"/>
          <w:kern w:val="0"/>
          <w:sz w:val="24"/>
        </w:rPr>
        <w:t>9</w:t>
      </w:r>
      <w:r>
        <w:rPr>
          <w:rFonts w:ascii="宋体" w:hint="eastAsia"/>
          <w:color w:val="000000"/>
          <w:kern w:val="0"/>
          <w:sz w:val="24"/>
        </w:rPr>
        <w:t>：</w:t>
      </w:r>
      <w:r>
        <w:rPr>
          <w:rFonts w:ascii="宋体" w:hint="eastAsia"/>
          <w:color w:val="000000"/>
          <w:kern w:val="0"/>
          <w:sz w:val="24"/>
        </w:rPr>
        <w:t>00-17</w:t>
      </w:r>
      <w:r>
        <w:rPr>
          <w:rFonts w:ascii="宋体" w:hint="eastAsia"/>
          <w:color w:val="000000"/>
          <w:kern w:val="0"/>
          <w:sz w:val="24"/>
        </w:rPr>
        <w:t>：</w:t>
      </w:r>
      <w:r>
        <w:rPr>
          <w:rFonts w:ascii="宋体" w:hint="eastAsia"/>
          <w:color w:val="000000"/>
          <w:kern w:val="0"/>
          <w:sz w:val="24"/>
        </w:rPr>
        <w:t>00</w:t>
      </w:r>
      <w:r>
        <w:rPr>
          <w:rFonts w:ascii="宋体" w:hint="eastAsia"/>
          <w:color w:val="000000"/>
          <w:kern w:val="0"/>
          <w:sz w:val="24"/>
        </w:rPr>
        <w:t>（周六、周日及</w:t>
      </w:r>
      <w:r>
        <w:rPr>
          <w:rFonts w:ascii="宋体" w:hint="eastAsia"/>
          <w:color w:val="000000"/>
          <w:kern w:val="0"/>
          <w:sz w:val="24"/>
        </w:rPr>
        <w:t>法定节假日不受理）。</w:t>
      </w:r>
    </w:p>
    <w:p w:rsidR="00BC36F9" w:rsidRDefault="0030070B">
      <w:pPr>
        <w:tabs>
          <w:tab w:val="left" w:pos="5175"/>
        </w:tabs>
        <w:spacing w:line="360" w:lineRule="auto"/>
        <w:ind w:firstLineChars="200" w:firstLine="480"/>
        <w:rPr>
          <w:rFonts w:ascii="宋体"/>
          <w:color w:val="000000"/>
          <w:kern w:val="0"/>
          <w:sz w:val="24"/>
        </w:rPr>
      </w:pPr>
      <w:r>
        <w:rPr>
          <w:rFonts w:ascii="宋体" w:hint="eastAsia"/>
          <w:color w:val="000000"/>
          <w:kern w:val="0"/>
          <w:sz w:val="24"/>
        </w:rPr>
        <w:t>3</w:t>
      </w:r>
      <w:r>
        <w:rPr>
          <w:rFonts w:ascii="宋体" w:hint="eastAsia"/>
          <w:color w:val="000000"/>
          <w:kern w:val="0"/>
          <w:sz w:val="24"/>
        </w:rPr>
        <w:t>、机构投资者办理基金交易账户和基金账户开户申请时须提交的材料：</w:t>
      </w:r>
    </w:p>
    <w:tbl>
      <w:tblPr>
        <w:tblW w:w="0" w:type="auto"/>
        <w:tblInd w:w="108" w:type="dxa"/>
        <w:tblLayout w:type="fixed"/>
        <w:tblLook w:val="04A0"/>
      </w:tblPr>
      <w:tblGrid>
        <w:gridCol w:w="427"/>
        <w:gridCol w:w="833"/>
        <w:gridCol w:w="3957"/>
        <w:gridCol w:w="2878"/>
        <w:gridCol w:w="427"/>
      </w:tblGrid>
      <w:tr w:rsidR="00BC36F9">
        <w:trPr>
          <w:trHeight w:val="285"/>
        </w:trPr>
        <w:tc>
          <w:tcPr>
            <w:tcW w:w="427" w:type="dxa"/>
            <w:tcBorders>
              <w:top w:val="single" w:sz="4" w:space="0" w:color="auto"/>
              <w:left w:val="single" w:sz="4" w:space="0" w:color="auto"/>
              <w:bottom w:val="single" w:sz="4" w:space="0" w:color="auto"/>
              <w:right w:val="single" w:sz="4" w:space="0" w:color="auto"/>
            </w:tcBorders>
            <w:vAlign w:val="center"/>
          </w:tcPr>
          <w:p w:rsidR="00BC36F9" w:rsidRDefault="0030070B">
            <w:pPr>
              <w:widowControl/>
              <w:jc w:val="center"/>
              <w:rPr>
                <w:b/>
                <w:bCs/>
                <w:color w:val="000000"/>
                <w:szCs w:val="21"/>
              </w:rPr>
            </w:pPr>
            <w:r>
              <w:rPr>
                <w:rFonts w:ascii="宋体" w:cs="宋体" w:hint="eastAsia"/>
                <w:b/>
                <w:bCs/>
                <w:color w:val="000000"/>
                <w:szCs w:val="21"/>
              </w:rPr>
              <w:t>序号</w:t>
            </w:r>
          </w:p>
        </w:tc>
        <w:tc>
          <w:tcPr>
            <w:tcW w:w="833" w:type="dxa"/>
            <w:tcBorders>
              <w:top w:val="single" w:sz="4" w:space="0" w:color="auto"/>
              <w:left w:val="nil"/>
              <w:bottom w:val="single" w:sz="4" w:space="0" w:color="auto"/>
              <w:right w:val="single" w:sz="4" w:space="0" w:color="auto"/>
            </w:tcBorders>
            <w:vAlign w:val="center"/>
          </w:tcPr>
          <w:p w:rsidR="00BC36F9" w:rsidRDefault="0030070B">
            <w:pPr>
              <w:widowControl/>
              <w:jc w:val="center"/>
              <w:rPr>
                <w:b/>
                <w:bCs/>
                <w:color w:val="000000"/>
                <w:szCs w:val="21"/>
              </w:rPr>
            </w:pPr>
            <w:r>
              <w:rPr>
                <w:rFonts w:ascii="宋体" w:cs="宋体" w:hint="eastAsia"/>
                <w:b/>
                <w:bCs/>
                <w:color w:val="000000"/>
                <w:szCs w:val="21"/>
              </w:rPr>
              <w:t>类型</w:t>
            </w:r>
          </w:p>
        </w:tc>
        <w:tc>
          <w:tcPr>
            <w:tcW w:w="3957" w:type="dxa"/>
            <w:tcBorders>
              <w:top w:val="single" w:sz="4" w:space="0" w:color="auto"/>
              <w:left w:val="nil"/>
              <w:bottom w:val="single" w:sz="4" w:space="0" w:color="auto"/>
              <w:right w:val="single" w:sz="4" w:space="0" w:color="auto"/>
            </w:tcBorders>
            <w:vAlign w:val="center"/>
          </w:tcPr>
          <w:p w:rsidR="00BC36F9" w:rsidRDefault="0030070B">
            <w:pPr>
              <w:widowControl/>
              <w:jc w:val="center"/>
              <w:rPr>
                <w:b/>
                <w:bCs/>
                <w:color w:val="000000"/>
                <w:szCs w:val="21"/>
              </w:rPr>
            </w:pPr>
            <w:r>
              <w:rPr>
                <w:rFonts w:ascii="宋体" w:cs="宋体" w:hint="eastAsia"/>
                <w:b/>
                <w:bCs/>
                <w:color w:val="000000"/>
                <w:szCs w:val="21"/>
              </w:rPr>
              <w:t>所需文件名称</w:t>
            </w:r>
          </w:p>
        </w:tc>
        <w:tc>
          <w:tcPr>
            <w:tcW w:w="2878" w:type="dxa"/>
            <w:tcBorders>
              <w:top w:val="single" w:sz="4" w:space="0" w:color="auto"/>
              <w:left w:val="nil"/>
              <w:bottom w:val="single" w:sz="4" w:space="0" w:color="auto"/>
              <w:right w:val="single" w:sz="4" w:space="0" w:color="auto"/>
            </w:tcBorders>
            <w:vAlign w:val="center"/>
          </w:tcPr>
          <w:p w:rsidR="00BC36F9" w:rsidRDefault="0030070B">
            <w:pPr>
              <w:widowControl/>
              <w:jc w:val="center"/>
              <w:rPr>
                <w:b/>
                <w:bCs/>
                <w:color w:val="000000"/>
                <w:szCs w:val="21"/>
              </w:rPr>
            </w:pPr>
            <w:r>
              <w:rPr>
                <w:rFonts w:ascii="宋体" w:cs="宋体" w:hint="eastAsia"/>
                <w:b/>
                <w:bCs/>
                <w:color w:val="000000"/>
                <w:szCs w:val="21"/>
              </w:rPr>
              <w:t>注意事项</w:t>
            </w:r>
          </w:p>
        </w:tc>
        <w:tc>
          <w:tcPr>
            <w:tcW w:w="427" w:type="dxa"/>
            <w:tcBorders>
              <w:top w:val="single" w:sz="4" w:space="0" w:color="auto"/>
              <w:left w:val="nil"/>
              <w:bottom w:val="single" w:sz="4" w:space="0" w:color="auto"/>
              <w:right w:val="single" w:sz="4" w:space="0" w:color="auto"/>
            </w:tcBorders>
            <w:vAlign w:val="center"/>
          </w:tcPr>
          <w:p w:rsidR="00BC36F9" w:rsidRDefault="0030070B">
            <w:pPr>
              <w:widowControl/>
              <w:jc w:val="center"/>
              <w:rPr>
                <w:b/>
                <w:bCs/>
                <w:color w:val="000000"/>
                <w:szCs w:val="21"/>
              </w:rPr>
            </w:pPr>
            <w:r>
              <w:rPr>
                <w:rFonts w:ascii="宋体" w:cs="宋体" w:hint="eastAsia"/>
                <w:b/>
                <w:bCs/>
                <w:color w:val="000000"/>
                <w:szCs w:val="21"/>
              </w:rPr>
              <w:t>份数</w:t>
            </w:r>
          </w:p>
        </w:tc>
      </w:tr>
      <w:tr w:rsidR="00BC36F9">
        <w:trPr>
          <w:trHeight w:val="570"/>
        </w:trPr>
        <w:tc>
          <w:tcPr>
            <w:tcW w:w="427" w:type="dxa"/>
            <w:tcBorders>
              <w:top w:val="nil"/>
              <w:left w:val="single" w:sz="4" w:space="0" w:color="auto"/>
              <w:bottom w:val="single" w:sz="4" w:space="0" w:color="auto"/>
              <w:right w:val="single" w:sz="4" w:space="0" w:color="auto"/>
            </w:tcBorders>
            <w:vAlign w:val="center"/>
          </w:tcPr>
          <w:p w:rsidR="00BC36F9" w:rsidRDefault="0030070B">
            <w:pPr>
              <w:widowControl/>
              <w:jc w:val="center"/>
              <w:rPr>
                <w:color w:val="000000"/>
                <w:szCs w:val="21"/>
              </w:rPr>
            </w:pPr>
            <w:r>
              <w:rPr>
                <w:rFonts w:hint="eastAsia"/>
                <w:color w:val="000000"/>
                <w:szCs w:val="21"/>
              </w:rPr>
              <w:t>1</w:t>
            </w:r>
          </w:p>
        </w:tc>
        <w:tc>
          <w:tcPr>
            <w:tcW w:w="833" w:type="dxa"/>
            <w:vMerge w:val="restart"/>
            <w:tcBorders>
              <w:top w:val="nil"/>
              <w:left w:val="single" w:sz="4" w:space="0" w:color="auto"/>
              <w:bottom w:val="single" w:sz="4" w:space="0" w:color="auto"/>
              <w:right w:val="single" w:sz="4" w:space="0" w:color="auto"/>
            </w:tcBorders>
            <w:vAlign w:val="center"/>
          </w:tcPr>
          <w:p w:rsidR="00BC36F9" w:rsidRDefault="0030070B">
            <w:pPr>
              <w:widowControl/>
              <w:jc w:val="center"/>
              <w:rPr>
                <w:b/>
                <w:bCs/>
                <w:color w:val="000000"/>
                <w:szCs w:val="21"/>
              </w:rPr>
            </w:pPr>
            <w:r>
              <w:rPr>
                <w:rFonts w:ascii="宋体" w:cs="宋体" w:hint="eastAsia"/>
                <w:b/>
                <w:bCs/>
                <w:color w:val="000000"/>
                <w:szCs w:val="21"/>
              </w:rPr>
              <w:t>开户材料</w:t>
            </w:r>
          </w:p>
        </w:tc>
        <w:tc>
          <w:tcPr>
            <w:tcW w:w="3957" w:type="dxa"/>
            <w:tcBorders>
              <w:top w:val="nil"/>
              <w:left w:val="nil"/>
              <w:bottom w:val="single" w:sz="4" w:space="0" w:color="auto"/>
              <w:right w:val="single" w:sz="4" w:space="0" w:color="auto"/>
            </w:tcBorders>
            <w:vAlign w:val="center"/>
          </w:tcPr>
          <w:p w:rsidR="00BC36F9" w:rsidRDefault="0030070B">
            <w:pPr>
              <w:widowControl/>
              <w:rPr>
                <w:color w:val="000000"/>
                <w:szCs w:val="21"/>
              </w:rPr>
            </w:pPr>
            <w:r>
              <w:rPr>
                <w:rFonts w:ascii="宋体" w:cs="宋体" w:hint="eastAsia"/>
                <w:color w:val="000000"/>
                <w:szCs w:val="21"/>
              </w:rPr>
              <w:t>填妥的《开放式基金账户业务申请表（机构、产品版）》</w:t>
            </w:r>
          </w:p>
        </w:tc>
        <w:tc>
          <w:tcPr>
            <w:tcW w:w="2878" w:type="dxa"/>
            <w:tcBorders>
              <w:top w:val="nil"/>
              <w:left w:val="nil"/>
              <w:bottom w:val="single" w:sz="4" w:space="0" w:color="auto"/>
              <w:right w:val="single" w:sz="4" w:space="0" w:color="auto"/>
            </w:tcBorders>
            <w:vAlign w:val="center"/>
          </w:tcPr>
          <w:p w:rsidR="00BC36F9" w:rsidRDefault="0030070B">
            <w:pPr>
              <w:widowControl/>
              <w:jc w:val="left"/>
              <w:rPr>
                <w:color w:val="000000"/>
                <w:szCs w:val="21"/>
              </w:rPr>
            </w:pPr>
            <w:r>
              <w:rPr>
                <w:rFonts w:ascii="宋体" w:cs="宋体" w:hint="eastAsia"/>
                <w:color w:val="000000"/>
                <w:szCs w:val="21"/>
              </w:rPr>
              <w:t>加盖单位公章、法定代表人章</w:t>
            </w:r>
            <w:r>
              <w:rPr>
                <w:rFonts w:hint="eastAsia"/>
                <w:color w:val="000000"/>
                <w:szCs w:val="21"/>
              </w:rPr>
              <w:t>(</w:t>
            </w:r>
            <w:r>
              <w:rPr>
                <w:rFonts w:ascii="宋体" w:cs="宋体" w:hint="eastAsia"/>
                <w:color w:val="000000"/>
                <w:szCs w:val="21"/>
              </w:rPr>
              <w:t>或授权代表章</w:t>
            </w:r>
            <w:r>
              <w:rPr>
                <w:rFonts w:hint="eastAsia"/>
                <w:color w:val="000000"/>
                <w:szCs w:val="21"/>
              </w:rPr>
              <w:t>)</w:t>
            </w:r>
            <w:r>
              <w:rPr>
                <w:rFonts w:ascii="宋体" w:cs="宋体" w:hint="eastAsia"/>
                <w:color w:val="000000"/>
                <w:szCs w:val="21"/>
              </w:rPr>
              <w:t>及账户经办人签章</w:t>
            </w:r>
          </w:p>
        </w:tc>
        <w:tc>
          <w:tcPr>
            <w:tcW w:w="427" w:type="dxa"/>
            <w:tcBorders>
              <w:top w:val="nil"/>
              <w:left w:val="nil"/>
              <w:bottom w:val="single" w:sz="4" w:space="0" w:color="auto"/>
              <w:right w:val="single" w:sz="4" w:space="0" w:color="auto"/>
            </w:tcBorders>
            <w:vAlign w:val="center"/>
          </w:tcPr>
          <w:p w:rsidR="00BC36F9" w:rsidRDefault="0030070B">
            <w:pPr>
              <w:widowControl/>
              <w:jc w:val="center"/>
              <w:rPr>
                <w:color w:val="000000"/>
                <w:szCs w:val="21"/>
              </w:rPr>
            </w:pPr>
            <w:r>
              <w:rPr>
                <w:rFonts w:hint="eastAsia"/>
                <w:color w:val="000000"/>
                <w:szCs w:val="21"/>
              </w:rPr>
              <w:t>2</w:t>
            </w:r>
          </w:p>
        </w:tc>
      </w:tr>
      <w:tr w:rsidR="00BC36F9">
        <w:trPr>
          <w:trHeight w:val="570"/>
        </w:trPr>
        <w:tc>
          <w:tcPr>
            <w:tcW w:w="427" w:type="dxa"/>
            <w:tcBorders>
              <w:top w:val="nil"/>
              <w:left w:val="single" w:sz="4" w:space="0" w:color="auto"/>
              <w:bottom w:val="single" w:sz="4" w:space="0" w:color="auto"/>
              <w:right w:val="single" w:sz="4" w:space="0" w:color="auto"/>
            </w:tcBorders>
            <w:vAlign w:val="center"/>
          </w:tcPr>
          <w:p w:rsidR="00BC36F9" w:rsidRDefault="0030070B">
            <w:pPr>
              <w:widowControl/>
              <w:jc w:val="center"/>
              <w:rPr>
                <w:color w:val="000000"/>
                <w:szCs w:val="21"/>
              </w:rPr>
            </w:pPr>
            <w:r>
              <w:rPr>
                <w:rFonts w:hint="eastAsia"/>
                <w:color w:val="000000"/>
                <w:szCs w:val="21"/>
              </w:rPr>
              <w:t>2</w:t>
            </w:r>
          </w:p>
        </w:tc>
        <w:tc>
          <w:tcPr>
            <w:tcW w:w="833" w:type="dxa"/>
            <w:vMerge/>
            <w:tcBorders>
              <w:top w:val="nil"/>
              <w:left w:val="single" w:sz="4" w:space="0" w:color="auto"/>
              <w:bottom w:val="single" w:sz="4" w:space="0" w:color="auto"/>
              <w:right w:val="single" w:sz="4" w:space="0" w:color="auto"/>
            </w:tcBorders>
            <w:vAlign w:val="center"/>
          </w:tcPr>
          <w:p w:rsidR="00BC36F9" w:rsidRDefault="00BC36F9"/>
        </w:tc>
        <w:tc>
          <w:tcPr>
            <w:tcW w:w="3957" w:type="dxa"/>
            <w:tcBorders>
              <w:top w:val="nil"/>
              <w:left w:val="nil"/>
              <w:bottom w:val="single" w:sz="4" w:space="0" w:color="auto"/>
              <w:right w:val="single" w:sz="4" w:space="0" w:color="auto"/>
            </w:tcBorders>
            <w:vAlign w:val="center"/>
          </w:tcPr>
          <w:p w:rsidR="00BC36F9" w:rsidRDefault="0030070B">
            <w:pPr>
              <w:widowControl/>
              <w:rPr>
                <w:color w:val="000000"/>
                <w:szCs w:val="21"/>
              </w:rPr>
            </w:pPr>
            <w:r>
              <w:rPr>
                <w:rFonts w:ascii="宋体" w:cs="宋体" w:hint="eastAsia"/>
                <w:color w:val="000000"/>
                <w:szCs w:val="21"/>
              </w:rPr>
              <w:t>填妥的《开放式基金业务授权委托书（机构、产品版）》</w:t>
            </w:r>
          </w:p>
        </w:tc>
        <w:tc>
          <w:tcPr>
            <w:tcW w:w="2878" w:type="dxa"/>
            <w:tcBorders>
              <w:top w:val="nil"/>
              <w:left w:val="nil"/>
              <w:bottom w:val="single" w:sz="4" w:space="0" w:color="auto"/>
              <w:right w:val="single" w:sz="4" w:space="0" w:color="auto"/>
            </w:tcBorders>
            <w:vAlign w:val="center"/>
          </w:tcPr>
          <w:p w:rsidR="00BC36F9" w:rsidRDefault="0030070B">
            <w:pPr>
              <w:widowControl/>
              <w:jc w:val="left"/>
              <w:rPr>
                <w:color w:val="000000"/>
                <w:szCs w:val="21"/>
              </w:rPr>
            </w:pPr>
            <w:r>
              <w:rPr>
                <w:rFonts w:ascii="宋体" w:cs="宋体" w:hint="eastAsia"/>
                <w:color w:val="000000"/>
                <w:szCs w:val="21"/>
              </w:rPr>
              <w:t>加盖单位公章、法定代表人章</w:t>
            </w:r>
            <w:r>
              <w:rPr>
                <w:rFonts w:hint="eastAsia"/>
                <w:color w:val="000000"/>
                <w:szCs w:val="21"/>
              </w:rPr>
              <w:t>(</w:t>
            </w:r>
            <w:r>
              <w:rPr>
                <w:rFonts w:ascii="宋体" w:cs="宋体" w:hint="eastAsia"/>
                <w:color w:val="000000"/>
                <w:szCs w:val="21"/>
              </w:rPr>
              <w:t>或授权代表章</w:t>
            </w:r>
            <w:r>
              <w:rPr>
                <w:rFonts w:hint="eastAsia"/>
                <w:color w:val="000000"/>
                <w:szCs w:val="21"/>
              </w:rPr>
              <w:t>)</w:t>
            </w:r>
            <w:r>
              <w:rPr>
                <w:rFonts w:ascii="宋体" w:cs="宋体" w:hint="eastAsia"/>
                <w:color w:val="000000"/>
                <w:szCs w:val="21"/>
              </w:rPr>
              <w:t>及被授权签章</w:t>
            </w:r>
          </w:p>
        </w:tc>
        <w:tc>
          <w:tcPr>
            <w:tcW w:w="427" w:type="dxa"/>
            <w:tcBorders>
              <w:top w:val="nil"/>
              <w:left w:val="nil"/>
              <w:bottom w:val="single" w:sz="4" w:space="0" w:color="auto"/>
              <w:right w:val="single" w:sz="4" w:space="0" w:color="auto"/>
            </w:tcBorders>
            <w:vAlign w:val="center"/>
          </w:tcPr>
          <w:p w:rsidR="00BC36F9" w:rsidRDefault="0030070B">
            <w:pPr>
              <w:widowControl/>
              <w:jc w:val="center"/>
              <w:rPr>
                <w:color w:val="000000"/>
                <w:szCs w:val="21"/>
              </w:rPr>
            </w:pPr>
            <w:r>
              <w:rPr>
                <w:rFonts w:hint="eastAsia"/>
                <w:color w:val="000000"/>
                <w:szCs w:val="21"/>
              </w:rPr>
              <w:t>2</w:t>
            </w:r>
          </w:p>
        </w:tc>
      </w:tr>
      <w:tr w:rsidR="00BC36F9">
        <w:trPr>
          <w:trHeight w:val="570"/>
        </w:trPr>
        <w:tc>
          <w:tcPr>
            <w:tcW w:w="427" w:type="dxa"/>
            <w:tcBorders>
              <w:top w:val="nil"/>
              <w:left w:val="single" w:sz="4" w:space="0" w:color="auto"/>
              <w:bottom w:val="single" w:sz="4" w:space="0" w:color="auto"/>
              <w:right w:val="single" w:sz="4" w:space="0" w:color="auto"/>
            </w:tcBorders>
            <w:vAlign w:val="center"/>
          </w:tcPr>
          <w:p w:rsidR="00BC36F9" w:rsidRDefault="0030070B">
            <w:pPr>
              <w:widowControl/>
              <w:jc w:val="center"/>
              <w:rPr>
                <w:color w:val="000000"/>
                <w:szCs w:val="21"/>
              </w:rPr>
            </w:pPr>
            <w:r>
              <w:rPr>
                <w:rFonts w:hint="eastAsia"/>
                <w:color w:val="000000"/>
                <w:szCs w:val="21"/>
              </w:rPr>
              <w:t>3</w:t>
            </w:r>
          </w:p>
        </w:tc>
        <w:tc>
          <w:tcPr>
            <w:tcW w:w="833" w:type="dxa"/>
            <w:vMerge/>
            <w:tcBorders>
              <w:top w:val="nil"/>
              <w:left w:val="single" w:sz="4" w:space="0" w:color="auto"/>
              <w:bottom w:val="single" w:sz="4" w:space="0" w:color="auto"/>
              <w:right w:val="single" w:sz="4" w:space="0" w:color="auto"/>
            </w:tcBorders>
            <w:vAlign w:val="center"/>
          </w:tcPr>
          <w:p w:rsidR="00BC36F9" w:rsidRDefault="00BC36F9"/>
        </w:tc>
        <w:tc>
          <w:tcPr>
            <w:tcW w:w="3957" w:type="dxa"/>
            <w:tcBorders>
              <w:top w:val="nil"/>
              <w:left w:val="nil"/>
              <w:bottom w:val="single" w:sz="4" w:space="0" w:color="auto"/>
              <w:right w:val="single" w:sz="4" w:space="0" w:color="auto"/>
            </w:tcBorders>
            <w:vAlign w:val="center"/>
          </w:tcPr>
          <w:p w:rsidR="00BC36F9" w:rsidRDefault="0030070B">
            <w:pPr>
              <w:widowControl/>
              <w:rPr>
                <w:color w:val="000000"/>
                <w:szCs w:val="21"/>
              </w:rPr>
            </w:pPr>
            <w:r>
              <w:rPr>
                <w:rFonts w:ascii="宋体" w:cs="宋体" w:hint="eastAsia"/>
                <w:color w:val="000000"/>
                <w:szCs w:val="21"/>
              </w:rPr>
              <w:t>填妥的投资者电子交易委托服务协议</w:t>
            </w:r>
            <w:r>
              <w:rPr>
                <w:rFonts w:ascii="宋体" w:cs="宋体" w:hint="eastAsia"/>
                <w:color w:val="000000"/>
                <w:szCs w:val="21"/>
              </w:rPr>
              <w:t>-</w:t>
            </w:r>
            <w:r>
              <w:rPr>
                <w:rFonts w:ascii="宋体" w:cs="宋体" w:hint="eastAsia"/>
                <w:color w:val="000000"/>
                <w:szCs w:val="21"/>
              </w:rPr>
              <w:t>兴业基金</w:t>
            </w:r>
          </w:p>
        </w:tc>
        <w:tc>
          <w:tcPr>
            <w:tcW w:w="2878" w:type="dxa"/>
            <w:tcBorders>
              <w:top w:val="nil"/>
              <w:left w:val="nil"/>
              <w:bottom w:val="single" w:sz="4" w:space="0" w:color="auto"/>
              <w:right w:val="single" w:sz="4" w:space="0" w:color="auto"/>
            </w:tcBorders>
            <w:vAlign w:val="center"/>
          </w:tcPr>
          <w:p w:rsidR="00BC36F9" w:rsidRDefault="0030070B">
            <w:pPr>
              <w:widowControl/>
              <w:jc w:val="left"/>
              <w:rPr>
                <w:color w:val="000000"/>
                <w:szCs w:val="21"/>
              </w:rPr>
            </w:pPr>
            <w:r>
              <w:rPr>
                <w:rFonts w:ascii="宋体" w:cs="宋体" w:hint="eastAsia"/>
                <w:color w:val="000000"/>
                <w:szCs w:val="21"/>
              </w:rPr>
              <w:t>加盖单位公章</w:t>
            </w:r>
          </w:p>
        </w:tc>
        <w:tc>
          <w:tcPr>
            <w:tcW w:w="427" w:type="dxa"/>
            <w:tcBorders>
              <w:top w:val="nil"/>
              <w:left w:val="nil"/>
              <w:bottom w:val="single" w:sz="4" w:space="0" w:color="auto"/>
              <w:right w:val="single" w:sz="4" w:space="0" w:color="auto"/>
            </w:tcBorders>
            <w:vAlign w:val="center"/>
          </w:tcPr>
          <w:p w:rsidR="00BC36F9" w:rsidRDefault="0030070B">
            <w:pPr>
              <w:widowControl/>
              <w:jc w:val="center"/>
              <w:rPr>
                <w:color w:val="000000"/>
                <w:szCs w:val="21"/>
              </w:rPr>
            </w:pPr>
            <w:r>
              <w:rPr>
                <w:rFonts w:hint="eastAsia"/>
                <w:color w:val="000000"/>
                <w:szCs w:val="21"/>
              </w:rPr>
              <w:t>2</w:t>
            </w:r>
          </w:p>
        </w:tc>
      </w:tr>
      <w:tr w:rsidR="00BC36F9">
        <w:trPr>
          <w:trHeight w:val="1425"/>
        </w:trPr>
        <w:tc>
          <w:tcPr>
            <w:tcW w:w="427" w:type="dxa"/>
            <w:tcBorders>
              <w:top w:val="nil"/>
              <w:left w:val="single" w:sz="4" w:space="0" w:color="auto"/>
              <w:bottom w:val="single" w:sz="4" w:space="0" w:color="auto"/>
              <w:right w:val="single" w:sz="4" w:space="0" w:color="auto"/>
            </w:tcBorders>
            <w:vAlign w:val="center"/>
          </w:tcPr>
          <w:p w:rsidR="00BC36F9" w:rsidRDefault="0030070B">
            <w:pPr>
              <w:widowControl/>
              <w:jc w:val="center"/>
              <w:rPr>
                <w:color w:val="000000"/>
                <w:szCs w:val="21"/>
              </w:rPr>
            </w:pPr>
            <w:r>
              <w:rPr>
                <w:rFonts w:hint="eastAsia"/>
                <w:color w:val="000000"/>
                <w:szCs w:val="21"/>
              </w:rPr>
              <w:t>4</w:t>
            </w:r>
          </w:p>
        </w:tc>
        <w:tc>
          <w:tcPr>
            <w:tcW w:w="833" w:type="dxa"/>
            <w:vMerge/>
            <w:tcBorders>
              <w:top w:val="nil"/>
              <w:left w:val="single" w:sz="4" w:space="0" w:color="auto"/>
              <w:bottom w:val="single" w:sz="4" w:space="0" w:color="auto"/>
              <w:right w:val="single" w:sz="4" w:space="0" w:color="auto"/>
            </w:tcBorders>
            <w:vAlign w:val="center"/>
          </w:tcPr>
          <w:p w:rsidR="00BC36F9" w:rsidRDefault="00BC36F9"/>
        </w:tc>
        <w:tc>
          <w:tcPr>
            <w:tcW w:w="3957" w:type="dxa"/>
            <w:tcBorders>
              <w:top w:val="nil"/>
              <w:left w:val="nil"/>
              <w:bottom w:val="single" w:sz="4" w:space="0" w:color="auto"/>
              <w:right w:val="single" w:sz="4" w:space="0" w:color="auto"/>
            </w:tcBorders>
            <w:vAlign w:val="center"/>
          </w:tcPr>
          <w:p w:rsidR="00BC36F9" w:rsidRDefault="0030070B">
            <w:pPr>
              <w:widowControl/>
              <w:rPr>
                <w:color w:val="000000"/>
                <w:szCs w:val="21"/>
              </w:rPr>
            </w:pPr>
            <w:r>
              <w:rPr>
                <w:rFonts w:ascii="宋体" w:cs="宋体" w:hint="eastAsia"/>
                <w:color w:val="000000"/>
                <w:szCs w:val="21"/>
              </w:rPr>
              <w:t>填妥的《开放式基金业务印鉴卡（机构、产品版）》</w:t>
            </w:r>
          </w:p>
        </w:tc>
        <w:tc>
          <w:tcPr>
            <w:tcW w:w="2878" w:type="dxa"/>
            <w:tcBorders>
              <w:top w:val="nil"/>
              <w:left w:val="nil"/>
              <w:bottom w:val="single" w:sz="4" w:space="0" w:color="auto"/>
              <w:right w:val="single" w:sz="4" w:space="0" w:color="auto"/>
            </w:tcBorders>
            <w:vAlign w:val="center"/>
          </w:tcPr>
          <w:p w:rsidR="00BC36F9" w:rsidRDefault="0030070B">
            <w:pPr>
              <w:widowControl/>
              <w:jc w:val="left"/>
              <w:rPr>
                <w:color w:val="000000"/>
                <w:szCs w:val="21"/>
              </w:rPr>
            </w:pPr>
            <w:r>
              <w:rPr>
                <w:rFonts w:ascii="宋体" w:cs="宋体" w:hint="eastAsia"/>
                <w:color w:val="000000"/>
                <w:szCs w:val="21"/>
              </w:rPr>
              <w:t>加盖单位公章、法定代表人章</w:t>
            </w:r>
            <w:r>
              <w:rPr>
                <w:rFonts w:hint="eastAsia"/>
                <w:color w:val="000000"/>
                <w:szCs w:val="21"/>
              </w:rPr>
              <w:t>(</w:t>
            </w:r>
            <w:r>
              <w:rPr>
                <w:rFonts w:ascii="宋体" w:cs="宋体" w:hint="eastAsia"/>
                <w:color w:val="000000"/>
                <w:szCs w:val="21"/>
              </w:rPr>
              <w:t>或授权代表章</w:t>
            </w:r>
            <w:r>
              <w:rPr>
                <w:rFonts w:hint="eastAsia"/>
                <w:color w:val="000000"/>
                <w:szCs w:val="21"/>
              </w:rPr>
              <w:t>)</w:t>
            </w:r>
            <w:r>
              <w:rPr>
                <w:rFonts w:ascii="宋体" w:cs="宋体" w:hint="eastAsia"/>
                <w:color w:val="000000"/>
                <w:szCs w:val="21"/>
              </w:rPr>
              <w:t>；</w:t>
            </w:r>
            <w:r>
              <w:rPr>
                <w:rFonts w:hint="eastAsia"/>
                <w:color w:val="000000"/>
                <w:szCs w:val="21"/>
              </w:rPr>
              <w:t xml:space="preserve">                               </w:t>
            </w:r>
            <w:r>
              <w:rPr>
                <w:rFonts w:ascii="宋体" w:cs="宋体" w:hint="eastAsia"/>
                <w:color w:val="000000"/>
                <w:szCs w:val="21"/>
              </w:rPr>
              <w:t>预留印鉴必须留一枚公章（可以是部门章）和一枚私章（可以是经办人签字）</w:t>
            </w:r>
          </w:p>
        </w:tc>
        <w:tc>
          <w:tcPr>
            <w:tcW w:w="427" w:type="dxa"/>
            <w:tcBorders>
              <w:top w:val="nil"/>
              <w:left w:val="nil"/>
              <w:bottom w:val="single" w:sz="4" w:space="0" w:color="auto"/>
              <w:right w:val="single" w:sz="4" w:space="0" w:color="auto"/>
            </w:tcBorders>
            <w:vAlign w:val="center"/>
          </w:tcPr>
          <w:p w:rsidR="00BC36F9" w:rsidRDefault="0030070B">
            <w:pPr>
              <w:widowControl/>
              <w:jc w:val="center"/>
              <w:rPr>
                <w:color w:val="000000"/>
                <w:szCs w:val="21"/>
              </w:rPr>
            </w:pPr>
            <w:r>
              <w:rPr>
                <w:rFonts w:hint="eastAsia"/>
                <w:color w:val="000000"/>
                <w:szCs w:val="21"/>
              </w:rPr>
              <w:t>2</w:t>
            </w:r>
          </w:p>
        </w:tc>
      </w:tr>
      <w:tr w:rsidR="00BC36F9">
        <w:trPr>
          <w:trHeight w:val="570"/>
        </w:trPr>
        <w:tc>
          <w:tcPr>
            <w:tcW w:w="427" w:type="dxa"/>
            <w:tcBorders>
              <w:top w:val="nil"/>
              <w:left w:val="single" w:sz="4" w:space="0" w:color="auto"/>
              <w:bottom w:val="single" w:sz="4" w:space="0" w:color="auto"/>
              <w:right w:val="single" w:sz="4" w:space="0" w:color="auto"/>
            </w:tcBorders>
            <w:vAlign w:val="center"/>
          </w:tcPr>
          <w:p w:rsidR="00BC36F9" w:rsidRDefault="0030070B">
            <w:pPr>
              <w:widowControl/>
              <w:jc w:val="center"/>
              <w:rPr>
                <w:color w:val="000000"/>
                <w:szCs w:val="21"/>
              </w:rPr>
            </w:pPr>
            <w:r>
              <w:rPr>
                <w:rFonts w:hint="eastAsia"/>
                <w:color w:val="000000"/>
                <w:szCs w:val="21"/>
              </w:rPr>
              <w:t>5</w:t>
            </w:r>
          </w:p>
        </w:tc>
        <w:tc>
          <w:tcPr>
            <w:tcW w:w="833" w:type="dxa"/>
            <w:vMerge/>
            <w:tcBorders>
              <w:top w:val="nil"/>
              <w:left w:val="single" w:sz="4" w:space="0" w:color="auto"/>
              <w:bottom w:val="single" w:sz="4" w:space="0" w:color="auto"/>
              <w:right w:val="single" w:sz="4" w:space="0" w:color="auto"/>
            </w:tcBorders>
            <w:vAlign w:val="center"/>
          </w:tcPr>
          <w:p w:rsidR="00BC36F9" w:rsidRDefault="00BC36F9"/>
        </w:tc>
        <w:tc>
          <w:tcPr>
            <w:tcW w:w="3957" w:type="dxa"/>
            <w:tcBorders>
              <w:top w:val="nil"/>
              <w:left w:val="nil"/>
              <w:bottom w:val="single" w:sz="4" w:space="0" w:color="auto"/>
              <w:right w:val="single" w:sz="4" w:space="0" w:color="auto"/>
            </w:tcBorders>
            <w:vAlign w:val="center"/>
          </w:tcPr>
          <w:p w:rsidR="00BC36F9" w:rsidRDefault="0030070B">
            <w:pPr>
              <w:widowControl/>
              <w:rPr>
                <w:color w:val="000000"/>
                <w:szCs w:val="21"/>
              </w:rPr>
            </w:pPr>
            <w:r>
              <w:rPr>
                <w:rFonts w:ascii="宋体" w:cs="宋体" w:hint="eastAsia"/>
                <w:color w:val="000000"/>
                <w:szCs w:val="21"/>
              </w:rPr>
              <w:t>填妥的《开放式基金投资者承诺函（机构、产品版》</w:t>
            </w:r>
          </w:p>
        </w:tc>
        <w:tc>
          <w:tcPr>
            <w:tcW w:w="2878" w:type="dxa"/>
            <w:tcBorders>
              <w:top w:val="nil"/>
              <w:left w:val="nil"/>
              <w:bottom w:val="single" w:sz="4" w:space="0" w:color="auto"/>
              <w:right w:val="single" w:sz="4" w:space="0" w:color="auto"/>
            </w:tcBorders>
            <w:vAlign w:val="center"/>
          </w:tcPr>
          <w:p w:rsidR="00BC36F9" w:rsidRDefault="0030070B">
            <w:pPr>
              <w:widowControl/>
              <w:jc w:val="left"/>
              <w:rPr>
                <w:color w:val="000000"/>
                <w:szCs w:val="21"/>
              </w:rPr>
            </w:pPr>
            <w:r>
              <w:rPr>
                <w:rFonts w:ascii="宋体" w:cs="宋体" w:hint="eastAsia"/>
                <w:color w:val="000000"/>
                <w:szCs w:val="21"/>
              </w:rPr>
              <w:t>加盖单位公章、法定代表人章</w:t>
            </w:r>
            <w:r>
              <w:rPr>
                <w:rFonts w:hint="eastAsia"/>
                <w:color w:val="000000"/>
                <w:szCs w:val="21"/>
              </w:rPr>
              <w:t>(</w:t>
            </w:r>
            <w:r>
              <w:rPr>
                <w:rFonts w:ascii="宋体" w:cs="宋体" w:hint="eastAsia"/>
                <w:color w:val="000000"/>
                <w:szCs w:val="21"/>
              </w:rPr>
              <w:t>或授权代表章</w:t>
            </w:r>
            <w:r>
              <w:rPr>
                <w:rFonts w:hint="eastAsia"/>
                <w:color w:val="000000"/>
                <w:szCs w:val="21"/>
              </w:rPr>
              <w:t>)</w:t>
            </w:r>
          </w:p>
        </w:tc>
        <w:tc>
          <w:tcPr>
            <w:tcW w:w="427" w:type="dxa"/>
            <w:tcBorders>
              <w:top w:val="nil"/>
              <w:left w:val="nil"/>
              <w:bottom w:val="single" w:sz="4" w:space="0" w:color="auto"/>
              <w:right w:val="single" w:sz="4" w:space="0" w:color="auto"/>
            </w:tcBorders>
            <w:vAlign w:val="center"/>
          </w:tcPr>
          <w:p w:rsidR="00BC36F9" w:rsidRDefault="0030070B">
            <w:pPr>
              <w:widowControl/>
              <w:jc w:val="center"/>
              <w:rPr>
                <w:color w:val="000000"/>
                <w:szCs w:val="21"/>
              </w:rPr>
            </w:pPr>
            <w:r>
              <w:rPr>
                <w:rFonts w:hint="eastAsia"/>
                <w:color w:val="000000"/>
                <w:szCs w:val="21"/>
              </w:rPr>
              <w:t>2</w:t>
            </w:r>
          </w:p>
        </w:tc>
      </w:tr>
      <w:tr w:rsidR="00BC36F9">
        <w:trPr>
          <w:trHeight w:val="570"/>
        </w:trPr>
        <w:tc>
          <w:tcPr>
            <w:tcW w:w="427" w:type="dxa"/>
            <w:tcBorders>
              <w:top w:val="nil"/>
              <w:left w:val="single" w:sz="4" w:space="0" w:color="auto"/>
              <w:bottom w:val="single" w:sz="4" w:space="0" w:color="auto"/>
              <w:right w:val="single" w:sz="4" w:space="0" w:color="auto"/>
            </w:tcBorders>
            <w:vAlign w:val="center"/>
          </w:tcPr>
          <w:p w:rsidR="00BC36F9" w:rsidRDefault="0030070B">
            <w:pPr>
              <w:widowControl/>
              <w:jc w:val="center"/>
              <w:rPr>
                <w:color w:val="000000"/>
                <w:szCs w:val="21"/>
              </w:rPr>
            </w:pPr>
            <w:r>
              <w:rPr>
                <w:rFonts w:hint="eastAsia"/>
                <w:color w:val="000000"/>
                <w:szCs w:val="21"/>
              </w:rPr>
              <w:t>6</w:t>
            </w:r>
          </w:p>
        </w:tc>
        <w:tc>
          <w:tcPr>
            <w:tcW w:w="833" w:type="dxa"/>
            <w:vMerge/>
            <w:tcBorders>
              <w:top w:val="nil"/>
              <w:left w:val="single" w:sz="4" w:space="0" w:color="auto"/>
              <w:bottom w:val="single" w:sz="4" w:space="0" w:color="auto"/>
              <w:right w:val="single" w:sz="4" w:space="0" w:color="auto"/>
            </w:tcBorders>
            <w:vAlign w:val="center"/>
          </w:tcPr>
          <w:p w:rsidR="00BC36F9" w:rsidRDefault="00BC36F9"/>
        </w:tc>
        <w:tc>
          <w:tcPr>
            <w:tcW w:w="3957" w:type="dxa"/>
            <w:tcBorders>
              <w:top w:val="nil"/>
              <w:left w:val="nil"/>
              <w:bottom w:val="single" w:sz="4" w:space="0" w:color="auto"/>
              <w:right w:val="single" w:sz="4" w:space="0" w:color="auto"/>
            </w:tcBorders>
            <w:vAlign w:val="center"/>
          </w:tcPr>
          <w:p w:rsidR="00BC36F9" w:rsidRDefault="0030070B">
            <w:pPr>
              <w:widowControl/>
              <w:rPr>
                <w:color w:val="000000"/>
                <w:szCs w:val="21"/>
              </w:rPr>
            </w:pPr>
            <w:r>
              <w:rPr>
                <w:rFonts w:ascii="宋体" w:cs="宋体" w:hint="eastAsia"/>
                <w:color w:val="000000"/>
                <w:szCs w:val="21"/>
              </w:rPr>
              <w:t>填妥的《开放式基金投资者风险承受能力调查问卷</w:t>
            </w:r>
            <w:r>
              <w:rPr>
                <w:rFonts w:hint="eastAsia"/>
                <w:color w:val="000000"/>
                <w:szCs w:val="21"/>
              </w:rPr>
              <w:t>(</w:t>
            </w:r>
            <w:r>
              <w:rPr>
                <w:rFonts w:ascii="宋体" w:cs="宋体" w:hint="eastAsia"/>
                <w:color w:val="000000"/>
                <w:szCs w:val="21"/>
              </w:rPr>
              <w:t>机构、产品版</w:t>
            </w:r>
            <w:r>
              <w:rPr>
                <w:rFonts w:hint="eastAsia"/>
                <w:color w:val="000000"/>
                <w:szCs w:val="21"/>
              </w:rPr>
              <w:t>)</w:t>
            </w:r>
            <w:r>
              <w:rPr>
                <w:rFonts w:ascii="宋体" w:cs="宋体" w:hint="eastAsia"/>
                <w:color w:val="000000"/>
                <w:szCs w:val="21"/>
              </w:rPr>
              <w:t>》</w:t>
            </w:r>
          </w:p>
        </w:tc>
        <w:tc>
          <w:tcPr>
            <w:tcW w:w="2878" w:type="dxa"/>
            <w:tcBorders>
              <w:top w:val="nil"/>
              <w:left w:val="nil"/>
              <w:bottom w:val="single" w:sz="4" w:space="0" w:color="auto"/>
              <w:right w:val="single" w:sz="4" w:space="0" w:color="auto"/>
            </w:tcBorders>
            <w:vAlign w:val="center"/>
          </w:tcPr>
          <w:p w:rsidR="00BC36F9" w:rsidRDefault="0030070B">
            <w:pPr>
              <w:widowControl/>
              <w:jc w:val="left"/>
              <w:rPr>
                <w:color w:val="000000"/>
                <w:szCs w:val="21"/>
              </w:rPr>
            </w:pPr>
            <w:r>
              <w:rPr>
                <w:rFonts w:ascii="宋体" w:cs="宋体" w:hint="eastAsia"/>
                <w:color w:val="000000"/>
                <w:szCs w:val="21"/>
              </w:rPr>
              <w:t>加盖单位公章</w:t>
            </w:r>
          </w:p>
        </w:tc>
        <w:tc>
          <w:tcPr>
            <w:tcW w:w="427" w:type="dxa"/>
            <w:tcBorders>
              <w:top w:val="nil"/>
              <w:left w:val="nil"/>
              <w:bottom w:val="single" w:sz="4" w:space="0" w:color="auto"/>
              <w:right w:val="single" w:sz="4" w:space="0" w:color="auto"/>
            </w:tcBorders>
            <w:vAlign w:val="center"/>
          </w:tcPr>
          <w:p w:rsidR="00BC36F9" w:rsidRDefault="0030070B">
            <w:pPr>
              <w:widowControl/>
              <w:jc w:val="center"/>
              <w:rPr>
                <w:color w:val="000000"/>
                <w:szCs w:val="21"/>
              </w:rPr>
            </w:pPr>
            <w:r>
              <w:rPr>
                <w:rFonts w:hint="eastAsia"/>
                <w:color w:val="000000"/>
                <w:szCs w:val="21"/>
              </w:rPr>
              <w:t>2</w:t>
            </w:r>
          </w:p>
        </w:tc>
      </w:tr>
      <w:tr w:rsidR="00BC36F9">
        <w:trPr>
          <w:trHeight w:val="855"/>
        </w:trPr>
        <w:tc>
          <w:tcPr>
            <w:tcW w:w="427" w:type="dxa"/>
            <w:tcBorders>
              <w:top w:val="nil"/>
              <w:left w:val="single" w:sz="4" w:space="0" w:color="auto"/>
              <w:bottom w:val="single" w:sz="4" w:space="0" w:color="auto"/>
              <w:right w:val="single" w:sz="4" w:space="0" w:color="auto"/>
            </w:tcBorders>
            <w:vAlign w:val="center"/>
          </w:tcPr>
          <w:p w:rsidR="00BC36F9" w:rsidRDefault="0030070B">
            <w:pPr>
              <w:widowControl/>
              <w:jc w:val="center"/>
              <w:rPr>
                <w:color w:val="000000"/>
                <w:szCs w:val="21"/>
              </w:rPr>
            </w:pPr>
            <w:r>
              <w:rPr>
                <w:rFonts w:hint="eastAsia"/>
                <w:color w:val="000000"/>
                <w:szCs w:val="21"/>
              </w:rPr>
              <w:t>7</w:t>
            </w:r>
          </w:p>
        </w:tc>
        <w:tc>
          <w:tcPr>
            <w:tcW w:w="833" w:type="dxa"/>
            <w:vMerge/>
            <w:tcBorders>
              <w:top w:val="nil"/>
              <w:left w:val="single" w:sz="4" w:space="0" w:color="auto"/>
              <w:bottom w:val="single" w:sz="4" w:space="0" w:color="auto"/>
              <w:right w:val="single" w:sz="4" w:space="0" w:color="auto"/>
            </w:tcBorders>
            <w:vAlign w:val="center"/>
          </w:tcPr>
          <w:p w:rsidR="00BC36F9" w:rsidRDefault="00BC36F9"/>
        </w:tc>
        <w:tc>
          <w:tcPr>
            <w:tcW w:w="3957" w:type="dxa"/>
            <w:tcBorders>
              <w:top w:val="nil"/>
              <w:left w:val="nil"/>
              <w:bottom w:val="single" w:sz="4" w:space="0" w:color="auto"/>
              <w:right w:val="single" w:sz="4" w:space="0" w:color="auto"/>
            </w:tcBorders>
            <w:vAlign w:val="center"/>
          </w:tcPr>
          <w:p w:rsidR="00BC36F9" w:rsidRDefault="0030070B">
            <w:pPr>
              <w:widowControl/>
              <w:rPr>
                <w:color w:val="000000"/>
                <w:szCs w:val="21"/>
              </w:rPr>
            </w:pPr>
            <w:r>
              <w:rPr>
                <w:rFonts w:ascii="宋体" w:cs="宋体" w:hint="eastAsia"/>
                <w:color w:val="000000"/>
                <w:szCs w:val="21"/>
              </w:rPr>
              <w:t>填妥的《针对开放式基金开户名称与银行账户名称不一致的情况说明</w:t>
            </w:r>
            <w:r>
              <w:rPr>
                <w:rFonts w:hint="eastAsia"/>
                <w:color w:val="000000"/>
                <w:szCs w:val="21"/>
              </w:rPr>
              <w:t>(</w:t>
            </w:r>
            <w:r>
              <w:rPr>
                <w:rFonts w:ascii="宋体" w:cs="宋体" w:hint="eastAsia"/>
                <w:color w:val="000000"/>
                <w:szCs w:val="21"/>
              </w:rPr>
              <w:t>机构、产品版</w:t>
            </w:r>
            <w:r>
              <w:rPr>
                <w:rFonts w:hint="eastAsia"/>
                <w:color w:val="000000"/>
                <w:szCs w:val="21"/>
              </w:rPr>
              <w:t>)</w:t>
            </w:r>
            <w:r>
              <w:rPr>
                <w:rFonts w:ascii="宋体" w:cs="宋体" w:hint="eastAsia"/>
                <w:color w:val="000000"/>
                <w:szCs w:val="21"/>
              </w:rPr>
              <w:t>》</w:t>
            </w:r>
          </w:p>
        </w:tc>
        <w:tc>
          <w:tcPr>
            <w:tcW w:w="2878" w:type="dxa"/>
            <w:tcBorders>
              <w:top w:val="nil"/>
              <w:left w:val="nil"/>
              <w:bottom w:val="single" w:sz="4" w:space="0" w:color="auto"/>
              <w:right w:val="single" w:sz="4" w:space="0" w:color="auto"/>
            </w:tcBorders>
            <w:vAlign w:val="center"/>
          </w:tcPr>
          <w:p w:rsidR="00BC36F9" w:rsidRDefault="0030070B">
            <w:pPr>
              <w:widowControl/>
              <w:jc w:val="left"/>
              <w:rPr>
                <w:color w:val="000000"/>
                <w:szCs w:val="21"/>
              </w:rPr>
            </w:pPr>
            <w:r>
              <w:rPr>
                <w:rFonts w:ascii="宋体" w:cs="宋体" w:hint="eastAsia"/>
                <w:color w:val="000000"/>
                <w:szCs w:val="21"/>
              </w:rPr>
              <w:t>如有，请提供；并加盖单位公章</w:t>
            </w:r>
          </w:p>
        </w:tc>
        <w:tc>
          <w:tcPr>
            <w:tcW w:w="427" w:type="dxa"/>
            <w:tcBorders>
              <w:top w:val="nil"/>
              <w:left w:val="nil"/>
              <w:bottom w:val="single" w:sz="4" w:space="0" w:color="auto"/>
              <w:right w:val="single" w:sz="4" w:space="0" w:color="auto"/>
            </w:tcBorders>
            <w:vAlign w:val="center"/>
          </w:tcPr>
          <w:p w:rsidR="00BC36F9" w:rsidRDefault="0030070B">
            <w:pPr>
              <w:widowControl/>
              <w:jc w:val="center"/>
              <w:rPr>
                <w:color w:val="000000"/>
                <w:szCs w:val="21"/>
              </w:rPr>
            </w:pPr>
            <w:r>
              <w:rPr>
                <w:rFonts w:hint="eastAsia"/>
                <w:color w:val="000000"/>
                <w:szCs w:val="21"/>
              </w:rPr>
              <w:t>2</w:t>
            </w:r>
          </w:p>
        </w:tc>
      </w:tr>
      <w:tr w:rsidR="00BC36F9">
        <w:trPr>
          <w:trHeight w:val="2280"/>
        </w:trPr>
        <w:tc>
          <w:tcPr>
            <w:tcW w:w="427" w:type="dxa"/>
            <w:tcBorders>
              <w:top w:val="nil"/>
              <w:left w:val="single" w:sz="4" w:space="0" w:color="auto"/>
              <w:bottom w:val="single" w:sz="4" w:space="0" w:color="auto"/>
              <w:right w:val="single" w:sz="4" w:space="0" w:color="auto"/>
            </w:tcBorders>
            <w:vAlign w:val="center"/>
          </w:tcPr>
          <w:p w:rsidR="00BC36F9" w:rsidRDefault="0030070B">
            <w:pPr>
              <w:widowControl/>
              <w:jc w:val="center"/>
              <w:rPr>
                <w:color w:val="000000"/>
                <w:szCs w:val="21"/>
              </w:rPr>
            </w:pPr>
            <w:r>
              <w:rPr>
                <w:rFonts w:hint="eastAsia"/>
                <w:color w:val="000000"/>
                <w:szCs w:val="21"/>
              </w:rPr>
              <w:t>8</w:t>
            </w:r>
          </w:p>
        </w:tc>
        <w:tc>
          <w:tcPr>
            <w:tcW w:w="833" w:type="dxa"/>
            <w:vMerge/>
            <w:tcBorders>
              <w:top w:val="nil"/>
              <w:left w:val="single" w:sz="4" w:space="0" w:color="auto"/>
              <w:bottom w:val="single" w:sz="4" w:space="0" w:color="auto"/>
              <w:right w:val="single" w:sz="4" w:space="0" w:color="auto"/>
            </w:tcBorders>
            <w:vAlign w:val="center"/>
          </w:tcPr>
          <w:p w:rsidR="00BC36F9" w:rsidRDefault="00BC36F9"/>
        </w:tc>
        <w:tc>
          <w:tcPr>
            <w:tcW w:w="3957" w:type="dxa"/>
            <w:tcBorders>
              <w:top w:val="nil"/>
              <w:left w:val="nil"/>
              <w:bottom w:val="single" w:sz="4" w:space="0" w:color="auto"/>
              <w:right w:val="single" w:sz="4" w:space="0" w:color="auto"/>
            </w:tcBorders>
            <w:vAlign w:val="center"/>
          </w:tcPr>
          <w:p w:rsidR="00BC36F9" w:rsidRDefault="0030070B">
            <w:pPr>
              <w:widowControl/>
              <w:rPr>
                <w:color w:val="000000"/>
                <w:szCs w:val="21"/>
              </w:rPr>
            </w:pPr>
            <w:r>
              <w:rPr>
                <w:rFonts w:ascii="宋体" w:cs="宋体" w:hint="eastAsia"/>
                <w:color w:val="000000"/>
                <w:szCs w:val="21"/>
              </w:rPr>
              <w:t>填妥的《开放式基金账户类业务备案材料申请函》</w:t>
            </w:r>
          </w:p>
        </w:tc>
        <w:tc>
          <w:tcPr>
            <w:tcW w:w="2878" w:type="dxa"/>
            <w:tcBorders>
              <w:top w:val="nil"/>
              <w:left w:val="nil"/>
              <w:bottom w:val="single" w:sz="4" w:space="0" w:color="auto"/>
              <w:right w:val="single" w:sz="4" w:space="0" w:color="auto"/>
            </w:tcBorders>
            <w:vAlign w:val="center"/>
          </w:tcPr>
          <w:p w:rsidR="00BC36F9" w:rsidRDefault="0030070B">
            <w:pPr>
              <w:widowControl/>
              <w:jc w:val="left"/>
              <w:rPr>
                <w:color w:val="000000"/>
                <w:szCs w:val="21"/>
              </w:rPr>
            </w:pPr>
            <w:r>
              <w:rPr>
                <w:rFonts w:ascii="宋体" w:cs="宋体" w:hint="eastAsia"/>
                <w:color w:val="000000"/>
                <w:szCs w:val="21"/>
              </w:rPr>
              <w:t>为避免投资者重复提供相同开户材料，提高开户效率，特提供开户材料备案服务。备案规则主要采取</w:t>
            </w:r>
            <w:r>
              <w:rPr>
                <w:color w:val="000000"/>
                <w:szCs w:val="21"/>
              </w:rPr>
              <w:t>“</w:t>
            </w:r>
            <w:r>
              <w:rPr>
                <w:rFonts w:ascii="宋体" w:cs="宋体" w:hint="eastAsia"/>
                <w:color w:val="000000"/>
                <w:szCs w:val="21"/>
              </w:rPr>
              <w:t>共性资料事先备案、个性资料单独提供</w:t>
            </w:r>
            <w:r>
              <w:rPr>
                <w:color w:val="000000"/>
                <w:szCs w:val="21"/>
              </w:rPr>
              <w:t>”</w:t>
            </w:r>
            <w:r>
              <w:rPr>
                <w:rFonts w:ascii="宋体" w:cs="宋体" w:hint="eastAsia"/>
                <w:color w:val="000000"/>
                <w:szCs w:val="21"/>
              </w:rPr>
              <w:t>的原则进行业务办理。</w:t>
            </w:r>
            <w:r>
              <w:rPr>
                <w:rFonts w:hint="eastAsia"/>
                <w:color w:val="000000"/>
                <w:szCs w:val="21"/>
              </w:rPr>
              <w:t xml:space="preserve">                                                         </w:t>
            </w:r>
            <w:r>
              <w:rPr>
                <w:rFonts w:ascii="宋体" w:cs="宋体" w:hint="eastAsia"/>
                <w:color w:val="000000"/>
                <w:szCs w:val="21"/>
              </w:rPr>
              <w:t>如有需要，请提供；并加盖单位公章</w:t>
            </w:r>
          </w:p>
        </w:tc>
        <w:tc>
          <w:tcPr>
            <w:tcW w:w="427" w:type="dxa"/>
            <w:tcBorders>
              <w:top w:val="nil"/>
              <w:left w:val="nil"/>
              <w:bottom w:val="single" w:sz="4" w:space="0" w:color="auto"/>
              <w:right w:val="single" w:sz="4" w:space="0" w:color="auto"/>
            </w:tcBorders>
            <w:vAlign w:val="center"/>
          </w:tcPr>
          <w:p w:rsidR="00BC36F9" w:rsidRDefault="0030070B">
            <w:pPr>
              <w:widowControl/>
              <w:jc w:val="center"/>
              <w:rPr>
                <w:color w:val="000000"/>
                <w:szCs w:val="21"/>
              </w:rPr>
            </w:pPr>
            <w:r>
              <w:rPr>
                <w:rFonts w:hint="eastAsia"/>
                <w:color w:val="000000"/>
                <w:szCs w:val="21"/>
              </w:rPr>
              <w:t>2</w:t>
            </w:r>
          </w:p>
        </w:tc>
      </w:tr>
      <w:tr w:rsidR="00BC36F9">
        <w:trPr>
          <w:trHeight w:val="570"/>
        </w:trPr>
        <w:tc>
          <w:tcPr>
            <w:tcW w:w="427" w:type="dxa"/>
            <w:tcBorders>
              <w:top w:val="nil"/>
              <w:left w:val="single" w:sz="4" w:space="0" w:color="auto"/>
              <w:bottom w:val="single" w:sz="4" w:space="0" w:color="auto"/>
              <w:right w:val="single" w:sz="4" w:space="0" w:color="auto"/>
            </w:tcBorders>
            <w:vAlign w:val="center"/>
          </w:tcPr>
          <w:p w:rsidR="00BC36F9" w:rsidRDefault="0030070B">
            <w:pPr>
              <w:widowControl/>
              <w:jc w:val="center"/>
              <w:rPr>
                <w:color w:val="000000"/>
                <w:szCs w:val="21"/>
              </w:rPr>
            </w:pPr>
            <w:r>
              <w:rPr>
                <w:rFonts w:hint="eastAsia"/>
                <w:color w:val="000000"/>
                <w:szCs w:val="21"/>
              </w:rPr>
              <w:t>9</w:t>
            </w:r>
          </w:p>
        </w:tc>
        <w:tc>
          <w:tcPr>
            <w:tcW w:w="833" w:type="dxa"/>
            <w:vMerge/>
            <w:tcBorders>
              <w:top w:val="nil"/>
              <w:left w:val="single" w:sz="4" w:space="0" w:color="auto"/>
              <w:bottom w:val="single" w:sz="4" w:space="0" w:color="auto"/>
              <w:right w:val="single" w:sz="4" w:space="0" w:color="auto"/>
            </w:tcBorders>
            <w:vAlign w:val="center"/>
          </w:tcPr>
          <w:p w:rsidR="00BC36F9" w:rsidRDefault="00BC36F9"/>
        </w:tc>
        <w:tc>
          <w:tcPr>
            <w:tcW w:w="3957" w:type="dxa"/>
            <w:tcBorders>
              <w:top w:val="nil"/>
              <w:left w:val="nil"/>
              <w:bottom w:val="single" w:sz="4" w:space="0" w:color="auto"/>
              <w:right w:val="single" w:sz="4" w:space="0" w:color="auto"/>
            </w:tcBorders>
            <w:vAlign w:val="center"/>
          </w:tcPr>
          <w:p w:rsidR="00BC36F9" w:rsidRDefault="0030070B">
            <w:pPr>
              <w:widowControl/>
              <w:rPr>
                <w:color w:val="000000"/>
                <w:szCs w:val="21"/>
              </w:rPr>
            </w:pPr>
            <w:r>
              <w:rPr>
                <w:rFonts w:ascii="宋体" w:cs="宋体" w:hint="eastAsia"/>
                <w:color w:val="000000"/>
                <w:szCs w:val="21"/>
              </w:rPr>
              <w:t>填妥的《机构税收居民身份声明文件》</w:t>
            </w:r>
          </w:p>
        </w:tc>
        <w:tc>
          <w:tcPr>
            <w:tcW w:w="2878" w:type="dxa"/>
            <w:tcBorders>
              <w:top w:val="nil"/>
              <w:left w:val="nil"/>
              <w:bottom w:val="single" w:sz="4" w:space="0" w:color="auto"/>
              <w:right w:val="single" w:sz="4" w:space="0" w:color="auto"/>
            </w:tcBorders>
            <w:vAlign w:val="center"/>
          </w:tcPr>
          <w:p w:rsidR="00BC36F9" w:rsidRDefault="0030070B">
            <w:pPr>
              <w:widowControl/>
              <w:jc w:val="left"/>
              <w:rPr>
                <w:color w:val="000000"/>
                <w:szCs w:val="21"/>
              </w:rPr>
            </w:pPr>
            <w:r>
              <w:rPr>
                <w:rFonts w:ascii="宋体" w:cs="宋体" w:hint="eastAsia"/>
                <w:color w:val="000000"/>
                <w:szCs w:val="21"/>
              </w:rPr>
              <w:t>非金融机构填写，并加盖单位公章、经办人签字</w:t>
            </w:r>
          </w:p>
        </w:tc>
        <w:tc>
          <w:tcPr>
            <w:tcW w:w="427" w:type="dxa"/>
            <w:tcBorders>
              <w:top w:val="nil"/>
              <w:left w:val="nil"/>
              <w:bottom w:val="single" w:sz="4" w:space="0" w:color="auto"/>
              <w:right w:val="single" w:sz="4" w:space="0" w:color="auto"/>
            </w:tcBorders>
            <w:vAlign w:val="center"/>
          </w:tcPr>
          <w:p w:rsidR="00BC36F9" w:rsidRDefault="0030070B">
            <w:pPr>
              <w:widowControl/>
              <w:jc w:val="center"/>
              <w:rPr>
                <w:color w:val="000000"/>
                <w:szCs w:val="21"/>
              </w:rPr>
            </w:pPr>
            <w:r>
              <w:rPr>
                <w:rFonts w:hint="eastAsia"/>
                <w:color w:val="000000"/>
                <w:szCs w:val="21"/>
              </w:rPr>
              <w:t>2</w:t>
            </w:r>
          </w:p>
        </w:tc>
      </w:tr>
      <w:tr w:rsidR="00BC36F9">
        <w:trPr>
          <w:trHeight w:val="570"/>
        </w:trPr>
        <w:tc>
          <w:tcPr>
            <w:tcW w:w="427" w:type="dxa"/>
            <w:tcBorders>
              <w:top w:val="nil"/>
              <w:left w:val="single" w:sz="4" w:space="0" w:color="auto"/>
              <w:bottom w:val="single" w:sz="4" w:space="0" w:color="auto"/>
              <w:right w:val="single" w:sz="4" w:space="0" w:color="auto"/>
            </w:tcBorders>
            <w:vAlign w:val="center"/>
          </w:tcPr>
          <w:p w:rsidR="00BC36F9" w:rsidRDefault="0030070B">
            <w:pPr>
              <w:widowControl/>
              <w:jc w:val="center"/>
              <w:rPr>
                <w:color w:val="000000"/>
                <w:szCs w:val="21"/>
              </w:rPr>
            </w:pPr>
            <w:r>
              <w:rPr>
                <w:rFonts w:hint="eastAsia"/>
                <w:color w:val="000000"/>
                <w:szCs w:val="21"/>
              </w:rPr>
              <w:t>10</w:t>
            </w:r>
          </w:p>
        </w:tc>
        <w:tc>
          <w:tcPr>
            <w:tcW w:w="833" w:type="dxa"/>
            <w:vMerge/>
            <w:tcBorders>
              <w:top w:val="nil"/>
              <w:left w:val="single" w:sz="4" w:space="0" w:color="auto"/>
              <w:bottom w:val="single" w:sz="4" w:space="0" w:color="auto"/>
              <w:right w:val="single" w:sz="4" w:space="0" w:color="auto"/>
            </w:tcBorders>
            <w:vAlign w:val="center"/>
          </w:tcPr>
          <w:p w:rsidR="00BC36F9" w:rsidRDefault="00BC36F9"/>
        </w:tc>
        <w:tc>
          <w:tcPr>
            <w:tcW w:w="3957" w:type="dxa"/>
            <w:tcBorders>
              <w:top w:val="nil"/>
              <w:left w:val="nil"/>
              <w:bottom w:val="single" w:sz="4" w:space="0" w:color="auto"/>
              <w:right w:val="single" w:sz="4" w:space="0" w:color="auto"/>
            </w:tcBorders>
            <w:vAlign w:val="center"/>
          </w:tcPr>
          <w:p w:rsidR="00BC36F9" w:rsidRDefault="0030070B">
            <w:pPr>
              <w:widowControl/>
              <w:rPr>
                <w:color w:val="000000"/>
                <w:szCs w:val="21"/>
              </w:rPr>
            </w:pPr>
            <w:r>
              <w:rPr>
                <w:rFonts w:ascii="宋体" w:cs="宋体" w:hint="eastAsia"/>
                <w:color w:val="000000"/>
                <w:szCs w:val="21"/>
              </w:rPr>
              <w:t>填妥的《控制人税收居民身份声明文件》</w:t>
            </w:r>
          </w:p>
        </w:tc>
        <w:tc>
          <w:tcPr>
            <w:tcW w:w="2878" w:type="dxa"/>
            <w:tcBorders>
              <w:top w:val="nil"/>
              <w:left w:val="nil"/>
              <w:bottom w:val="single" w:sz="4" w:space="0" w:color="auto"/>
              <w:right w:val="single" w:sz="4" w:space="0" w:color="auto"/>
            </w:tcBorders>
            <w:vAlign w:val="center"/>
          </w:tcPr>
          <w:p w:rsidR="00BC36F9" w:rsidRDefault="0030070B">
            <w:pPr>
              <w:widowControl/>
              <w:jc w:val="left"/>
              <w:rPr>
                <w:color w:val="000000"/>
                <w:szCs w:val="21"/>
              </w:rPr>
            </w:pPr>
            <w:r>
              <w:rPr>
                <w:rFonts w:ascii="宋体" w:cs="宋体" w:hint="eastAsia"/>
                <w:color w:val="000000"/>
                <w:szCs w:val="21"/>
              </w:rPr>
              <w:t>涉及时，请提供</w:t>
            </w:r>
          </w:p>
        </w:tc>
        <w:tc>
          <w:tcPr>
            <w:tcW w:w="427" w:type="dxa"/>
            <w:tcBorders>
              <w:top w:val="nil"/>
              <w:left w:val="nil"/>
              <w:bottom w:val="single" w:sz="4" w:space="0" w:color="auto"/>
              <w:right w:val="single" w:sz="4" w:space="0" w:color="auto"/>
            </w:tcBorders>
            <w:vAlign w:val="center"/>
          </w:tcPr>
          <w:p w:rsidR="00BC36F9" w:rsidRDefault="0030070B">
            <w:pPr>
              <w:widowControl/>
              <w:jc w:val="center"/>
              <w:rPr>
                <w:color w:val="000000"/>
                <w:szCs w:val="21"/>
              </w:rPr>
            </w:pPr>
            <w:r>
              <w:rPr>
                <w:rFonts w:hint="eastAsia"/>
                <w:color w:val="000000"/>
                <w:szCs w:val="21"/>
              </w:rPr>
              <w:t>2</w:t>
            </w:r>
          </w:p>
        </w:tc>
      </w:tr>
      <w:tr w:rsidR="00BC36F9">
        <w:trPr>
          <w:trHeight w:val="570"/>
        </w:trPr>
        <w:tc>
          <w:tcPr>
            <w:tcW w:w="427" w:type="dxa"/>
            <w:tcBorders>
              <w:top w:val="nil"/>
              <w:left w:val="single" w:sz="4" w:space="0" w:color="auto"/>
              <w:bottom w:val="single" w:sz="4" w:space="0" w:color="auto"/>
              <w:right w:val="single" w:sz="4" w:space="0" w:color="auto"/>
            </w:tcBorders>
            <w:vAlign w:val="center"/>
          </w:tcPr>
          <w:p w:rsidR="00BC36F9" w:rsidRDefault="0030070B">
            <w:pPr>
              <w:widowControl/>
              <w:jc w:val="center"/>
              <w:rPr>
                <w:color w:val="000000"/>
                <w:szCs w:val="21"/>
              </w:rPr>
            </w:pPr>
            <w:r>
              <w:rPr>
                <w:rFonts w:hint="eastAsia"/>
                <w:color w:val="000000"/>
                <w:szCs w:val="21"/>
              </w:rPr>
              <w:t>11</w:t>
            </w:r>
          </w:p>
        </w:tc>
        <w:tc>
          <w:tcPr>
            <w:tcW w:w="833" w:type="dxa"/>
            <w:tcBorders>
              <w:top w:val="nil"/>
              <w:left w:val="single" w:sz="4" w:space="0" w:color="auto"/>
              <w:bottom w:val="single" w:sz="4" w:space="0" w:color="auto"/>
              <w:right w:val="single" w:sz="4" w:space="0" w:color="auto"/>
            </w:tcBorders>
            <w:vAlign w:val="center"/>
          </w:tcPr>
          <w:p w:rsidR="00BC36F9" w:rsidRDefault="00BC36F9">
            <w:pPr>
              <w:widowControl/>
              <w:rPr>
                <w:b/>
                <w:bCs/>
                <w:color w:val="000000"/>
                <w:szCs w:val="21"/>
              </w:rPr>
            </w:pPr>
          </w:p>
        </w:tc>
        <w:tc>
          <w:tcPr>
            <w:tcW w:w="3957" w:type="dxa"/>
            <w:tcBorders>
              <w:top w:val="nil"/>
              <w:left w:val="nil"/>
              <w:bottom w:val="single" w:sz="4" w:space="0" w:color="auto"/>
              <w:right w:val="single" w:sz="4" w:space="0" w:color="auto"/>
            </w:tcBorders>
            <w:vAlign w:val="center"/>
          </w:tcPr>
          <w:p w:rsidR="00BC36F9" w:rsidRDefault="0030070B">
            <w:pPr>
              <w:widowControl/>
              <w:rPr>
                <w:rFonts w:ascii="宋体" w:cs="宋体"/>
                <w:color w:val="000000"/>
                <w:szCs w:val="21"/>
              </w:rPr>
            </w:pPr>
            <w:r>
              <w:rPr>
                <w:rFonts w:ascii="宋体" w:cs="宋体" w:hint="eastAsia"/>
                <w:color w:val="000000"/>
                <w:szCs w:val="21"/>
              </w:rPr>
              <w:t>填妥的《非自然人客户受益所有人信息登记表》</w:t>
            </w:r>
          </w:p>
        </w:tc>
        <w:tc>
          <w:tcPr>
            <w:tcW w:w="2878" w:type="dxa"/>
            <w:tcBorders>
              <w:top w:val="nil"/>
              <w:left w:val="nil"/>
              <w:bottom w:val="single" w:sz="4" w:space="0" w:color="auto"/>
              <w:right w:val="single" w:sz="4" w:space="0" w:color="auto"/>
            </w:tcBorders>
            <w:vAlign w:val="center"/>
          </w:tcPr>
          <w:p w:rsidR="00BC36F9" w:rsidRDefault="0030070B">
            <w:pPr>
              <w:widowControl/>
              <w:jc w:val="left"/>
              <w:rPr>
                <w:rFonts w:ascii="宋体" w:cs="宋体"/>
                <w:color w:val="000000"/>
                <w:szCs w:val="21"/>
              </w:rPr>
            </w:pPr>
            <w:r>
              <w:rPr>
                <w:rFonts w:ascii="宋体" w:cs="宋体" w:hint="eastAsia"/>
                <w:color w:val="000000"/>
                <w:szCs w:val="21"/>
              </w:rPr>
              <w:t>加盖单位公章</w:t>
            </w:r>
          </w:p>
        </w:tc>
        <w:tc>
          <w:tcPr>
            <w:tcW w:w="427" w:type="dxa"/>
            <w:tcBorders>
              <w:top w:val="nil"/>
              <w:left w:val="nil"/>
              <w:bottom w:val="single" w:sz="4" w:space="0" w:color="auto"/>
              <w:right w:val="single" w:sz="4" w:space="0" w:color="auto"/>
            </w:tcBorders>
            <w:vAlign w:val="center"/>
          </w:tcPr>
          <w:p w:rsidR="00BC36F9" w:rsidRDefault="0030070B">
            <w:pPr>
              <w:widowControl/>
              <w:jc w:val="center"/>
              <w:rPr>
                <w:color w:val="000000"/>
                <w:szCs w:val="21"/>
              </w:rPr>
            </w:pPr>
            <w:r>
              <w:rPr>
                <w:rFonts w:hint="eastAsia"/>
                <w:color w:val="000000"/>
                <w:szCs w:val="21"/>
              </w:rPr>
              <w:t>2</w:t>
            </w:r>
          </w:p>
        </w:tc>
      </w:tr>
      <w:tr w:rsidR="00BC36F9">
        <w:trPr>
          <w:trHeight w:val="1710"/>
        </w:trPr>
        <w:tc>
          <w:tcPr>
            <w:tcW w:w="427" w:type="dxa"/>
            <w:tcBorders>
              <w:top w:val="nil"/>
              <w:left w:val="single" w:sz="4" w:space="0" w:color="auto"/>
              <w:bottom w:val="single" w:sz="4" w:space="0" w:color="auto"/>
              <w:right w:val="single" w:sz="4" w:space="0" w:color="auto"/>
            </w:tcBorders>
            <w:vAlign w:val="center"/>
          </w:tcPr>
          <w:p w:rsidR="00BC36F9" w:rsidRDefault="0030070B">
            <w:pPr>
              <w:widowControl/>
              <w:jc w:val="center"/>
              <w:rPr>
                <w:color w:val="000000"/>
                <w:szCs w:val="21"/>
              </w:rPr>
            </w:pPr>
            <w:r>
              <w:rPr>
                <w:rFonts w:hint="eastAsia"/>
                <w:color w:val="000000"/>
                <w:szCs w:val="21"/>
              </w:rPr>
              <w:t>1</w:t>
            </w:r>
          </w:p>
        </w:tc>
        <w:tc>
          <w:tcPr>
            <w:tcW w:w="833" w:type="dxa"/>
            <w:vMerge w:val="restart"/>
            <w:tcBorders>
              <w:top w:val="nil"/>
              <w:left w:val="single" w:sz="4" w:space="0" w:color="auto"/>
              <w:bottom w:val="single" w:sz="4" w:space="0" w:color="auto"/>
              <w:right w:val="single" w:sz="4" w:space="0" w:color="auto"/>
            </w:tcBorders>
            <w:vAlign w:val="center"/>
          </w:tcPr>
          <w:p w:rsidR="00BC36F9" w:rsidRDefault="0030070B">
            <w:pPr>
              <w:widowControl/>
              <w:jc w:val="center"/>
              <w:rPr>
                <w:b/>
                <w:bCs/>
                <w:color w:val="000000"/>
                <w:szCs w:val="21"/>
              </w:rPr>
            </w:pPr>
            <w:r>
              <w:rPr>
                <w:rFonts w:ascii="宋体" w:cs="宋体" w:hint="eastAsia"/>
                <w:b/>
                <w:bCs/>
                <w:color w:val="000000"/>
                <w:szCs w:val="21"/>
              </w:rPr>
              <w:t>合同或批复函</w:t>
            </w:r>
          </w:p>
        </w:tc>
        <w:tc>
          <w:tcPr>
            <w:tcW w:w="3957" w:type="dxa"/>
            <w:tcBorders>
              <w:top w:val="nil"/>
              <w:left w:val="nil"/>
              <w:bottom w:val="single" w:sz="4" w:space="0" w:color="auto"/>
              <w:right w:val="single" w:sz="4" w:space="0" w:color="auto"/>
            </w:tcBorders>
            <w:vAlign w:val="center"/>
          </w:tcPr>
          <w:p w:rsidR="00BC36F9" w:rsidRDefault="0030070B">
            <w:pPr>
              <w:widowControl/>
              <w:rPr>
                <w:color w:val="000000"/>
                <w:szCs w:val="21"/>
              </w:rPr>
            </w:pPr>
            <w:r>
              <w:rPr>
                <w:rFonts w:ascii="宋体" w:cs="宋体" w:hint="eastAsia"/>
                <w:color w:val="000000"/>
                <w:szCs w:val="21"/>
              </w:rPr>
              <w:t>若以证券公司、基金公司等资产管理计划名义开立基金账户，需提供加盖单位公章的资产管理合同首末页的复印件或提供加盖单位公章的向中国证监会报备的书面文件材料或相关证明文件的复印件</w:t>
            </w:r>
          </w:p>
        </w:tc>
        <w:tc>
          <w:tcPr>
            <w:tcW w:w="2878" w:type="dxa"/>
            <w:vMerge w:val="restart"/>
            <w:tcBorders>
              <w:top w:val="nil"/>
              <w:left w:val="single" w:sz="4" w:space="0" w:color="auto"/>
              <w:bottom w:val="single" w:sz="4" w:space="0" w:color="auto"/>
              <w:right w:val="single" w:sz="4" w:space="0" w:color="auto"/>
            </w:tcBorders>
            <w:vAlign w:val="center"/>
          </w:tcPr>
          <w:p w:rsidR="00BC36F9" w:rsidRDefault="0030070B">
            <w:pPr>
              <w:widowControl/>
              <w:jc w:val="left"/>
              <w:rPr>
                <w:color w:val="000000"/>
                <w:szCs w:val="21"/>
              </w:rPr>
            </w:pPr>
            <w:r>
              <w:rPr>
                <w:rFonts w:ascii="宋体" w:cs="宋体" w:hint="eastAsia"/>
                <w:color w:val="000000"/>
                <w:szCs w:val="21"/>
              </w:rPr>
              <w:t>涉及时，请按要求提供</w:t>
            </w:r>
          </w:p>
        </w:tc>
        <w:tc>
          <w:tcPr>
            <w:tcW w:w="427" w:type="dxa"/>
            <w:tcBorders>
              <w:top w:val="nil"/>
              <w:left w:val="nil"/>
              <w:bottom w:val="single" w:sz="4" w:space="0" w:color="auto"/>
              <w:right w:val="single" w:sz="4" w:space="0" w:color="auto"/>
            </w:tcBorders>
            <w:vAlign w:val="center"/>
          </w:tcPr>
          <w:p w:rsidR="00BC36F9" w:rsidRDefault="0030070B">
            <w:pPr>
              <w:widowControl/>
              <w:jc w:val="center"/>
              <w:rPr>
                <w:color w:val="000000"/>
                <w:szCs w:val="21"/>
              </w:rPr>
            </w:pPr>
            <w:r>
              <w:rPr>
                <w:rFonts w:hint="eastAsia"/>
                <w:color w:val="000000"/>
                <w:szCs w:val="21"/>
              </w:rPr>
              <w:t>1</w:t>
            </w:r>
          </w:p>
        </w:tc>
      </w:tr>
      <w:tr w:rsidR="00BC36F9">
        <w:trPr>
          <w:trHeight w:val="1140"/>
        </w:trPr>
        <w:tc>
          <w:tcPr>
            <w:tcW w:w="427" w:type="dxa"/>
            <w:tcBorders>
              <w:top w:val="nil"/>
              <w:left w:val="single" w:sz="4" w:space="0" w:color="auto"/>
              <w:bottom w:val="single" w:sz="4" w:space="0" w:color="auto"/>
              <w:right w:val="single" w:sz="4" w:space="0" w:color="auto"/>
            </w:tcBorders>
            <w:vAlign w:val="center"/>
          </w:tcPr>
          <w:p w:rsidR="00BC36F9" w:rsidRDefault="0030070B">
            <w:pPr>
              <w:widowControl/>
              <w:jc w:val="center"/>
              <w:rPr>
                <w:color w:val="000000"/>
                <w:szCs w:val="21"/>
              </w:rPr>
            </w:pPr>
            <w:r>
              <w:rPr>
                <w:rFonts w:hint="eastAsia"/>
                <w:color w:val="000000"/>
                <w:szCs w:val="21"/>
              </w:rPr>
              <w:t>2</w:t>
            </w:r>
          </w:p>
        </w:tc>
        <w:tc>
          <w:tcPr>
            <w:tcW w:w="833" w:type="dxa"/>
            <w:vMerge/>
            <w:tcBorders>
              <w:top w:val="nil"/>
              <w:left w:val="single" w:sz="4" w:space="0" w:color="auto"/>
              <w:bottom w:val="single" w:sz="4" w:space="0" w:color="auto"/>
              <w:right w:val="single" w:sz="4" w:space="0" w:color="auto"/>
            </w:tcBorders>
            <w:vAlign w:val="center"/>
          </w:tcPr>
          <w:p w:rsidR="00BC36F9" w:rsidRDefault="00BC36F9"/>
        </w:tc>
        <w:tc>
          <w:tcPr>
            <w:tcW w:w="3957" w:type="dxa"/>
            <w:tcBorders>
              <w:top w:val="nil"/>
              <w:left w:val="nil"/>
              <w:bottom w:val="single" w:sz="4" w:space="0" w:color="auto"/>
              <w:right w:val="single" w:sz="4" w:space="0" w:color="auto"/>
            </w:tcBorders>
            <w:vAlign w:val="center"/>
          </w:tcPr>
          <w:p w:rsidR="00BC36F9" w:rsidRDefault="0030070B">
            <w:pPr>
              <w:widowControl/>
              <w:rPr>
                <w:color w:val="000000"/>
                <w:szCs w:val="21"/>
              </w:rPr>
            </w:pPr>
            <w:r>
              <w:rPr>
                <w:rFonts w:ascii="宋体" w:cs="宋体" w:hint="eastAsia"/>
                <w:color w:val="000000"/>
                <w:szCs w:val="21"/>
              </w:rPr>
              <w:t>若以信托公司设立某信托产品开立基金账户需提供加盖信托公司公章的该信托产品的设立证明文件（合同首末页或其他书面文件）的复印件</w:t>
            </w:r>
          </w:p>
        </w:tc>
        <w:tc>
          <w:tcPr>
            <w:tcW w:w="2878" w:type="dxa"/>
            <w:vMerge/>
            <w:tcBorders>
              <w:top w:val="nil"/>
              <w:left w:val="single" w:sz="4" w:space="0" w:color="auto"/>
              <w:bottom w:val="single" w:sz="4" w:space="0" w:color="auto"/>
              <w:right w:val="single" w:sz="4" w:space="0" w:color="auto"/>
            </w:tcBorders>
            <w:vAlign w:val="center"/>
          </w:tcPr>
          <w:p w:rsidR="00BC36F9" w:rsidRDefault="00BC36F9"/>
        </w:tc>
        <w:tc>
          <w:tcPr>
            <w:tcW w:w="427" w:type="dxa"/>
            <w:tcBorders>
              <w:top w:val="nil"/>
              <w:left w:val="nil"/>
              <w:bottom w:val="single" w:sz="4" w:space="0" w:color="auto"/>
              <w:right w:val="single" w:sz="4" w:space="0" w:color="auto"/>
            </w:tcBorders>
            <w:vAlign w:val="center"/>
          </w:tcPr>
          <w:p w:rsidR="00BC36F9" w:rsidRDefault="0030070B">
            <w:pPr>
              <w:widowControl/>
              <w:jc w:val="center"/>
              <w:rPr>
                <w:color w:val="000000"/>
                <w:szCs w:val="21"/>
              </w:rPr>
            </w:pPr>
            <w:r>
              <w:rPr>
                <w:rFonts w:hint="eastAsia"/>
                <w:color w:val="000000"/>
                <w:szCs w:val="21"/>
              </w:rPr>
              <w:t>1</w:t>
            </w:r>
          </w:p>
        </w:tc>
      </w:tr>
      <w:tr w:rsidR="00BC36F9">
        <w:trPr>
          <w:trHeight w:val="983"/>
        </w:trPr>
        <w:tc>
          <w:tcPr>
            <w:tcW w:w="427" w:type="dxa"/>
            <w:tcBorders>
              <w:top w:val="nil"/>
              <w:left w:val="single" w:sz="4" w:space="0" w:color="auto"/>
              <w:bottom w:val="single" w:sz="4" w:space="0" w:color="auto"/>
              <w:right w:val="single" w:sz="4" w:space="0" w:color="auto"/>
            </w:tcBorders>
            <w:vAlign w:val="center"/>
          </w:tcPr>
          <w:p w:rsidR="00BC36F9" w:rsidRDefault="0030070B">
            <w:pPr>
              <w:widowControl/>
              <w:jc w:val="center"/>
              <w:rPr>
                <w:color w:val="000000"/>
                <w:szCs w:val="21"/>
              </w:rPr>
            </w:pPr>
            <w:r>
              <w:rPr>
                <w:rFonts w:hint="eastAsia"/>
                <w:color w:val="000000"/>
                <w:szCs w:val="21"/>
              </w:rPr>
              <w:t>3</w:t>
            </w:r>
          </w:p>
        </w:tc>
        <w:tc>
          <w:tcPr>
            <w:tcW w:w="833" w:type="dxa"/>
            <w:vMerge/>
            <w:tcBorders>
              <w:top w:val="nil"/>
              <w:left w:val="single" w:sz="4" w:space="0" w:color="auto"/>
              <w:bottom w:val="single" w:sz="4" w:space="0" w:color="auto"/>
              <w:right w:val="single" w:sz="4" w:space="0" w:color="auto"/>
            </w:tcBorders>
            <w:vAlign w:val="center"/>
          </w:tcPr>
          <w:p w:rsidR="00BC36F9" w:rsidRDefault="00BC36F9"/>
        </w:tc>
        <w:tc>
          <w:tcPr>
            <w:tcW w:w="3957" w:type="dxa"/>
            <w:tcBorders>
              <w:top w:val="nil"/>
              <w:left w:val="nil"/>
              <w:bottom w:val="single" w:sz="4" w:space="0" w:color="auto"/>
              <w:right w:val="single" w:sz="4" w:space="0" w:color="auto"/>
            </w:tcBorders>
            <w:vAlign w:val="center"/>
          </w:tcPr>
          <w:p w:rsidR="00BC36F9" w:rsidRDefault="0030070B">
            <w:pPr>
              <w:widowControl/>
              <w:rPr>
                <w:color w:val="000000"/>
                <w:szCs w:val="21"/>
              </w:rPr>
            </w:pPr>
            <w:r>
              <w:rPr>
                <w:rFonts w:ascii="宋体" w:cs="宋体" w:hint="eastAsia"/>
                <w:color w:val="000000"/>
                <w:szCs w:val="21"/>
              </w:rPr>
              <w:t>若以保险公司设立某保险产品开立基金账户需提供加盖单位公章的向</w:t>
            </w:r>
            <w:r>
              <w:rPr>
                <w:rFonts w:ascii="宋体" w:cs="宋体"/>
                <w:bCs/>
                <w:color w:val="000000"/>
                <w:szCs w:val="21"/>
              </w:rPr>
              <w:t>中国银行</w:t>
            </w:r>
            <w:r>
              <w:rPr>
                <w:rFonts w:ascii="宋体" w:cs="宋体" w:hint="eastAsia"/>
                <w:bCs/>
                <w:color w:val="000000"/>
                <w:szCs w:val="21"/>
              </w:rPr>
              <w:t>保险</w:t>
            </w:r>
            <w:r>
              <w:rPr>
                <w:rFonts w:ascii="宋体" w:cs="宋体"/>
                <w:bCs/>
                <w:color w:val="000000"/>
                <w:szCs w:val="21"/>
              </w:rPr>
              <w:t>监督管理委员会</w:t>
            </w:r>
            <w:r>
              <w:rPr>
                <w:rFonts w:ascii="宋体" w:cs="宋体" w:hint="eastAsia"/>
                <w:color w:val="000000"/>
                <w:szCs w:val="21"/>
              </w:rPr>
              <w:t>报备的书面文件材料或相关证明文件的复印件</w:t>
            </w:r>
          </w:p>
        </w:tc>
        <w:tc>
          <w:tcPr>
            <w:tcW w:w="2878" w:type="dxa"/>
            <w:vMerge/>
            <w:tcBorders>
              <w:top w:val="nil"/>
              <w:left w:val="single" w:sz="4" w:space="0" w:color="auto"/>
              <w:bottom w:val="single" w:sz="4" w:space="0" w:color="auto"/>
              <w:right w:val="single" w:sz="4" w:space="0" w:color="auto"/>
            </w:tcBorders>
            <w:vAlign w:val="center"/>
          </w:tcPr>
          <w:p w:rsidR="00BC36F9" w:rsidRDefault="00BC36F9"/>
        </w:tc>
        <w:tc>
          <w:tcPr>
            <w:tcW w:w="427" w:type="dxa"/>
            <w:tcBorders>
              <w:top w:val="nil"/>
              <w:left w:val="nil"/>
              <w:bottom w:val="single" w:sz="4" w:space="0" w:color="auto"/>
              <w:right w:val="single" w:sz="4" w:space="0" w:color="auto"/>
            </w:tcBorders>
            <w:vAlign w:val="center"/>
          </w:tcPr>
          <w:p w:rsidR="00BC36F9" w:rsidRDefault="0030070B">
            <w:pPr>
              <w:widowControl/>
              <w:jc w:val="center"/>
              <w:rPr>
                <w:color w:val="000000"/>
                <w:szCs w:val="21"/>
              </w:rPr>
            </w:pPr>
            <w:r>
              <w:rPr>
                <w:rFonts w:hint="eastAsia"/>
                <w:color w:val="000000"/>
                <w:szCs w:val="21"/>
              </w:rPr>
              <w:t>1</w:t>
            </w:r>
          </w:p>
        </w:tc>
      </w:tr>
      <w:tr w:rsidR="00BC36F9">
        <w:trPr>
          <w:trHeight w:val="855"/>
        </w:trPr>
        <w:tc>
          <w:tcPr>
            <w:tcW w:w="427" w:type="dxa"/>
            <w:tcBorders>
              <w:top w:val="nil"/>
              <w:left w:val="single" w:sz="4" w:space="0" w:color="auto"/>
              <w:bottom w:val="single" w:sz="4" w:space="0" w:color="auto"/>
              <w:right w:val="single" w:sz="4" w:space="0" w:color="auto"/>
            </w:tcBorders>
            <w:vAlign w:val="center"/>
          </w:tcPr>
          <w:p w:rsidR="00BC36F9" w:rsidRDefault="0030070B">
            <w:pPr>
              <w:widowControl/>
              <w:jc w:val="center"/>
              <w:rPr>
                <w:color w:val="000000"/>
                <w:szCs w:val="21"/>
              </w:rPr>
            </w:pPr>
            <w:r>
              <w:rPr>
                <w:rFonts w:hint="eastAsia"/>
                <w:color w:val="000000"/>
                <w:szCs w:val="21"/>
              </w:rPr>
              <w:t>4</w:t>
            </w:r>
          </w:p>
        </w:tc>
        <w:tc>
          <w:tcPr>
            <w:tcW w:w="833" w:type="dxa"/>
            <w:vMerge/>
            <w:tcBorders>
              <w:top w:val="nil"/>
              <w:left w:val="single" w:sz="4" w:space="0" w:color="auto"/>
              <w:bottom w:val="single" w:sz="4" w:space="0" w:color="auto"/>
              <w:right w:val="single" w:sz="4" w:space="0" w:color="auto"/>
            </w:tcBorders>
            <w:vAlign w:val="center"/>
          </w:tcPr>
          <w:p w:rsidR="00BC36F9" w:rsidRDefault="00BC36F9"/>
        </w:tc>
        <w:tc>
          <w:tcPr>
            <w:tcW w:w="3957" w:type="dxa"/>
            <w:tcBorders>
              <w:top w:val="nil"/>
              <w:left w:val="nil"/>
              <w:bottom w:val="single" w:sz="4" w:space="0" w:color="auto"/>
              <w:right w:val="single" w:sz="4" w:space="0" w:color="auto"/>
            </w:tcBorders>
            <w:vAlign w:val="center"/>
          </w:tcPr>
          <w:p w:rsidR="00BC36F9" w:rsidRDefault="0030070B">
            <w:pPr>
              <w:widowControl/>
              <w:rPr>
                <w:color w:val="000000"/>
                <w:szCs w:val="21"/>
              </w:rPr>
            </w:pPr>
            <w:r>
              <w:rPr>
                <w:rFonts w:ascii="宋体" w:cs="宋体" w:hint="eastAsia"/>
                <w:color w:val="000000"/>
                <w:szCs w:val="21"/>
              </w:rPr>
              <w:t>若以银行理财产品名义开立基金账户需提供加盖银行公章的银行理财产品登记通知书或相关证明文件的复印件</w:t>
            </w:r>
          </w:p>
        </w:tc>
        <w:tc>
          <w:tcPr>
            <w:tcW w:w="2878" w:type="dxa"/>
            <w:vMerge/>
            <w:tcBorders>
              <w:top w:val="nil"/>
              <w:left w:val="single" w:sz="4" w:space="0" w:color="auto"/>
              <w:bottom w:val="single" w:sz="4" w:space="0" w:color="auto"/>
              <w:right w:val="single" w:sz="4" w:space="0" w:color="auto"/>
            </w:tcBorders>
            <w:vAlign w:val="center"/>
          </w:tcPr>
          <w:p w:rsidR="00BC36F9" w:rsidRDefault="00BC36F9"/>
        </w:tc>
        <w:tc>
          <w:tcPr>
            <w:tcW w:w="427" w:type="dxa"/>
            <w:tcBorders>
              <w:top w:val="nil"/>
              <w:left w:val="nil"/>
              <w:bottom w:val="single" w:sz="4" w:space="0" w:color="auto"/>
              <w:right w:val="single" w:sz="4" w:space="0" w:color="auto"/>
            </w:tcBorders>
            <w:vAlign w:val="center"/>
          </w:tcPr>
          <w:p w:rsidR="00BC36F9" w:rsidRDefault="0030070B">
            <w:pPr>
              <w:widowControl/>
              <w:jc w:val="center"/>
              <w:rPr>
                <w:color w:val="000000"/>
                <w:szCs w:val="21"/>
              </w:rPr>
            </w:pPr>
            <w:r>
              <w:rPr>
                <w:rFonts w:hint="eastAsia"/>
                <w:color w:val="000000"/>
                <w:szCs w:val="21"/>
              </w:rPr>
              <w:t>1</w:t>
            </w:r>
          </w:p>
        </w:tc>
      </w:tr>
      <w:tr w:rsidR="00BC36F9">
        <w:trPr>
          <w:trHeight w:val="2822"/>
        </w:trPr>
        <w:tc>
          <w:tcPr>
            <w:tcW w:w="427" w:type="dxa"/>
            <w:tcBorders>
              <w:top w:val="nil"/>
              <w:left w:val="single" w:sz="4" w:space="0" w:color="auto"/>
              <w:bottom w:val="single" w:sz="4" w:space="0" w:color="auto"/>
              <w:right w:val="single" w:sz="4" w:space="0" w:color="auto"/>
            </w:tcBorders>
            <w:vAlign w:val="center"/>
          </w:tcPr>
          <w:p w:rsidR="00BC36F9" w:rsidRDefault="0030070B">
            <w:pPr>
              <w:widowControl/>
              <w:jc w:val="center"/>
              <w:rPr>
                <w:color w:val="000000"/>
                <w:szCs w:val="21"/>
              </w:rPr>
            </w:pPr>
            <w:r>
              <w:rPr>
                <w:rFonts w:hint="eastAsia"/>
                <w:color w:val="000000"/>
                <w:szCs w:val="21"/>
              </w:rPr>
              <w:t>5</w:t>
            </w:r>
          </w:p>
        </w:tc>
        <w:tc>
          <w:tcPr>
            <w:tcW w:w="833" w:type="dxa"/>
            <w:vMerge/>
            <w:tcBorders>
              <w:top w:val="nil"/>
              <w:left w:val="single" w:sz="4" w:space="0" w:color="auto"/>
              <w:bottom w:val="single" w:sz="4" w:space="0" w:color="auto"/>
              <w:right w:val="single" w:sz="4" w:space="0" w:color="auto"/>
            </w:tcBorders>
            <w:vAlign w:val="center"/>
          </w:tcPr>
          <w:p w:rsidR="00BC36F9" w:rsidRDefault="00BC36F9"/>
        </w:tc>
        <w:tc>
          <w:tcPr>
            <w:tcW w:w="3957" w:type="dxa"/>
            <w:tcBorders>
              <w:top w:val="nil"/>
              <w:left w:val="nil"/>
              <w:bottom w:val="single" w:sz="4" w:space="0" w:color="auto"/>
              <w:right w:val="single" w:sz="4" w:space="0" w:color="auto"/>
            </w:tcBorders>
            <w:vAlign w:val="center"/>
          </w:tcPr>
          <w:p w:rsidR="00BC36F9" w:rsidRDefault="0030070B">
            <w:pPr>
              <w:widowControl/>
              <w:rPr>
                <w:color w:val="000000"/>
                <w:szCs w:val="21"/>
              </w:rPr>
            </w:pPr>
            <w:r>
              <w:rPr>
                <w:rFonts w:ascii="宋体" w:cs="宋体" w:hint="eastAsia"/>
                <w:color w:val="000000"/>
                <w:szCs w:val="21"/>
              </w:rPr>
              <w:t>若为企业年金，一般应由托管人负责开立基金账户，需提供托管人基本资料；企业年金受托人开户授权委托书；企业年金计划确认函；企业年金管理资格证书；与受托人间的投资管理合同首页及盖章页；与托管人间的托管协议的首页及盖章页的复印件</w:t>
            </w:r>
            <w:r>
              <w:rPr>
                <w:rFonts w:hint="eastAsia"/>
                <w:color w:val="000000"/>
                <w:szCs w:val="21"/>
              </w:rPr>
              <w:t>(</w:t>
            </w:r>
            <w:r>
              <w:rPr>
                <w:rFonts w:ascii="宋体" w:cs="宋体" w:hint="eastAsia"/>
                <w:color w:val="000000"/>
                <w:szCs w:val="21"/>
              </w:rPr>
              <w:t>上述材料均加盖托管人的托管部公章）</w:t>
            </w:r>
          </w:p>
        </w:tc>
        <w:tc>
          <w:tcPr>
            <w:tcW w:w="2878" w:type="dxa"/>
            <w:vMerge/>
            <w:tcBorders>
              <w:top w:val="nil"/>
              <w:left w:val="single" w:sz="4" w:space="0" w:color="auto"/>
              <w:bottom w:val="single" w:sz="4" w:space="0" w:color="auto"/>
              <w:right w:val="single" w:sz="4" w:space="0" w:color="auto"/>
            </w:tcBorders>
            <w:vAlign w:val="center"/>
          </w:tcPr>
          <w:p w:rsidR="00BC36F9" w:rsidRDefault="00BC36F9"/>
        </w:tc>
        <w:tc>
          <w:tcPr>
            <w:tcW w:w="427" w:type="dxa"/>
            <w:tcBorders>
              <w:top w:val="nil"/>
              <w:left w:val="nil"/>
              <w:bottom w:val="single" w:sz="4" w:space="0" w:color="auto"/>
              <w:right w:val="single" w:sz="4" w:space="0" w:color="auto"/>
            </w:tcBorders>
            <w:vAlign w:val="center"/>
          </w:tcPr>
          <w:p w:rsidR="00BC36F9" w:rsidRDefault="0030070B">
            <w:pPr>
              <w:widowControl/>
              <w:jc w:val="center"/>
              <w:rPr>
                <w:color w:val="000000"/>
                <w:szCs w:val="21"/>
              </w:rPr>
            </w:pPr>
            <w:r>
              <w:rPr>
                <w:rFonts w:hint="eastAsia"/>
                <w:color w:val="000000"/>
                <w:szCs w:val="21"/>
              </w:rPr>
              <w:t>1</w:t>
            </w:r>
          </w:p>
        </w:tc>
      </w:tr>
      <w:tr w:rsidR="00BC36F9">
        <w:trPr>
          <w:trHeight w:val="4645"/>
        </w:trPr>
        <w:tc>
          <w:tcPr>
            <w:tcW w:w="427" w:type="dxa"/>
            <w:tcBorders>
              <w:top w:val="nil"/>
              <w:left w:val="single" w:sz="4" w:space="0" w:color="auto"/>
              <w:bottom w:val="single" w:sz="4" w:space="0" w:color="auto"/>
              <w:right w:val="single" w:sz="4" w:space="0" w:color="auto"/>
            </w:tcBorders>
            <w:vAlign w:val="center"/>
          </w:tcPr>
          <w:p w:rsidR="00BC36F9" w:rsidRDefault="0030070B">
            <w:pPr>
              <w:widowControl/>
              <w:jc w:val="center"/>
              <w:rPr>
                <w:color w:val="000000"/>
                <w:szCs w:val="21"/>
              </w:rPr>
            </w:pPr>
            <w:r>
              <w:rPr>
                <w:rFonts w:hint="eastAsia"/>
                <w:color w:val="000000"/>
                <w:szCs w:val="21"/>
              </w:rPr>
              <w:t>6</w:t>
            </w:r>
          </w:p>
        </w:tc>
        <w:tc>
          <w:tcPr>
            <w:tcW w:w="833" w:type="dxa"/>
            <w:vMerge/>
            <w:tcBorders>
              <w:top w:val="nil"/>
              <w:left w:val="single" w:sz="4" w:space="0" w:color="auto"/>
              <w:bottom w:val="single" w:sz="4" w:space="0" w:color="auto"/>
              <w:right w:val="single" w:sz="4" w:space="0" w:color="auto"/>
            </w:tcBorders>
            <w:vAlign w:val="center"/>
          </w:tcPr>
          <w:p w:rsidR="00BC36F9" w:rsidRDefault="00BC36F9"/>
        </w:tc>
        <w:tc>
          <w:tcPr>
            <w:tcW w:w="3957" w:type="dxa"/>
            <w:tcBorders>
              <w:top w:val="nil"/>
              <w:left w:val="nil"/>
              <w:bottom w:val="single" w:sz="4" w:space="0" w:color="auto"/>
              <w:right w:val="single" w:sz="4" w:space="0" w:color="auto"/>
            </w:tcBorders>
            <w:vAlign w:val="center"/>
          </w:tcPr>
          <w:p w:rsidR="00BC36F9" w:rsidRDefault="0030070B">
            <w:pPr>
              <w:widowControl/>
              <w:rPr>
                <w:color w:val="000000"/>
                <w:szCs w:val="21"/>
              </w:rPr>
            </w:pPr>
            <w:r>
              <w:rPr>
                <w:rFonts w:ascii="宋体" w:cs="宋体" w:hint="eastAsia"/>
                <w:color w:val="000000"/>
                <w:szCs w:val="21"/>
              </w:rPr>
              <w:t>若为合格境外机构投资者（以下简称</w:t>
            </w:r>
            <w:r>
              <w:rPr>
                <w:rFonts w:hint="eastAsia"/>
                <w:color w:val="000000"/>
                <w:szCs w:val="21"/>
              </w:rPr>
              <w:t>QFII</w:t>
            </w:r>
            <w:r>
              <w:rPr>
                <w:rFonts w:ascii="宋体" w:cs="宋体" w:hint="eastAsia"/>
                <w:color w:val="000000"/>
                <w:szCs w:val="21"/>
              </w:rPr>
              <w:t>），一般应由托管人负责开立基金账户，需提供托管人基本资料；中国证监会、中国人民银行和国家外汇管理局关于批准托管人资格的批复的复印件；托管人在中国境内的企业法人营业执照或者金融许可证的复印件；托管协议的首页、盖章页复印件；</w:t>
            </w:r>
            <w:r>
              <w:rPr>
                <w:rFonts w:hint="eastAsia"/>
                <w:color w:val="000000"/>
                <w:szCs w:val="21"/>
              </w:rPr>
              <w:t xml:space="preserve"> QFII</w:t>
            </w:r>
            <w:r>
              <w:rPr>
                <w:rFonts w:ascii="宋体" w:cs="宋体" w:hint="eastAsia"/>
                <w:color w:val="000000"/>
                <w:szCs w:val="21"/>
              </w:rPr>
              <w:t>委托托管人办理资产管理计划账户业务的授权委托书原件；中国证监会颁发的</w:t>
            </w:r>
            <w:r>
              <w:rPr>
                <w:rFonts w:hint="eastAsia"/>
                <w:color w:val="000000"/>
                <w:szCs w:val="21"/>
              </w:rPr>
              <w:t>QFII</w:t>
            </w:r>
            <w:r>
              <w:rPr>
                <w:rFonts w:ascii="宋体" w:cs="宋体" w:hint="eastAsia"/>
                <w:color w:val="000000"/>
                <w:szCs w:val="21"/>
              </w:rPr>
              <w:t>证券投资业务许可证复印件以及相关投资额度的审批证明（上述材料均加盖托管人的托管部公章）</w:t>
            </w:r>
          </w:p>
        </w:tc>
        <w:tc>
          <w:tcPr>
            <w:tcW w:w="2878" w:type="dxa"/>
            <w:vMerge/>
            <w:tcBorders>
              <w:top w:val="nil"/>
              <w:left w:val="single" w:sz="4" w:space="0" w:color="auto"/>
              <w:bottom w:val="single" w:sz="4" w:space="0" w:color="auto"/>
              <w:right w:val="single" w:sz="4" w:space="0" w:color="auto"/>
            </w:tcBorders>
            <w:vAlign w:val="center"/>
          </w:tcPr>
          <w:p w:rsidR="00BC36F9" w:rsidRDefault="00BC36F9"/>
        </w:tc>
        <w:tc>
          <w:tcPr>
            <w:tcW w:w="427" w:type="dxa"/>
            <w:tcBorders>
              <w:top w:val="nil"/>
              <w:left w:val="nil"/>
              <w:bottom w:val="single" w:sz="4" w:space="0" w:color="auto"/>
              <w:right w:val="single" w:sz="4" w:space="0" w:color="auto"/>
            </w:tcBorders>
            <w:vAlign w:val="center"/>
          </w:tcPr>
          <w:p w:rsidR="00BC36F9" w:rsidRDefault="0030070B">
            <w:pPr>
              <w:widowControl/>
              <w:jc w:val="center"/>
              <w:rPr>
                <w:color w:val="000000"/>
                <w:szCs w:val="21"/>
              </w:rPr>
            </w:pPr>
            <w:r>
              <w:rPr>
                <w:rFonts w:hint="eastAsia"/>
                <w:color w:val="000000"/>
                <w:szCs w:val="21"/>
              </w:rPr>
              <w:t>1</w:t>
            </w:r>
          </w:p>
        </w:tc>
      </w:tr>
      <w:tr w:rsidR="00BC36F9">
        <w:trPr>
          <w:trHeight w:val="855"/>
        </w:trPr>
        <w:tc>
          <w:tcPr>
            <w:tcW w:w="427" w:type="dxa"/>
            <w:tcBorders>
              <w:top w:val="nil"/>
              <w:left w:val="single" w:sz="4" w:space="0" w:color="auto"/>
              <w:bottom w:val="single" w:sz="4" w:space="0" w:color="auto"/>
              <w:right w:val="single" w:sz="4" w:space="0" w:color="auto"/>
            </w:tcBorders>
            <w:vAlign w:val="center"/>
          </w:tcPr>
          <w:p w:rsidR="00BC36F9" w:rsidRDefault="0030070B">
            <w:pPr>
              <w:widowControl/>
              <w:jc w:val="center"/>
              <w:rPr>
                <w:color w:val="000000"/>
                <w:szCs w:val="21"/>
              </w:rPr>
            </w:pPr>
            <w:r>
              <w:rPr>
                <w:rFonts w:hint="eastAsia"/>
                <w:color w:val="000000"/>
                <w:szCs w:val="21"/>
              </w:rPr>
              <w:t>1</w:t>
            </w:r>
          </w:p>
        </w:tc>
        <w:tc>
          <w:tcPr>
            <w:tcW w:w="833" w:type="dxa"/>
            <w:vMerge w:val="restart"/>
            <w:tcBorders>
              <w:top w:val="nil"/>
              <w:left w:val="single" w:sz="4" w:space="0" w:color="auto"/>
              <w:bottom w:val="single" w:sz="4" w:space="0" w:color="auto"/>
              <w:right w:val="single" w:sz="4" w:space="0" w:color="auto"/>
            </w:tcBorders>
            <w:vAlign w:val="center"/>
          </w:tcPr>
          <w:p w:rsidR="00BC36F9" w:rsidRDefault="0030070B">
            <w:pPr>
              <w:widowControl/>
              <w:jc w:val="center"/>
              <w:rPr>
                <w:b/>
                <w:bCs/>
                <w:color w:val="000000"/>
                <w:szCs w:val="21"/>
              </w:rPr>
            </w:pPr>
            <w:r>
              <w:rPr>
                <w:rFonts w:ascii="宋体" w:cs="宋体" w:hint="eastAsia"/>
                <w:b/>
                <w:bCs/>
                <w:color w:val="000000"/>
                <w:szCs w:val="21"/>
              </w:rPr>
              <w:t>证明材料</w:t>
            </w:r>
          </w:p>
        </w:tc>
        <w:tc>
          <w:tcPr>
            <w:tcW w:w="3957" w:type="dxa"/>
            <w:tcBorders>
              <w:top w:val="nil"/>
              <w:left w:val="nil"/>
              <w:bottom w:val="single" w:sz="4" w:space="0" w:color="auto"/>
              <w:right w:val="single" w:sz="4" w:space="0" w:color="auto"/>
            </w:tcBorders>
            <w:vAlign w:val="center"/>
          </w:tcPr>
          <w:p w:rsidR="00BC36F9" w:rsidRDefault="0030070B">
            <w:pPr>
              <w:widowControl/>
              <w:rPr>
                <w:color w:val="000000"/>
                <w:szCs w:val="21"/>
              </w:rPr>
            </w:pPr>
            <w:r>
              <w:rPr>
                <w:rFonts w:ascii="宋体" w:cs="宋体" w:hint="eastAsia"/>
                <w:color w:val="000000"/>
                <w:szCs w:val="21"/>
              </w:rPr>
              <w:t>出示有效的企业法人营业执照或民政部门等颁发的注册登记证书原件，并提供复印件（加盖单位公章）</w:t>
            </w:r>
          </w:p>
        </w:tc>
        <w:tc>
          <w:tcPr>
            <w:tcW w:w="2878" w:type="dxa"/>
            <w:tcBorders>
              <w:top w:val="nil"/>
              <w:left w:val="nil"/>
              <w:bottom w:val="single" w:sz="4" w:space="0" w:color="auto"/>
              <w:right w:val="single" w:sz="4" w:space="0" w:color="auto"/>
            </w:tcBorders>
            <w:vAlign w:val="center"/>
          </w:tcPr>
          <w:p w:rsidR="00BC36F9" w:rsidRDefault="0030070B">
            <w:pPr>
              <w:widowControl/>
              <w:jc w:val="left"/>
              <w:rPr>
                <w:color w:val="000000"/>
                <w:szCs w:val="21"/>
              </w:rPr>
            </w:pPr>
            <w:r>
              <w:rPr>
                <w:rFonts w:ascii="宋体" w:cs="宋体" w:hint="eastAsia"/>
                <w:color w:val="000000"/>
                <w:szCs w:val="21"/>
              </w:rPr>
              <w:t>需体现证件的有效期</w:t>
            </w:r>
          </w:p>
        </w:tc>
        <w:tc>
          <w:tcPr>
            <w:tcW w:w="427" w:type="dxa"/>
            <w:tcBorders>
              <w:top w:val="nil"/>
              <w:left w:val="nil"/>
              <w:bottom w:val="single" w:sz="4" w:space="0" w:color="auto"/>
              <w:right w:val="single" w:sz="4" w:space="0" w:color="auto"/>
            </w:tcBorders>
            <w:vAlign w:val="center"/>
          </w:tcPr>
          <w:p w:rsidR="00BC36F9" w:rsidRDefault="0030070B">
            <w:pPr>
              <w:widowControl/>
              <w:jc w:val="center"/>
              <w:rPr>
                <w:color w:val="000000"/>
                <w:szCs w:val="21"/>
              </w:rPr>
            </w:pPr>
            <w:r>
              <w:rPr>
                <w:rFonts w:hint="eastAsia"/>
                <w:color w:val="000000"/>
                <w:szCs w:val="21"/>
              </w:rPr>
              <w:t>1</w:t>
            </w:r>
          </w:p>
        </w:tc>
      </w:tr>
      <w:tr w:rsidR="00BC36F9">
        <w:trPr>
          <w:trHeight w:val="570"/>
        </w:trPr>
        <w:tc>
          <w:tcPr>
            <w:tcW w:w="427" w:type="dxa"/>
            <w:tcBorders>
              <w:top w:val="nil"/>
              <w:left w:val="single" w:sz="4" w:space="0" w:color="auto"/>
              <w:bottom w:val="single" w:sz="4" w:space="0" w:color="auto"/>
              <w:right w:val="single" w:sz="4" w:space="0" w:color="auto"/>
            </w:tcBorders>
            <w:vAlign w:val="center"/>
          </w:tcPr>
          <w:p w:rsidR="00BC36F9" w:rsidRDefault="0030070B">
            <w:pPr>
              <w:widowControl/>
              <w:jc w:val="center"/>
              <w:rPr>
                <w:color w:val="000000"/>
                <w:szCs w:val="21"/>
              </w:rPr>
            </w:pPr>
            <w:r>
              <w:rPr>
                <w:rFonts w:hint="eastAsia"/>
                <w:color w:val="000000"/>
                <w:szCs w:val="21"/>
              </w:rPr>
              <w:t>2</w:t>
            </w:r>
          </w:p>
        </w:tc>
        <w:tc>
          <w:tcPr>
            <w:tcW w:w="833" w:type="dxa"/>
            <w:vMerge/>
            <w:tcBorders>
              <w:top w:val="nil"/>
              <w:left w:val="single" w:sz="4" w:space="0" w:color="auto"/>
              <w:bottom w:val="single" w:sz="4" w:space="0" w:color="auto"/>
              <w:right w:val="single" w:sz="4" w:space="0" w:color="auto"/>
            </w:tcBorders>
            <w:vAlign w:val="center"/>
          </w:tcPr>
          <w:p w:rsidR="00BC36F9" w:rsidRDefault="00BC36F9"/>
        </w:tc>
        <w:tc>
          <w:tcPr>
            <w:tcW w:w="3957" w:type="dxa"/>
            <w:tcBorders>
              <w:top w:val="nil"/>
              <w:left w:val="nil"/>
              <w:bottom w:val="single" w:sz="4" w:space="0" w:color="auto"/>
              <w:right w:val="single" w:sz="4" w:space="0" w:color="auto"/>
            </w:tcBorders>
            <w:vAlign w:val="center"/>
          </w:tcPr>
          <w:p w:rsidR="00BC36F9" w:rsidRDefault="0030070B">
            <w:pPr>
              <w:widowControl/>
              <w:rPr>
                <w:color w:val="000000"/>
                <w:szCs w:val="21"/>
              </w:rPr>
            </w:pPr>
            <w:r>
              <w:rPr>
                <w:rFonts w:ascii="宋体" w:cs="宋体" w:hint="eastAsia"/>
                <w:color w:val="000000"/>
                <w:szCs w:val="21"/>
              </w:rPr>
              <w:t>出示组织机构代码证正</w:t>
            </w:r>
            <w:r>
              <w:rPr>
                <w:rFonts w:hint="eastAsia"/>
                <w:color w:val="000000"/>
                <w:szCs w:val="21"/>
              </w:rPr>
              <w:t>/</w:t>
            </w:r>
            <w:r>
              <w:rPr>
                <w:rFonts w:ascii="宋体" w:cs="宋体" w:hint="eastAsia"/>
                <w:color w:val="000000"/>
                <w:szCs w:val="21"/>
              </w:rPr>
              <w:t>副本原件，并提供复印件（加盖单位公章）</w:t>
            </w:r>
          </w:p>
        </w:tc>
        <w:tc>
          <w:tcPr>
            <w:tcW w:w="2878" w:type="dxa"/>
            <w:vMerge w:val="restart"/>
            <w:tcBorders>
              <w:top w:val="nil"/>
              <w:left w:val="single" w:sz="4" w:space="0" w:color="auto"/>
              <w:bottom w:val="single" w:sz="4" w:space="0" w:color="auto"/>
              <w:right w:val="single" w:sz="4" w:space="0" w:color="auto"/>
            </w:tcBorders>
            <w:vAlign w:val="center"/>
          </w:tcPr>
          <w:p w:rsidR="00BC36F9" w:rsidRDefault="0030070B">
            <w:pPr>
              <w:widowControl/>
              <w:jc w:val="left"/>
              <w:rPr>
                <w:color w:val="000000"/>
                <w:szCs w:val="21"/>
              </w:rPr>
            </w:pPr>
            <w:r>
              <w:rPr>
                <w:rFonts w:ascii="宋体" w:cs="宋体" w:hint="eastAsia"/>
                <w:color w:val="000000"/>
                <w:szCs w:val="21"/>
              </w:rPr>
              <w:t>若已提供统一社会信用代码证，无需提供这两项</w:t>
            </w:r>
          </w:p>
        </w:tc>
        <w:tc>
          <w:tcPr>
            <w:tcW w:w="427" w:type="dxa"/>
            <w:tcBorders>
              <w:top w:val="nil"/>
              <w:left w:val="nil"/>
              <w:bottom w:val="single" w:sz="4" w:space="0" w:color="auto"/>
              <w:right w:val="single" w:sz="4" w:space="0" w:color="auto"/>
            </w:tcBorders>
            <w:vAlign w:val="center"/>
          </w:tcPr>
          <w:p w:rsidR="00BC36F9" w:rsidRDefault="0030070B">
            <w:pPr>
              <w:widowControl/>
              <w:jc w:val="center"/>
              <w:rPr>
                <w:color w:val="000000"/>
                <w:szCs w:val="21"/>
              </w:rPr>
            </w:pPr>
            <w:r>
              <w:rPr>
                <w:rFonts w:hint="eastAsia"/>
                <w:color w:val="000000"/>
                <w:szCs w:val="21"/>
              </w:rPr>
              <w:t>1</w:t>
            </w:r>
          </w:p>
        </w:tc>
      </w:tr>
      <w:tr w:rsidR="00BC36F9">
        <w:trPr>
          <w:trHeight w:val="570"/>
        </w:trPr>
        <w:tc>
          <w:tcPr>
            <w:tcW w:w="427" w:type="dxa"/>
            <w:tcBorders>
              <w:top w:val="nil"/>
              <w:left w:val="single" w:sz="4" w:space="0" w:color="auto"/>
              <w:bottom w:val="single" w:sz="4" w:space="0" w:color="auto"/>
              <w:right w:val="single" w:sz="4" w:space="0" w:color="auto"/>
            </w:tcBorders>
            <w:vAlign w:val="center"/>
          </w:tcPr>
          <w:p w:rsidR="00BC36F9" w:rsidRDefault="0030070B">
            <w:pPr>
              <w:widowControl/>
              <w:jc w:val="center"/>
              <w:rPr>
                <w:color w:val="000000"/>
                <w:szCs w:val="21"/>
              </w:rPr>
            </w:pPr>
            <w:r>
              <w:rPr>
                <w:rFonts w:hint="eastAsia"/>
                <w:color w:val="000000"/>
                <w:szCs w:val="21"/>
              </w:rPr>
              <w:t>3</w:t>
            </w:r>
          </w:p>
        </w:tc>
        <w:tc>
          <w:tcPr>
            <w:tcW w:w="833" w:type="dxa"/>
            <w:vMerge/>
            <w:tcBorders>
              <w:top w:val="nil"/>
              <w:left w:val="single" w:sz="4" w:space="0" w:color="auto"/>
              <w:bottom w:val="single" w:sz="4" w:space="0" w:color="auto"/>
              <w:right w:val="single" w:sz="4" w:space="0" w:color="auto"/>
            </w:tcBorders>
            <w:vAlign w:val="center"/>
          </w:tcPr>
          <w:p w:rsidR="00BC36F9" w:rsidRDefault="00BC36F9"/>
        </w:tc>
        <w:tc>
          <w:tcPr>
            <w:tcW w:w="3957" w:type="dxa"/>
            <w:tcBorders>
              <w:top w:val="nil"/>
              <w:left w:val="nil"/>
              <w:bottom w:val="single" w:sz="4" w:space="0" w:color="auto"/>
              <w:right w:val="single" w:sz="4" w:space="0" w:color="auto"/>
            </w:tcBorders>
            <w:vAlign w:val="center"/>
          </w:tcPr>
          <w:p w:rsidR="00BC36F9" w:rsidRDefault="0030070B">
            <w:pPr>
              <w:widowControl/>
              <w:rPr>
                <w:color w:val="000000"/>
                <w:szCs w:val="21"/>
              </w:rPr>
            </w:pPr>
            <w:r>
              <w:rPr>
                <w:rFonts w:ascii="宋体" w:cs="宋体" w:hint="eastAsia"/>
                <w:color w:val="000000"/>
                <w:szCs w:val="21"/>
              </w:rPr>
              <w:t>出示税务登记证正</w:t>
            </w:r>
            <w:r>
              <w:rPr>
                <w:rFonts w:hint="eastAsia"/>
                <w:color w:val="000000"/>
                <w:szCs w:val="21"/>
              </w:rPr>
              <w:t>/</w:t>
            </w:r>
            <w:r>
              <w:rPr>
                <w:rFonts w:ascii="宋体" w:cs="宋体" w:hint="eastAsia"/>
                <w:color w:val="000000"/>
                <w:szCs w:val="21"/>
              </w:rPr>
              <w:t>副本原件，并提供复印件（加盖单位公章）</w:t>
            </w:r>
          </w:p>
        </w:tc>
        <w:tc>
          <w:tcPr>
            <w:tcW w:w="2878" w:type="dxa"/>
            <w:vMerge/>
            <w:tcBorders>
              <w:top w:val="nil"/>
              <w:left w:val="single" w:sz="4" w:space="0" w:color="auto"/>
              <w:bottom w:val="single" w:sz="4" w:space="0" w:color="auto"/>
              <w:right w:val="single" w:sz="4" w:space="0" w:color="auto"/>
            </w:tcBorders>
            <w:vAlign w:val="center"/>
          </w:tcPr>
          <w:p w:rsidR="00BC36F9" w:rsidRDefault="00BC36F9"/>
        </w:tc>
        <w:tc>
          <w:tcPr>
            <w:tcW w:w="427" w:type="dxa"/>
            <w:tcBorders>
              <w:top w:val="nil"/>
              <w:left w:val="nil"/>
              <w:bottom w:val="single" w:sz="4" w:space="0" w:color="auto"/>
              <w:right w:val="single" w:sz="4" w:space="0" w:color="auto"/>
            </w:tcBorders>
            <w:vAlign w:val="center"/>
          </w:tcPr>
          <w:p w:rsidR="00BC36F9" w:rsidRDefault="0030070B">
            <w:pPr>
              <w:widowControl/>
              <w:jc w:val="center"/>
              <w:rPr>
                <w:color w:val="000000"/>
                <w:szCs w:val="21"/>
              </w:rPr>
            </w:pPr>
            <w:r>
              <w:rPr>
                <w:rFonts w:hint="eastAsia"/>
                <w:color w:val="000000"/>
                <w:szCs w:val="21"/>
              </w:rPr>
              <w:t>1</w:t>
            </w:r>
          </w:p>
        </w:tc>
      </w:tr>
      <w:tr w:rsidR="00BC36F9">
        <w:trPr>
          <w:trHeight w:val="2542"/>
        </w:trPr>
        <w:tc>
          <w:tcPr>
            <w:tcW w:w="427" w:type="dxa"/>
            <w:tcBorders>
              <w:top w:val="nil"/>
              <w:left w:val="single" w:sz="4" w:space="0" w:color="auto"/>
              <w:bottom w:val="single" w:sz="4" w:space="0" w:color="auto"/>
              <w:right w:val="single" w:sz="4" w:space="0" w:color="auto"/>
            </w:tcBorders>
            <w:vAlign w:val="center"/>
          </w:tcPr>
          <w:p w:rsidR="00BC36F9" w:rsidRDefault="0030070B">
            <w:pPr>
              <w:widowControl/>
              <w:jc w:val="center"/>
              <w:rPr>
                <w:color w:val="000000"/>
                <w:szCs w:val="21"/>
              </w:rPr>
            </w:pPr>
            <w:r>
              <w:rPr>
                <w:rFonts w:hint="eastAsia"/>
                <w:color w:val="000000"/>
                <w:szCs w:val="21"/>
              </w:rPr>
              <w:t>4</w:t>
            </w:r>
          </w:p>
        </w:tc>
        <w:tc>
          <w:tcPr>
            <w:tcW w:w="833" w:type="dxa"/>
            <w:vMerge/>
            <w:tcBorders>
              <w:top w:val="nil"/>
              <w:left w:val="single" w:sz="4" w:space="0" w:color="auto"/>
              <w:bottom w:val="single" w:sz="4" w:space="0" w:color="auto"/>
              <w:right w:val="single" w:sz="4" w:space="0" w:color="auto"/>
            </w:tcBorders>
            <w:vAlign w:val="center"/>
          </w:tcPr>
          <w:p w:rsidR="00BC36F9" w:rsidRDefault="00BC36F9"/>
        </w:tc>
        <w:tc>
          <w:tcPr>
            <w:tcW w:w="3957" w:type="dxa"/>
            <w:tcBorders>
              <w:top w:val="nil"/>
              <w:left w:val="nil"/>
              <w:bottom w:val="single" w:sz="4" w:space="0" w:color="auto"/>
              <w:right w:val="single" w:sz="4" w:space="0" w:color="auto"/>
            </w:tcBorders>
            <w:vAlign w:val="center"/>
          </w:tcPr>
          <w:p w:rsidR="00BC36F9" w:rsidRDefault="0030070B">
            <w:pPr>
              <w:widowControl/>
              <w:rPr>
                <w:color w:val="000000"/>
                <w:szCs w:val="21"/>
              </w:rPr>
            </w:pPr>
            <w:r>
              <w:rPr>
                <w:rFonts w:ascii="宋体" w:cs="宋体" w:hint="eastAsia"/>
                <w:color w:val="000000"/>
                <w:szCs w:val="21"/>
              </w:rPr>
              <w:t>企业开立银行账户申请书及银行受理书复印件（加盖单位公章）</w:t>
            </w:r>
          </w:p>
        </w:tc>
        <w:tc>
          <w:tcPr>
            <w:tcW w:w="2878" w:type="dxa"/>
            <w:tcBorders>
              <w:top w:val="nil"/>
              <w:left w:val="nil"/>
              <w:bottom w:val="single" w:sz="4" w:space="0" w:color="auto"/>
              <w:right w:val="single" w:sz="4" w:space="0" w:color="auto"/>
            </w:tcBorders>
            <w:vAlign w:val="center"/>
          </w:tcPr>
          <w:p w:rsidR="00BC36F9" w:rsidRDefault="0030070B">
            <w:pPr>
              <w:widowControl/>
              <w:jc w:val="left"/>
              <w:rPr>
                <w:color w:val="000000"/>
                <w:szCs w:val="21"/>
              </w:rPr>
            </w:pPr>
            <w:r>
              <w:rPr>
                <w:rFonts w:hint="eastAsia"/>
                <w:color w:val="000000"/>
                <w:szCs w:val="21"/>
              </w:rPr>
              <w:t>(1)</w:t>
            </w:r>
            <w:r>
              <w:rPr>
                <w:rFonts w:ascii="宋体" w:cs="宋体" w:hint="eastAsia"/>
                <w:color w:val="000000"/>
                <w:szCs w:val="21"/>
              </w:rPr>
              <w:t>银行账户证明须有银行的章并且能看清账号、银行户名、开户行的信息</w:t>
            </w:r>
            <w:r>
              <w:rPr>
                <w:rFonts w:hint="eastAsia"/>
                <w:color w:val="000000"/>
                <w:szCs w:val="21"/>
              </w:rPr>
              <w:t xml:space="preserve">                                              (2)</w:t>
            </w:r>
            <w:r>
              <w:rPr>
                <w:rFonts w:ascii="宋体" w:cs="宋体" w:hint="eastAsia"/>
                <w:color w:val="000000"/>
                <w:szCs w:val="21"/>
              </w:rPr>
              <w:t>需与《开放式基金账户业务申请表（机构、产品版）》中填写的银行账户信息一致</w:t>
            </w:r>
            <w:r>
              <w:rPr>
                <w:rFonts w:hint="eastAsia"/>
                <w:color w:val="000000"/>
                <w:szCs w:val="21"/>
              </w:rPr>
              <w:t xml:space="preserve">, </w:t>
            </w:r>
            <w:r>
              <w:rPr>
                <w:rFonts w:ascii="宋体" w:cs="宋体" w:hint="eastAsia"/>
                <w:color w:val="000000"/>
                <w:szCs w:val="21"/>
              </w:rPr>
              <w:t>该账户即为投资者赎回、分红款等用途的资金结算账户</w:t>
            </w:r>
          </w:p>
        </w:tc>
        <w:tc>
          <w:tcPr>
            <w:tcW w:w="427" w:type="dxa"/>
            <w:tcBorders>
              <w:top w:val="nil"/>
              <w:left w:val="nil"/>
              <w:bottom w:val="single" w:sz="4" w:space="0" w:color="auto"/>
              <w:right w:val="single" w:sz="4" w:space="0" w:color="auto"/>
            </w:tcBorders>
            <w:vAlign w:val="center"/>
          </w:tcPr>
          <w:p w:rsidR="00BC36F9" w:rsidRDefault="0030070B">
            <w:pPr>
              <w:widowControl/>
              <w:jc w:val="center"/>
              <w:rPr>
                <w:color w:val="000000"/>
                <w:szCs w:val="21"/>
              </w:rPr>
            </w:pPr>
            <w:r>
              <w:rPr>
                <w:rFonts w:hint="eastAsia"/>
                <w:color w:val="000000"/>
                <w:szCs w:val="21"/>
              </w:rPr>
              <w:t>1</w:t>
            </w:r>
          </w:p>
        </w:tc>
      </w:tr>
      <w:tr w:rsidR="00BC36F9">
        <w:trPr>
          <w:trHeight w:val="1266"/>
        </w:trPr>
        <w:tc>
          <w:tcPr>
            <w:tcW w:w="427" w:type="dxa"/>
            <w:tcBorders>
              <w:top w:val="nil"/>
              <w:left w:val="single" w:sz="4" w:space="0" w:color="auto"/>
              <w:bottom w:val="single" w:sz="4" w:space="0" w:color="auto"/>
              <w:right w:val="single" w:sz="4" w:space="0" w:color="auto"/>
            </w:tcBorders>
            <w:vAlign w:val="center"/>
          </w:tcPr>
          <w:p w:rsidR="00BC36F9" w:rsidRDefault="0030070B">
            <w:pPr>
              <w:widowControl/>
              <w:jc w:val="center"/>
              <w:rPr>
                <w:color w:val="000000"/>
                <w:szCs w:val="21"/>
              </w:rPr>
            </w:pPr>
            <w:r>
              <w:rPr>
                <w:rFonts w:hint="eastAsia"/>
                <w:color w:val="000000"/>
                <w:szCs w:val="21"/>
              </w:rPr>
              <w:t>5</w:t>
            </w:r>
          </w:p>
        </w:tc>
        <w:tc>
          <w:tcPr>
            <w:tcW w:w="833" w:type="dxa"/>
            <w:vMerge/>
            <w:tcBorders>
              <w:top w:val="nil"/>
              <w:left w:val="single" w:sz="4" w:space="0" w:color="auto"/>
              <w:bottom w:val="single" w:sz="4" w:space="0" w:color="auto"/>
              <w:right w:val="single" w:sz="4" w:space="0" w:color="auto"/>
            </w:tcBorders>
            <w:vAlign w:val="center"/>
          </w:tcPr>
          <w:p w:rsidR="00BC36F9" w:rsidRDefault="00BC36F9"/>
        </w:tc>
        <w:tc>
          <w:tcPr>
            <w:tcW w:w="3957" w:type="dxa"/>
            <w:tcBorders>
              <w:top w:val="nil"/>
              <w:left w:val="nil"/>
              <w:bottom w:val="single" w:sz="4" w:space="0" w:color="auto"/>
              <w:right w:val="single" w:sz="4" w:space="0" w:color="auto"/>
            </w:tcBorders>
            <w:vAlign w:val="center"/>
          </w:tcPr>
          <w:p w:rsidR="00BC36F9" w:rsidRDefault="0030070B">
            <w:pPr>
              <w:widowControl/>
              <w:rPr>
                <w:color w:val="000000"/>
                <w:szCs w:val="21"/>
              </w:rPr>
            </w:pPr>
            <w:r>
              <w:rPr>
                <w:rFonts w:ascii="宋体" w:cs="宋体" w:hint="eastAsia"/>
                <w:color w:val="000000"/>
                <w:szCs w:val="21"/>
              </w:rPr>
              <w:t>出示法定代表人、授权代表、负责人、被授权经办人的有效身份证明文件原件，并提供复印件</w:t>
            </w:r>
            <w:r>
              <w:rPr>
                <w:rFonts w:hint="eastAsia"/>
                <w:color w:val="000000"/>
                <w:szCs w:val="21"/>
              </w:rPr>
              <w:t>(</w:t>
            </w:r>
            <w:r>
              <w:rPr>
                <w:rFonts w:ascii="宋体" w:cs="宋体" w:hint="eastAsia"/>
                <w:color w:val="000000"/>
                <w:szCs w:val="21"/>
              </w:rPr>
              <w:t>加盖公章</w:t>
            </w:r>
            <w:r>
              <w:rPr>
                <w:rFonts w:hint="eastAsia"/>
                <w:color w:val="000000"/>
                <w:szCs w:val="21"/>
              </w:rPr>
              <w:t>)</w:t>
            </w:r>
          </w:p>
        </w:tc>
        <w:tc>
          <w:tcPr>
            <w:tcW w:w="2878" w:type="dxa"/>
            <w:tcBorders>
              <w:top w:val="nil"/>
              <w:left w:val="nil"/>
              <w:bottom w:val="single" w:sz="4" w:space="0" w:color="auto"/>
              <w:right w:val="single" w:sz="4" w:space="0" w:color="auto"/>
            </w:tcBorders>
            <w:vAlign w:val="center"/>
          </w:tcPr>
          <w:p w:rsidR="00BC36F9" w:rsidRDefault="0030070B">
            <w:pPr>
              <w:widowControl/>
              <w:jc w:val="left"/>
              <w:rPr>
                <w:color w:val="000000"/>
                <w:szCs w:val="21"/>
              </w:rPr>
            </w:pPr>
            <w:r>
              <w:rPr>
                <w:rFonts w:ascii="宋体" w:cs="宋体" w:hint="eastAsia"/>
                <w:color w:val="000000"/>
                <w:szCs w:val="21"/>
              </w:rPr>
              <w:t>需体现证件有效期</w:t>
            </w:r>
          </w:p>
        </w:tc>
        <w:tc>
          <w:tcPr>
            <w:tcW w:w="427" w:type="dxa"/>
            <w:tcBorders>
              <w:top w:val="nil"/>
              <w:left w:val="nil"/>
              <w:bottom w:val="single" w:sz="4" w:space="0" w:color="auto"/>
              <w:right w:val="single" w:sz="4" w:space="0" w:color="auto"/>
            </w:tcBorders>
            <w:vAlign w:val="center"/>
          </w:tcPr>
          <w:p w:rsidR="00BC36F9" w:rsidRDefault="0030070B">
            <w:pPr>
              <w:widowControl/>
              <w:jc w:val="center"/>
              <w:rPr>
                <w:color w:val="000000"/>
                <w:szCs w:val="21"/>
              </w:rPr>
            </w:pPr>
            <w:r>
              <w:rPr>
                <w:rFonts w:hint="eastAsia"/>
                <w:color w:val="000000"/>
                <w:szCs w:val="21"/>
              </w:rPr>
              <w:t>1</w:t>
            </w:r>
          </w:p>
        </w:tc>
      </w:tr>
      <w:tr w:rsidR="00BC36F9">
        <w:trPr>
          <w:trHeight w:val="1128"/>
        </w:trPr>
        <w:tc>
          <w:tcPr>
            <w:tcW w:w="427" w:type="dxa"/>
            <w:tcBorders>
              <w:top w:val="nil"/>
              <w:left w:val="single" w:sz="4" w:space="0" w:color="auto"/>
              <w:bottom w:val="single" w:sz="4" w:space="0" w:color="auto"/>
              <w:right w:val="single" w:sz="4" w:space="0" w:color="auto"/>
            </w:tcBorders>
            <w:vAlign w:val="center"/>
          </w:tcPr>
          <w:p w:rsidR="00BC36F9" w:rsidRDefault="0030070B">
            <w:pPr>
              <w:widowControl/>
              <w:jc w:val="center"/>
              <w:rPr>
                <w:color w:val="000000"/>
                <w:szCs w:val="21"/>
              </w:rPr>
            </w:pPr>
            <w:r>
              <w:rPr>
                <w:rFonts w:hint="eastAsia"/>
                <w:color w:val="000000"/>
                <w:szCs w:val="21"/>
              </w:rPr>
              <w:t>6</w:t>
            </w:r>
          </w:p>
        </w:tc>
        <w:tc>
          <w:tcPr>
            <w:tcW w:w="833" w:type="dxa"/>
            <w:vMerge/>
            <w:tcBorders>
              <w:top w:val="nil"/>
              <w:left w:val="single" w:sz="4" w:space="0" w:color="auto"/>
              <w:bottom w:val="single" w:sz="4" w:space="0" w:color="auto"/>
              <w:right w:val="single" w:sz="4" w:space="0" w:color="auto"/>
            </w:tcBorders>
            <w:vAlign w:val="center"/>
          </w:tcPr>
          <w:p w:rsidR="00BC36F9" w:rsidRDefault="00BC36F9"/>
        </w:tc>
        <w:tc>
          <w:tcPr>
            <w:tcW w:w="3957" w:type="dxa"/>
            <w:tcBorders>
              <w:top w:val="nil"/>
              <w:left w:val="nil"/>
              <w:bottom w:val="single" w:sz="4" w:space="0" w:color="auto"/>
              <w:right w:val="single" w:sz="4" w:space="0" w:color="auto"/>
            </w:tcBorders>
            <w:vAlign w:val="center"/>
          </w:tcPr>
          <w:p w:rsidR="00BC36F9" w:rsidRDefault="0030070B">
            <w:pPr>
              <w:widowControl/>
              <w:rPr>
                <w:rFonts w:ascii="宋体" w:cs="宋体"/>
                <w:color w:val="000000"/>
                <w:szCs w:val="21"/>
              </w:rPr>
            </w:pPr>
            <w:r>
              <w:rPr>
                <w:rFonts w:ascii="宋体" w:cs="宋体" w:hint="eastAsia"/>
                <w:color w:val="000000"/>
                <w:szCs w:val="21"/>
              </w:rPr>
              <w:t>出示机构资质证明文件，并提供复印件（加盖单位公章）</w:t>
            </w:r>
          </w:p>
        </w:tc>
        <w:tc>
          <w:tcPr>
            <w:tcW w:w="2878" w:type="dxa"/>
            <w:tcBorders>
              <w:top w:val="nil"/>
              <w:left w:val="nil"/>
              <w:bottom w:val="single" w:sz="4" w:space="0" w:color="auto"/>
              <w:right w:val="single" w:sz="4" w:space="0" w:color="auto"/>
            </w:tcBorders>
            <w:vAlign w:val="center"/>
          </w:tcPr>
          <w:p w:rsidR="00BC36F9" w:rsidRDefault="0030070B">
            <w:pPr>
              <w:widowControl/>
              <w:jc w:val="left"/>
              <w:rPr>
                <w:rFonts w:ascii="宋体" w:cs="宋体"/>
                <w:color w:val="000000"/>
                <w:szCs w:val="21"/>
              </w:rPr>
            </w:pPr>
            <w:r>
              <w:rPr>
                <w:rFonts w:ascii="宋体" w:cs="宋体" w:hint="eastAsia"/>
                <w:color w:val="000000"/>
                <w:szCs w:val="21"/>
              </w:rPr>
              <w:t>机构资质证明文件如金融许可证、经营证券期货业务许可证、保险法人许可证、私募基金管理人登记证等</w:t>
            </w:r>
          </w:p>
        </w:tc>
        <w:tc>
          <w:tcPr>
            <w:tcW w:w="427" w:type="dxa"/>
            <w:tcBorders>
              <w:top w:val="nil"/>
              <w:left w:val="nil"/>
              <w:bottom w:val="single" w:sz="4" w:space="0" w:color="auto"/>
              <w:right w:val="single" w:sz="4" w:space="0" w:color="auto"/>
            </w:tcBorders>
            <w:vAlign w:val="center"/>
          </w:tcPr>
          <w:p w:rsidR="00BC36F9" w:rsidRDefault="0030070B">
            <w:pPr>
              <w:widowControl/>
              <w:jc w:val="center"/>
              <w:rPr>
                <w:color w:val="000000"/>
                <w:szCs w:val="21"/>
              </w:rPr>
            </w:pPr>
            <w:r>
              <w:rPr>
                <w:rFonts w:hint="eastAsia"/>
                <w:color w:val="000000"/>
                <w:szCs w:val="21"/>
              </w:rPr>
              <w:t>1</w:t>
            </w:r>
          </w:p>
        </w:tc>
      </w:tr>
      <w:tr w:rsidR="00BC36F9">
        <w:trPr>
          <w:trHeight w:val="1584"/>
        </w:trPr>
        <w:tc>
          <w:tcPr>
            <w:tcW w:w="427" w:type="dxa"/>
            <w:tcBorders>
              <w:top w:val="nil"/>
              <w:left w:val="single" w:sz="4" w:space="0" w:color="auto"/>
              <w:bottom w:val="single" w:sz="4" w:space="0" w:color="auto"/>
              <w:right w:val="single" w:sz="4" w:space="0" w:color="auto"/>
            </w:tcBorders>
            <w:vAlign w:val="center"/>
          </w:tcPr>
          <w:p w:rsidR="00BC36F9" w:rsidRDefault="0030070B">
            <w:pPr>
              <w:widowControl/>
              <w:jc w:val="center"/>
              <w:rPr>
                <w:color w:val="000000"/>
                <w:szCs w:val="21"/>
              </w:rPr>
            </w:pPr>
            <w:r>
              <w:rPr>
                <w:rFonts w:hint="eastAsia"/>
                <w:color w:val="000000"/>
                <w:szCs w:val="21"/>
              </w:rPr>
              <w:t>7</w:t>
            </w:r>
          </w:p>
        </w:tc>
        <w:tc>
          <w:tcPr>
            <w:tcW w:w="833" w:type="dxa"/>
            <w:vMerge/>
            <w:tcBorders>
              <w:top w:val="nil"/>
              <w:left w:val="single" w:sz="4" w:space="0" w:color="auto"/>
              <w:bottom w:val="single" w:sz="4" w:space="0" w:color="auto"/>
              <w:right w:val="single" w:sz="4" w:space="0" w:color="auto"/>
            </w:tcBorders>
            <w:vAlign w:val="center"/>
          </w:tcPr>
          <w:p w:rsidR="00BC36F9" w:rsidRDefault="00BC36F9"/>
        </w:tc>
        <w:tc>
          <w:tcPr>
            <w:tcW w:w="3957" w:type="dxa"/>
            <w:tcBorders>
              <w:top w:val="nil"/>
              <w:left w:val="nil"/>
              <w:bottom w:val="single" w:sz="4" w:space="0" w:color="auto"/>
              <w:right w:val="single" w:sz="4" w:space="0" w:color="auto"/>
            </w:tcBorders>
            <w:vAlign w:val="center"/>
          </w:tcPr>
          <w:p w:rsidR="00BC36F9" w:rsidRDefault="0030070B">
            <w:pPr>
              <w:widowControl/>
              <w:rPr>
                <w:rFonts w:ascii="宋体" w:cs="宋体"/>
                <w:color w:val="000000"/>
                <w:szCs w:val="21"/>
              </w:rPr>
            </w:pPr>
            <w:r>
              <w:rPr>
                <w:rFonts w:ascii="宋体" w:cs="宋体" w:hint="eastAsia"/>
                <w:color w:val="000000"/>
                <w:szCs w:val="21"/>
              </w:rPr>
              <w:t>出示相应的股权或者控制权的相关证明材料，包括但不限于注册证书、存续证明文件、合伙协议、公司章程等，并提供复印件（加盖单位公章）</w:t>
            </w:r>
          </w:p>
        </w:tc>
        <w:tc>
          <w:tcPr>
            <w:tcW w:w="2878" w:type="dxa"/>
            <w:tcBorders>
              <w:top w:val="nil"/>
              <w:left w:val="nil"/>
              <w:bottom w:val="single" w:sz="4" w:space="0" w:color="auto"/>
              <w:right w:val="single" w:sz="4" w:space="0" w:color="auto"/>
            </w:tcBorders>
            <w:vAlign w:val="center"/>
          </w:tcPr>
          <w:p w:rsidR="00BC36F9" w:rsidRDefault="0030070B">
            <w:pPr>
              <w:widowControl/>
              <w:jc w:val="left"/>
              <w:rPr>
                <w:rFonts w:ascii="宋体" w:cs="宋体"/>
                <w:color w:val="000000"/>
                <w:szCs w:val="21"/>
              </w:rPr>
            </w:pPr>
            <w:r>
              <w:rPr>
                <w:rFonts w:ascii="宋体" w:cs="宋体" w:hint="eastAsia"/>
                <w:color w:val="000000"/>
                <w:szCs w:val="21"/>
              </w:rPr>
              <w:t>需体现公司股权结构及股东信息</w:t>
            </w:r>
          </w:p>
        </w:tc>
        <w:tc>
          <w:tcPr>
            <w:tcW w:w="427" w:type="dxa"/>
            <w:tcBorders>
              <w:top w:val="nil"/>
              <w:left w:val="nil"/>
              <w:bottom w:val="single" w:sz="4" w:space="0" w:color="auto"/>
              <w:right w:val="single" w:sz="4" w:space="0" w:color="auto"/>
            </w:tcBorders>
            <w:vAlign w:val="center"/>
          </w:tcPr>
          <w:p w:rsidR="00BC36F9" w:rsidRDefault="0030070B">
            <w:pPr>
              <w:widowControl/>
              <w:jc w:val="center"/>
              <w:rPr>
                <w:color w:val="000000"/>
                <w:szCs w:val="21"/>
              </w:rPr>
            </w:pPr>
            <w:r>
              <w:rPr>
                <w:rFonts w:hint="eastAsia"/>
                <w:color w:val="000000"/>
                <w:szCs w:val="21"/>
              </w:rPr>
              <w:t>1</w:t>
            </w:r>
          </w:p>
        </w:tc>
      </w:tr>
      <w:tr w:rsidR="00BC36F9">
        <w:trPr>
          <w:trHeight w:val="1395"/>
        </w:trPr>
        <w:tc>
          <w:tcPr>
            <w:tcW w:w="427" w:type="dxa"/>
            <w:tcBorders>
              <w:top w:val="nil"/>
              <w:left w:val="single" w:sz="4" w:space="0" w:color="auto"/>
              <w:bottom w:val="single" w:sz="4" w:space="0" w:color="auto"/>
              <w:right w:val="single" w:sz="4" w:space="0" w:color="auto"/>
            </w:tcBorders>
            <w:vAlign w:val="center"/>
          </w:tcPr>
          <w:p w:rsidR="00BC36F9" w:rsidRDefault="0030070B">
            <w:pPr>
              <w:widowControl/>
              <w:jc w:val="center"/>
              <w:rPr>
                <w:color w:val="000000"/>
                <w:szCs w:val="21"/>
              </w:rPr>
            </w:pPr>
            <w:r>
              <w:rPr>
                <w:rFonts w:hint="eastAsia"/>
                <w:color w:val="000000"/>
                <w:szCs w:val="21"/>
              </w:rPr>
              <w:t>8</w:t>
            </w:r>
          </w:p>
        </w:tc>
        <w:tc>
          <w:tcPr>
            <w:tcW w:w="833" w:type="dxa"/>
            <w:vMerge/>
            <w:tcBorders>
              <w:top w:val="nil"/>
              <w:left w:val="single" w:sz="4" w:space="0" w:color="auto"/>
              <w:bottom w:val="single" w:sz="4" w:space="0" w:color="auto"/>
              <w:right w:val="single" w:sz="4" w:space="0" w:color="auto"/>
            </w:tcBorders>
            <w:vAlign w:val="center"/>
          </w:tcPr>
          <w:p w:rsidR="00BC36F9" w:rsidRDefault="00BC36F9"/>
        </w:tc>
        <w:tc>
          <w:tcPr>
            <w:tcW w:w="3957" w:type="dxa"/>
            <w:tcBorders>
              <w:top w:val="nil"/>
              <w:left w:val="nil"/>
              <w:bottom w:val="single" w:sz="4" w:space="0" w:color="auto"/>
              <w:right w:val="single" w:sz="4" w:space="0" w:color="auto"/>
            </w:tcBorders>
            <w:vAlign w:val="center"/>
          </w:tcPr>
          <w:p w:rsidR="00BC36F9" w:rsidRDefault="0030070B">
            <w:pPr>
              <w:widowControl/>
              <w:rPr>
                <w:rFonts w:ascii="宋体" w:cs="宋体"/>
                <w:color w:val="000000"/>
                <w:szCs w:val="21"/>
              </w:rPr>
            </w:pPr>
            <w:r>
              <w:rPr>
                <w:rFonts w:ascii="宋体" w:cs="宋体" w:hint="eastAsia"/>
                <w:color w:val="000000"/>
                <w:szCs w:val="21"/>
              </w:rPr>
              <w:t>机构投资者为公司，请额外出示董事会、高级管理层和股东名单，股东名单应包括各股东持股数量的相关内容，并提供复印件（加盖单位公章）</w:t>
            </w:r>
          </w:p>
        </w:tc>
        <w:tc>
          <w:tcPr>
            <w:tcW w:w="2878" w:type="dxa"/>
            <w:tcBorders>
              <w:top w:val="nil"/>
              <w:left w:val="nil"/>
              <w:bottom w:val="single" w:sz="4" w:space="0" w:color="auto"/>
              <w:right w:val="single" w:sz="4" w:space="0" w:color="auto"/>
            </w:tcBorders>
            <w:vAlign w:val="center"/>
          </w:tcPr>
          <w:p w:rsidR="00BC36F9" w:rsidRDefault="0030070B">
            <w:pPr>
              <w:widowControl/>
              <w:jc w:val="left"/>
              <w:rPr>
                <w:rFonts w:ascii="宋体" w:cs="宋体"/>
                <w:color w:val="000000"/>
                <w:szCs w:val="21"/>
              </w:rPr>
            </w:pPr>
            <w:r>
              <w:rPr>
                <w:rFonts w:ascii="宋体" w:cs="宋体" w:hint="eastAsia"/>
                <w:color w:val="000000"/>
                <w:szCs w:val="21"/>
              </w:rPr>
              <w:t>需体现股东或董事会成员登记信息</w:t>
            </w:r>
          </w:p>
        </w:tc>
        <w:tc>
          <w:tcPr>
            <w:tcW w:w="427" w:type="dxa"/>
            <w:tcBorders>
              <w:top w:val="nil"/>
              <w:left w:val="nil"/>
              <w:bottom w:val="single" w:sz="4" w:space="0" w:color="auto"/>
              <w:right w:val="single" w:sz="4" w:space="0" w:color="auto"/>
            </w:tcBorders>
            <w:vAlign w:val="center"/>
          </w:tcPr>
          <w:p w:rsidR="00BC36F9" w:rsidRDefault="0030070B">
            <w:pPr>
              <w:widowControl/>
              <w:jc w:val="center"/>
              <w:rPr>
                <w:color w:val="000000"/>
                <w:szCs w:val="21"/>
              </w:rPr>
            </w:pPr>
            <w:r>
              <w:rPr>
                <w:rFonts w:hint="eastAsia"/>
                <w:color w:val="000000"/>
                <w:szCs w:val="21"/>
              </w:rPr>
              <w:t>1</w:t>
            </w:r>
          </w:p>
        </w:tc>
      </w:tr>
      <w:tr w:rsidR="00BC36F9">
        <w:trPr>
          <w:trHeight w:val="1295"/>
        </w:trPr>
        <w:tc>
          <w:tcPr>
            <w:tcW w:w="427" w:type="dxa"/>
            <w:tcBorders>
              <w:top w:val="nil"/>
              <w:left w:val="single" w:sz="4" w:space="0" w:color="auto"/>
              <w:bottom w:val="single" w:sz="4" w:space="0" w:color="auto"/>
              <w:right w:val="single" w:sz="4" w:space="0" w:color="auto"/>
            </w:tcBorders>
            <w:vAlign w:val="center"/>
          </w:tcPr>
          <w:p w:rsidR="00BC36F9" w:rsidRDefault="0030070B">
            <w:pPr>
              <w:widowControl/>
              <w:jc w:val="center"/>
              <w:rPr>
                <w:color w:val="000000"/>
                <w:szCs w:val="21"/>
              </w:rPr>
            </w:pPr>
            <w:r>
              <w:rPr>
                <w:rFonts w:hint="eastAsia"/>
                <w:color w:val="000000"/>
                <w:szCs w:val="21"/>
              </w:rPr>
              <w:t>9</w:t>
            </w:r>
          </w:p>
        </w:tc>
        <w:tc>
          <w:tcPr>
            <w:tcW w:w="833" w:type="dxa"/>
            <w:vMerge/>
            <w:tcBorders>
              <w:top w:val="nil"/>
              <w:left w:val="single" w:sz="4" w:space="0" w:color="auto"/>
              <w:bottom w:val="single" w:sz="4" w:space="0" w:color="auto"/>
              <w:right w:val="single" w:sz="4" w:space="0" w:color="auto"/>
            </w:tcBorders>
            <w:vAlign w:val="center"/>
          </w:tcPr>
          <w:p w:rsidR="00BC36F9" w:rsidRDefault="00BC36F9"/>
        </w:tc>
        <w:tc>
          <w:tcPr>
            <w:tcW w:w="3957" w:type="dxa"/>
            <w:tcBorders>
              <w:top w:val="nil"/>
              <w:left w:val="nil"/>
              <w:bottom w:val="single" w:sz="4" w:space="0" w:color="auto"/>
              <w:right w:val="single" w:sz="4" w:space="0" w:color="auto"/>
            </w:tcBorders>
            <w:vAlign w:val="center"/>
          </w:tcPr>
          <w:p w:rsidR="00BC36F9" w:rsidRDefault="0030070B">
            <w:pPr>
              <w:widowControl/>
              <w:rPr>
                <w:color w:val="000000"/>
                <w:szCs w:val="21"/>
              </w:rPr>
            </w:pPr>
            <w:r>
              <w:rPr>
                <w:rFonts w:ascii="宋体" w:cs="宋体" w:hint="eastAsia"/>
                <w:color w:val="000000"/>
                <w:szCs w:val="21"/>
              </w:rPr>
              <w:t>提供兴业基金管理有限公司认为与办理账户类有关的其它证明材料</w:t>
            </w:r>
          </w:p>
        </w:tc>
        <w:tc>
          <w:tcPr>
            <w:tcW w:w="2878" w:type="dxa"/>
            <w:tcBorders>
              <w:top w:val="nil"/>
              <w:left w:val="nil"/>
              <w:bottom w:val="single" w:sz="4" w:space="0" w:color="auto"/>
              <w:right w:val="single" w:sz="4" w:space="0" w:color="auto"/>
            </w:tcBorders>
            <w:vAlign w:val="center"/>
          </w:tcPr>
          <w:p w:rsidR="00BC36F9" w:rsidRDefault="0030070B">
            <w:pPr>
              <w:widowControl/>
              <w:jc w:val="left"/>
              <w:rPr>
                <w:color w:val="000000"/>
                <w:szCs w:val="21"/>
              </w:rPr>
            </w:pPr>
            <w:r>
              <w:rPr>
                <w:rFonts w:ascii="宋体" w:cs="宋体" w:hint="eastAsia"/>
                <w:color w:val="000000"/>
                <w:szCs w:val="21"/>
              </w:rPr>
              <w:t>如需要时，请提供；并加盖单位公章</w:t>
            </w:r>
          </w:p>
        </w:tc>
        <w:tc>
          <w:tcPr>
            <w:tcW w:w="427" w:type="dxa"/>
            <w:tcBorders>
              <w:top w:val="nil"/>
              <w:left w:val="nil"/>
              <w:bottom w:val="single" w:sz="4" w:space="0" w:color="auto"/>
              <w:right w:val="single" w:sz="4" w:space="0" w:color="auto"/>
            </w:tcBorders>
            <w:vAlign w:val="center"/>
          </w:tcPr>
          <w:p w:rsidR="00BC36F9" w:rsidRDefault="0030070B">
            <w:pPr>
              <w:widowControl/>
              <w:jc w:val="center"/>
              <w:rPr>
                <w:color w:val="000000"/>
                <w:szCs w:val="21"/>
              </w:rPr>
            </w:pPr>
            <w:r>
              <w:rPr>
                <w:rFonts w:hint="eastAsia"/>
                <w:color w:val="000000"/>
                <w:szCs w:val="21"/>
              </w:rPr>
              <w:t>1</w:t>
            </w:r>
          </w:p>
        </w:tc>
      </w:tr>
      <w:tr w:rsidR="00BC36F9">
        <w:trPr>
          <w:trHeight w:val="7078"/>
        </w:trPr>
        <w:tc>
          <w:tcPr>
            <w:tcW w:w="427" w:type="dxa"/>
            <w:tcBorders>
              <w:top w:val="nil"/>
              <w:left w:val="single" w:sz="4" w:space="0" w:color="auto"/>
              <w:bottom w:val="single" w:sz="4" w:space="0" w:color="auto"/>
              <w:right w:val="single" w:sz="4" w:space="0" w:color="auto"/>
            </w:tcBorders>
            <w:vAlign w:val="center"/>
          </w:tcPr>
          <w:p w:rsidR="00BC36F9" w:rsidRDefault="0030070B">
            <w:pPr>
              <w:widowControl/>
              <w:jc w:val="center"/>
              <w:rPr>
                <w:bCs/>
                <w:color w:val="000000"/>
                <w:szCs w:val="21"/>
              </w:rPr>
            </w:pPr>
            <w:r>
              <w:rPr>
                <w:rFonts w:hint="eastAsia"/>
                <w:bCs/>
                <w:color w:val="000000"/>
                <w:szCs w:val="21"/>
              </w:rPr>
              <w:t>1</w:t>
            </w:r>
          </w:p>
        </w:tc>
        <w:tc>
          <w:tcPr>
            <w:tcW w:w="833" w:type="dxa"/>
            <w:vMerge w:val="restart"/>
            <w:tcBorders>
              <w:top w:val="nil"/>
              <w:left w:val="single" w:sz="4" w:space="0" w:color="auto"/>
              <w:bottom w:val="single" w:sz="4" w:space="0" w:color="auto"/>
              <w:right w:val="single" w:sz="4" w:space="0" w:color="auto"/>
            </w:tcBorders>
            <w:vAlign w:val="center"/>
          </w:tcPr>
          <w:p w:rsidR="00BC36F9" w:rsidRDefault="0030070B">
            <w:pPr>
              <w:widowControl/>
              <w:jc w:val="center"/>
              <w:rPr>
                <w:b/>
                <w:bCs/>
                <w:color w:val="000000"/>
                <w:szCs w:val="21"/>
              </w:rPr>
            </w:pPr>
            <w:r>
              <w:rPr>
                <w:rFonts w:ascii="宋体" w:cs="宋体" w:hint="eastAsia"/>
                <w:b/>
                <w:bCs/>
                <w:color w:val="000000"/>
                <w:szCs w:val="21"/>
              </w:rPr>
              <w:t>适当性材料</w:t>
            </w:r>
          </w:p>
        </w:tc>
        <w:tc>
          <w:tcPr>
            <w:tcW w:w="3957" w:type="dxa"/>
            <w:tcBorders>
              <w:top w:val="nil"/>
              <w:left w:val="nil"/>
              <w:bottom w:val="single" w:sz="4" w:space="0" w:color="auto"/>
              <w:right w:val="single" w:sz="4" w:space="0" w:color="auto"/>
            </w:tcBorders>
            <w:vAlign w:val="center"/>
          </w:tcPr>
          <w:p w:rsidR="00BC36F9" w:rsidRDefault="0030070B">
            <w:pPr>
              <w:widowControl/>
              <w:rPr>
                <w:color w:val="000000"/>
                <w:szCs w:val="21"/>
              </w:rPr>
            </w:pPr>
            <w:r>
              <w:rPr>
                <w:rFonts w:ascii="宋体" w:cs="宋体" w:hint="eastAsia"/>
                <w:color w:val="000000"/>
                <w:szCs w:val="21"/>
              </w:rPr>
              <w:t>专业投资者判定问卷（申请开户、投资者类别转换时</w:t>
            </w:r>
            <w:r>
              <w:rPr>
                <w:rFonts w:ascii="宋体" w:cs="宋体" w:hint="eastAsia"/>
                <w:b/>
                <w:bCs/>
                <w:color w:val="000000"/>
                <w:szCs w:val="21"/>
              </w:rPr>
              <w:t>必填</w:t>
            </w:r>
            <w:r>
              <w:rPr>
                <w:rFonts w:ascii="宋体" w:cs="宋体" w:hint="eastAsia"/>
                <w:color w:val="000000"/>
                <w:szCs w:val="21"/>
              </w:rPr>
              <w:t>）</w:t>
            </w:r>
          </w:p>
        </w:tc>
        <w:tc>
          <w:tcPr>
            <w:tcW w:w="2878" w:type="dxa"/>
            <w:vMerge w:val="restart"/>
            <w:tcBorders>
              <w:top w:val="nil"/>
              <w:left w:val="single" w:sz="4" w:space="0" w:color="auto"/>
              <w:bottom w:val="single" w:sz="4" w:space="0" w:color="auto"/>
              <w:right w:val="single" w:sz="4" w:space="0" w:color="auto"/>
            </w:tcBorders>
            <w:vAlign w:val="center"/>
          </w:tcPr>
          <w:p w:rsidR="00BC36F9" w:rsidRDefault="0030070B">
            <w:pPr>
              <w:widowControl/>
              <w:jc w:val="left"/>
              <w:rPr>
                <w:color w:val="000000"/>
                <w:szCs w:val="21"/>
              </w:rPr>
            </w:pPr>
            <w:r>
              <w:rPr>
                <w:rFonts w:ascii="宋体" w:cs="宋体" w:hint="eastAsia"/>
                <w:color w:val="000000"/>
                <w:szCs w:val="21"/>
              </w:rPr>
              <w:t>（</w:t>
            </w:r>
            <w:r>
              <w:rPr>
                <w:rFonts w:hint="eastAsia"/>
                <w:color w:val="000000"/>
                <w:szCs w:val="21"/>
              </w:rPr>
              <w:t>1</w:t>
            </w:r>
            <w:r>
              <w:rPr>
                <w:rFonts w:ascii="宋体" w:cs="宋体" w:hint="eastAsia"/>
                <w:color w:val="000000"/>
                <w:szCs w:val="21"/>
              </w:rPr>
              <w:t>）投资者需填写专业投资者判定问卷，并根据自身判定结果，附上相应证明材料。</w:t>
            </w:r>
            <w:r>
              <w:rPr>
                <w:rFonts w:hint="eastAsia"/>
                <w:color w:val="000000"/>
                <w:szCs w:val="21"/>
              </w:rPr>
              <w:t xml:space="preserve">               </w:t>
            </w:r>
          </w:p>
          <w:p w:rsidR="00BC36F9" w:rsidRDefault="0030070B">
            <w:pPr>
              <w:widowControl/>
              <w:jc w:val="left"/>
              <w:rPr>
                <w:color w:val="000000"/>
                <w:szCs w:val="21"/>
              </w:rPr>
            </w:pPr>
            <w:r>
              <w:rPr>
                <w:rFonts w:ascii="宋体" w:cs="宋体" w:hint="eastAsia"/>
                <w:color w:val="000000"/>
                <w:szCs w:val="21"/>
              </w:rPr>
              <w:t>（</w:t>
            </w:r>
            <w:r>
              <w:rPr>
                <w:rFonts w:hint="eastAsia"/>
                <w:color w:val="000000"/>
                <w:szCs w:val="21"/>
              </w:rPr>
              <w:t>2</w:t>
            </w:r>
            <w:r>
              <w:rPr>
                <w:rFonts w:ascii="宋体" w:cs="宋体" w:hint="eastAsia"/>
                <w:color w:val="000000"/>
                <w:szCs w:val="21"/>
              </w:rPr>
              <w:t>）专业投资者证明材料如下</w:t>
            </w:r>
            <w:r>
              <w:rPr>
                <w:rFonts w:hint="eastAsia"/>
                <w:color w:val="000000"/>
                <w:szCs w:val="21"/>
              </w:rPr>
              <w:t>:   a</w:t>
            </w:r>
            <w:r>
              <w:rPr>
                <w:rFonts w:ascii="宋体" w:cs="宋体" w:hint="eastAsia"/>
                <w:color w:val="000000"/>
                <w:szCs w:val="21"/>
              </w:rPr>
              <w:t>、经有关金融监管部门批准设立的金融机构，包括证券公司、期货公司、基金管理公司及其子公司、商业银行、保险公司、信托公司、财务公司等；经行业协会备案或者登记的证券公司子公司、期货公司子公司、私募基金管理人。</w:t>
            </w:r>
            <w:r>
              <w:rPr>
                <w:rFonts w:hint="eastAsia"/>
                <w:color w:val="000000"/>
                <w:szCs w:val="21"/>
              </w:rPr>
              <w:t xml:space="preserve">                        b</w:t>
            </w:r>
            <w:r>
              <w:rPr>
                <w:rFonts w:ascii="宋体" w:cs="宋体" w:hint="eastAsia"/>
                <w:color w:val="000000"/>
                <w:szCs w:val="21"/>
              </w:rPr>
              <w:t>、上述机构面向投资者发行的理财产品，包括但不限于证券公司资产管理产品、基金管理公司及其子公司产品、期货公司资产管理产品、银行理财产品、保险产品、信托产品、经行业协会备案的私募基金。</w:t>
            </w:r>
            <w:r>
              <w:rPr>
                <w:rFonts w:hint="eastAsia"/>
                <w:color w:val="000000"/>
                <w:szCs w:val="21"/>
              </w:rPr>
              <w:t xml:space="preserve"> </w:t>
            </w:r>
          </w:p>
          <w:p w:rsidR="00BC36F9" w:rsidRDefault="0030070B">
            <w:pPr>
              <w:widowControl/>
              <w:jc w:val="left"/>
              <w:rPr>
                <w:color w:val="000000"/>
                <w:szCs w:val="21"/>
              </w:rPr>
            </w:pPr>
            <w:r>
              <w:rPr>
                <w:rFonts w:hint="eastAsia"/>
                <w:color w:val="000000"/>
                <w:szCs w:val="21"/>
              </w:rPr>
              <w:t>c</w:t>
            </w:r>
            <w:r>
              <w:rPr>
                <w:rFonts w:ascii="宋体" w:cs="宋体" w:hint="eastAsia"/>
                <w:color w:val="000000"/>
                <w:szCs w:val="21"/>
              </w:rPr>
              <w:t>、社会保障基金、企业年金等养老基金，慈善基金等社会公益基金，合格境外机构投资者（</w:t>
            </w:r>
            <w:r>
              <w:rPr>
                <w:rFonts w:hint="eastAsia"/>
                <w:color w:val="000000"/>
                <w:szCs w:val="21"/>
              </w:rPr>
              <w:t>QFII</w:t>
            </w:r>
            <w:r>
              <w:rPr>
                <w:rFonts w:ascii="宋体" w:cs="宋体" w:hint="eastAsia"/>
                <w:color w:val="000000"/>
                <w:szCs w:val="21"/>
              </w:rPr>
              <w:t>）</w:t>
            </w:r>
            <w:r>
              <w:rPr>
                <w:rFonts w:hint="eastAsia"/>
                <w:color w:val="000000"/>
                <w:szCs w:val="21"/>
              </w:rPr>
              <w:t xml:space="preserve"> </w:t>
            </w:r>
            <w:r>
              <w:rPr>
                <w:rFonts w:ascii="宋体" w:cs="宋体" w:hint="eastAsia"/>
                <w:color w:val="000000"/>
                <w:szCs w:val="21"/>
              </w:rPr>
              <w:t>、人民币合格境外机构投资者（</w:t>
            </w:r>
            <w:r>
              <w:rPr>
                <w:rFonts w:hint="eastAsia"/>
                <w:color w:val="000000"/>
                <w:szCs w:val="21"/>
              </w:rPr>
              <w:t>RQFII</w:t>
            </w:r>
            <w:r>
              <w:rPr>
                <w:rFonts w:ascii="宋体" w:cs="宋体" w:hint="eastAsia"/>
                <w:color w:val="000000"/>
                <w:szCs w:val="21"/>
              </w:rPr>
              <w:t>）。</w:t>
            </w:r>
            <w:r>
              <w:rPr>
                <w:rFonts w:ascii="宋体" w:cs="宋体" w:hint="eastAsia"/>
                <w:color w:val="000000"/>
                <w:szCs w:val="21"/>
              </w:rPr>
              <w:t xml:space="preserve">                </w:t>
            </w:r>
            <w:r>
              <w:rPr>
                <w:rFonts w:hint="eastAsia"/>
                <w:color w:val="000000"/>
                <w:szCs w:val="21"/>
              </w:rPr>
              <w:t>d</w:t>
            </w:r>
            <w:r>
              <w:rPr>
                <w:rFonts w:ascii="宋体" w:cs="宋体" w:hint="eastAsia"/>
                <w:color w:val="000000"/>
                <w:szCs w:val="21"/>
              </w:rPr>
              <w:t>、同时符合下列条件的法人或者其他组织：</w:t>
            </w:r>
            <w:r>
              <w:rPr>
                <w:rFonts w:hint="eastAsia"/>
                <w:color w:val="000000"/>
                <w:szCs w:val="21"/>
              </w:rPr>
              <w:t>1.</w:t>
            </w:r>
            <w:r>
              <w:rPr>
                <w:rFonts w:ascii="宋体" w:cs="宋体" w:hint="eastAsia"/>
                <w:color w:val="000000"/>
                <w:szCs w:val="21"/>
              </w:rPr>
              <w:t>最近</w:t>
            </w:r>
            <w:r>
              <w:rPr>
                <w:rFonts w:hint="eastAsia"/>
                <w:color w:val="000000"/>
                <w:szCs w:val="21"/>
              </w:rPr>
              <w:t>1</w:t>
            </w:r>
            <w:r>
              <w:rPr>
                <w:rFonts w:ascii="宋体" w:cs="宋体" w:hint="eastAsia"/>
                <w:color w:val="000000"/>
                <w:szCs w:val="21"/>
              </w:rPr>
              <w:t>年末净资产不低于</w:t>
            </w:r>
            <w:r>
              <w:rPr>
                <w:rFonts w:hint="eastAsia"/>
                <w:color w:val="000000"/>
                <w:szCs w:val="21"/>
              </w:rPr>
              <w:t>2000</w:t>
            </w:r>
            <w:r>
              <w:rPr>
                <w:rFonts w:ascii="宋体" w:cs="宋体" w:hint="eastAsia"/>
                <w:color w:val="000000"/>
                <w:szCs w:val="21"/>
              </w:rPr>
              <w:t>万元；</w:t>
            </w:r>
            <w:r>
              <w:rPr>
                <w:rFonts w:hint="eastAsia"/>
                <w:color w:val="000000"/>
                <w:szCs w:val="21"/>
              </w:rPr>
              <w:t>2.</w:t>
            </w:r>
            <w:r>
              <w:rPr>
                <w:rFonts w:ascii="宋体" w:cs="宋体" w:hint="eastAsia"/>
                <w:color w:val="000000"/>
                <w:szCs w:val="21"/>
              </w:rPr>
              <w:t>最近</w:t>
            </w:r>
            <w:r>
              <w:rPr>
                <w:rFonts w:hint="eastAsia"/>
                <w:color w:val="000000"/>
                <w:szCs w:val="21"/>
              </w:rPr>
              <w:t>1</w:t>
            </w:r>
            <w:r>
              <w:rPr>
                <w:rFonts w:ascii="宋体" w:cs="宋体" w:hint="eastAsia"/>
                <w:color w:val="000000"/>
                <w:szCs w:val="21"/>
              </w:rPr>
              <w:t>年末金融资产不低于</w:t>
            </w:r>
            <w:r>
              <w:rPr>
                <w:rFonts w:hint="eastAsia"/>
                <w:color w:val="000000"/>
                <w:szCs w:val="21"/>
              </w:rPr>
              <w:t>1000</w:t>
            </w:r>
            <w:r>
              <w:rPr>
                <w:rFonts w:ascii="宋体" w:cs="宋体" w:hint="eastAsia"/>
                <w:color w:val="000000"/>
                <w:szCs w:val="21"/>
              </w:rPr>
              <w:t>万元；</w:t>
            </w:r>
            <w:r>
              <w:rPr>
                <w:rFonts w:hint="eastAsia"/>
                <w:color w:val="000000"/>
                <w:szCs w:val="21"/>
              </w:rPr>
              <w:t>3.</w:t>
            </w:r>
            <w:r>
              <w:rPr>
                <w:rFonts w:ascii="宋体" w:cs="宋体" w:hint="eastAsia"/>
                <w:color w:val="000000"/>
                <w:szCs w:val="21"/>
              </w:rPr>
              <w:t>具有</w:t>
            </w:r>
            <w:r>
              <w:rPr>
                <w:rFonts w:hint="eastAsia"/>
                <w:color w:val="000000"/>
                <w:szCs w:val="21"/>
              </w:rPr>
              <w:t>2</w:t>
            </w:r>
            <w:r>
              <w:rPr>
                <w:rFonts w:ascii="宋体" w:cs="宋体" w:hint="eastAsia"/>
                <w:color w:val="000000"/>
                <w:szCs w:val="21"/>
              </w:rPr>
              <w:t>年以上证券、基金、期货、黄金</w:t>
            </w:r>
            <w:r>
              <w:rPr>
                <w:rFonts w:ascii="宋体" w:cs="宋体" w:hint="eastAsia"/>
                <w:color w:val="000000"/>
                <w:szCs w:val="21"/>
              </w:rPr>
              <w:t>、外汇等投资经历。</w:t>
            </w:r>
          </w:p>
        </w:tc>
        <w:tc>
          <w:tcPr>
            <w:tcW w:w="427" w:type="dxa"/>
            <w:tcBorders>
              <w:top w:val="nil"/>
              <w:left w:val="nil"/>
              <w:bottom w:val="single" w:sz="4" w:space="0" w:color="auto"/>
              <w:right w:val="single" w:sz="4" w:space="0" w:color="auto"/>
            </w:tcBorders>
            <w:vAlign w:val="center"/>
          </w:tcPr>
          <w:p w:rsidR="00BC36F9" w:rsidRDefault="0030070B">
            <w:pPr>
              <w:widowControl/>
              <w:jc w:val="center"/>
              <w:rPr>
                <w:color w:val="000000"/>
                <w:szCs w:val="21"/>
              </w:rPr>
            </w:pPr>
            <w:r>
              <w:rPr>
                <w:rFonts w:hint="eastAsia"/>
                <w:color w:val="000000"/>
                <w:szCs w:val="21"/>
              </w:rPr>
              <w:t>2</w:t>
            </w:r>
          </w:p>
        </w:tc>
      </w:tr>
      <w:tr w:rsidR="00BC36F9">
        <w:trPr>
          <w:trHeight w:val="570"/>
        </w:trPr>
        <w:tc>
          <w:tcPr>
            <w:tcW w:w="427" w:type="dxa"/>
            <w:tcBorders>
              <w:top w:val="nil"/>
              <w:left w:val="single" w:sz="4" w:space="0" w:color="auto"/>
              <w:bottom w:val="single" w:sz="4" w:space="0" w:color="auto"/>
              <w:right w:val="single" w:sz="4" w:space="0" w:color="auto"/>
            </w:tcBorders>
            <w:vAlign w:val="center"/>
          </w:tcPr>
          <w:p w:rsidR="00BC36F9" w:rsidRDefault="0030070B">
            <w:pPr>
              <w:widowControl/>
              <w:jc w:val="center"/>
              <w:rPr>
                <w:bCs/>
                <w:color w:val="000000"/>
                <w:szCs w:val="21"/>
              </w:rPr>
            </w:pPr>
            <w:r>
              <w:rPr>
                <w:rFonts w:hint="eastAsia"/>
                <w:bCs/>
                <w:color w:val="000000"/>
                <w:szCs w:val="21"/>
              </w:rPr>
              <w:t>2</w:t>
            </w:r>
          </w:p>
        </w:tc>
        <w:tc>
          <w:tcPr>
            <w:tcW w:w="833" w:type="dxa"/>
            <w:vMerge/>
            <w:tcBorders>
              <w:top w:val="nil"/>
              <w:left w:val="single" w:sz="4" w:space="0" w:color="auto"/>
              <w:bottom w:val="single" w:sz="4" w:space="0" w:color="auto"/>
              <w:right w:val="single" w:sz="4" w:space="0" w:color="auto"/>
            </w:tcBorders>
            <w:vAlign w:val="center"/>
          </w:tcPr>
          <w:p w:rsidR="00BC36F9" w:rsidRDefault="00BC36F9"/>
        </w:tc>
        <w:tc>
          <w:tcPr>
            <w:tcW w:w="3957" w:type="dxa"/>
            <w:tcBorders>
              <w:top w:val="nil"/>
              <w:left w:val="nil"/>
              <w:bottom w:val="single" w:sz="4" w:space="0" w:color="auto"/>
              <w:right w:val="single" w:sz="4" w:space="0" w:color="auto"/>
            </w:tcBorders>
            <w:vAlign w:val="center"/>
          </w:tcPr>
          <w:p w:rsidR="00BC36F9" w:rsidRDefault="0030070B">
            <w:pPr>
              <w:widowControl/>
              <w:rPr>
                <w:color w:val="000000"/>
                <w:szCs w:val="21"/>
              </w:rPr>
            </w:pPr>
            <w:r>
              <w:rPr>
                <w:rFonts w:ascii="宋体" w:cs="宋体" w:hint="eastAsia"/>
                <w:color w:val="000000"/>
                <w:szCs w:val="21"/>
              </w:rPr>
              <w:t>普通投资者转化为专业投资者申请及确认书</w:t>
            </w:r>
          </w:p>
        </w:tc>
        <w:tc>
          <w:tcPr>
            <w:tcW w:w="2878" w:type="dxa"/>
            <w:vMerge/>
            <w:tcBorders>
              <w:top w:val="nil"/>
              <w:left w:val="single" w:sz="4" w:space="0" w:color="auto"/>
              <w:bottom w:val="single" w:sz="4" w:space="0" w:color="auto"/>
              <w:right w:val="single" w:sz="4" w:space="0" w:color="auto"/>
            </w:tcBorders>
            <w:vAlign w:val="center"/>
          </w:tcPr>
          <w:p w:rsidR="00BC36F9" w:rsidRDefault="00BC36F9"/>
        </w:tc>
        <w:tc>
          <w:tcPr>
            <w:tcW w:w="427" w:type="dxa"/>
            <w:tcBorders>
              <w:top w:val="nil"/>
              <w:left w:val="nil"/>
              <w:bottom w:val="single" w:sz="4" w:space="0" w:color="auto"/>
              <w:right w:val="single" w:sz="4" w:space="0" w:color="auto"/>
            </w:tcBorders>
            <w:vAlign w:val="center"/>
          </w:tcPr>
          <w:p w:rsidR="00BC36F9" w:rsidRDefault="0030070B">
            <w:pPr>
              <w:widowControl/>
              <w:jc w:val="center"/>
              <w:rPr>
                <w:color w:val="000000"/>
                <w:szCs w:val="21"/>
              </w:rPr>
            </w:pPr>
            <w:r>
              <w:rPr>
                <w:rFonts w:hint="eastAsia"/>
                <w:color w:val="000000"/>
                <w:szCs w:val="21"/>
              </w:rPr>
              <w:t>2</w:t>
            </w:r>
          </w:p>
        </w:tc>
      </w:tr>
      <w:tr w:rsidR="00BC36F9">
        <w:trPr>
          <w:trHeight w:val="285"/>
        </w:trPr>
        <w:tc>
          <w:tcPr>
            <w:tcW w:w="427" w:type="dxa"/>
            <w:tcBorders>
              <w:top w:val="nil"/>
              <w:left w:val="single" w:sz="4" w:space="0" w:color="auto"/>
              <w:bottom w:val="single" w:sz="4" w:space="0" w:color="auto"/>
              <w:right w:val="single" w:sz="4" w:space="0" w:color="auto"/>
            </w:tcBorders>
            <w:vAlign w:val="center"/>
          </w:tcPr>
          <w:p w:rsidR="00BC36F9" w:rsidRDefault="0030070B">
            <w:pPr>
              <w:widowControl/>
              <w:jc w:val="center"/>
              <w:rPr>
                <w:bCs/>
                <w:color w:val="000000"/>
                <w:szCs w:val="21"/>
              </w:rPr>
            </w:pPr>
            <w:r>
              <w:rPr>
                <w:rFonts w:hint="eastAsia"/>
                <w:bCs/>
                <w:color w:val="000000"/>
                <w:szCs w:val="21"/>
              </w:rPr>
              <w:t>3</w:t>
            </w:r>
          </w:p>
        </w:tc>
        <w:tc>
          <w:tcPr>
            <w:tcW w:w="833" w:type="dxa"/>
            <w:vMerge/>
            <w:tcBorders>
              <w:top w:val="nil"/>
              <w:left w:val="single" w:sz="4" w:space="0" w:color="auto"/>
              <w:bottom w:val="single" w:sz="4" w:space="0" w:color="auto"/>
              <w:right w:val="single" w:sz="4" w:space="0" w:color="auto"/>
            </w:tcBorders>
            <w:vAlign w:val="center"/>
          </w:tcPr>
          <w:p w:rsidR="00BC36F9" w:rsidRDefault="00BC36F9"/>
        </w:tc>
        <w:tc>
          <w:tcPr>
            <w:tcW w:w="3957" w:type="dxa"/>
            <w:tcBorders>
              <w:top w:val="nil"/>
              <w:left w:val="nil"/>
              <w:bottom w:val="single" w:sz="4" w:space="0" w:color="auto"/>
              <w:right w:val="single" w:sz="4" w:space="0" w:color="auto"/>
            </w:tcBorders>
            <w:vAlign w:val="center"/>
          </w:tcPr>
          <w:p w:rsidR="00BC36F9" w:rsidRDefault="0030070B">
            <w:pPr>
              <w:widowControl/>
              <w:rPr>
                <w:color w:val="000000"/>
                <w:szCs w:val="21"/>
              </w:rPr>
            </w:pPr>
            <w:r>
              <w:rPr>
                <w:rFonts w:ascii="宋体" w:cs="宋体" w:hint="eastAsia"/>
                <w:color w:val="000000"/>
                <w:szCs w:val="21"/>
              </w:rPr>
              <w:t>投资知识测试问卷</w:t>
            </w:r>
          </w:p>
        </w:tc>
        <w:tc>
          <w:tcPr>
            <w:tcW w:w="2878" w:type="dxa"/>
            <w:vMerge/>
            <w:tcBorders>
              <w:top w:val="nil"/>
              <w:left w:val="single" w:sz="4" w:space="0" w:color="auto"/>
              <w:bottom w:val="single" w:sz="4" w:space="0" w:color="auto"/>
              <w:right w:val="single" w:sz="4" w:space="0" w:color="auto"/>
            </w:tcBorders>
            <w:vAlign w:val="center"/>
          </w:tcPr>
          <w:p w:rsidR="00BC36F9" w:rsidRDefault="00BC36F9"/>
        </w:tc>
        <w:tc>
          <w:tcPr>
            <w:tcW w:w="427" w:type="dxa"/>
            <w:tcBorders>
              <w:top w:val="nil"/>
              <w:left w:val="nil"/>
              <w:bottom w:val="single" w:sz="4" w:space="0" w:color="auto"/>
              <w:right w:val="single" w:sz="4" w:space="0" w:color="auto"/>
            </w:tcBorders>
            <w:vAlign w:val="center"/>
          </w:tcPr>
          <w:p w:rsidR="00BC36F9" w:rsidRDefault="0030070B">
            <w:pPr>
              <w:widowControl/>
              <w:jc w:val="center"/>
              <w:rPr>
                <w:color w:val="000000"/>
                <w:szCs w:val="21"/>
              </w:rPr>
            </w:pPr>
            <w:r>
              <w:rPr>
                <w:rFonts w:hint="eastAsia"/>
                <w:color w:val="000000"/>
                <w:szCs w:val="21"/>
              </w:rPr>
              <w:t>2</w:t>
            </w:r>
          </w:p>
        </w:tc>
      </w:tr>
      <w:tr w:rsidR="00BC36F9">
        <w:trPr>
          <w:trHeight w:val="570"/>
        </w:trPr>
        <w:tc>
          <w:tcPr>
            <w:tcW w:w="427" w:type="dxa"/>
            <w:tcBorders>
              <w:top w:val="nil"/>
              <w:left w:val="single" w:sz="4" w:space="0" w:color="auto"/>
              <w:bottom w:val="single" w:sz="4" w:space="0" w:color="auto"/>
              <w:right w:val="single" w:sz="4" w:space="0" w:color="auto"/>
            </w:tcBorders>
            <w:vAlign w:val="center"/>
          </w:tcPr>
          <w:p w:rsidR="00BC36F9" w:rsidRDefault="0030070B">
            <w:pPr>
              <w:widowControl/>
              <w:jc w:val="center"/>
              <w:rPr>
                <w:bCs/>
                <w:color w:val="000000"/>
                <w:szCs w:val="21"/>
              </w:rPr>
            </w:pPr>
            <w:r>
              <w:rPr>
                <w:rFonts w:hint="eastAsia"/>
                <w:bCs/>
                <w:color w:val="000000"/>
                <w:szCs w:val="21"/>
              </w:rPr>
              <w:t>4</w:t>
            </w:r>
          </w:p>
        </w:tc>
        <w:tc>
          <w:tcPr>
            <w:tcW w:w="833" w:type="dxa"/>
            <w:vMerge/>
            <w:tcBorders>
              <w:top w:val="nil"/>
              <w:left w:val="single" w:sz="4" w:space="0" w:color="auto"/>
              <w:bottom w:val="single" w:sz="4" w:space="0" w:color="auto"/>
              <w:right w:val="single" w:sz="4" w:space="0" w:color="auto"/>
            </w:tcBorders>
            <w:vAlign w:val="center"/>
          </w:tcPr>
          <w:p w:rsidR="00BC36F9" w:rsidRDefault="00BC36F9"/>
        </w:tc>
        <w:tc>
          <w:tcPr>
            <w:tcW w:w="3957" w:type="dxa"/>
            <w:tcBorders>
              <w:top w:val="nil"/>
              <w:left w:val="nil"/>
              <w:bottom w:val="single" w:sz="4" w:space="0" w:color="auto"/>
              <w:right w:val="single" w:sz="4" w:space="0" w:color="auto"/>
            </w:tcBorders>
            <w:vAlign w:val="center"/>
          </w:tcPr>
          <w:p w:rsidR="00BC36F9" w:rsidRDefault="0030070B">
            <w:pPr>
              <w:widowControl/>
              <w:rPr>
                <w:color w:val="000000"/>
                <w:szCs w:val="21"/>
              </w:rPr>
            </w:pPr>
            <w:r>
              <w:rPr>
                <w:rFonts w:ascii="宋体" w:cs="宋体" w:hint="eastAsia"/>
                <w:color w:val="000000"/>
                <w:szCs w:val="21"/>
              </w:rPr>
              <w:t>专业投资者转化为普通投资者申请及确认书</w:t>
            </w:r>
          </w:p>
        </w:tc>
        <w:tc>
          <w:tcPr>
            <w:tcW w:w="2878" w:type="dxa"/>
            <w:vMerge/>
            <w:tcBorders>
              <w:top w:val="nil"/>
              <w:left w:val="single" w:sz="4" w:space="0" w:color="auto"/>
              <w:bottom w:val="single" w:sz="4" w:space="0" w:color="auto"/>
              <w:right w:val="single" w:sz="4" w:space="0" w:color="auto"/>
            </w:tcBorders>
            <w:vAlign w:val="center"/>
          </w:tcPr>
          <w:p w:rsidR="00BC36F9" w:rsidRDefault="00BC36F9"/>
        </w:tc>
        <w:tc>
          <w:tcPr>
            <w:tcW w:w="427" w:type="dxa"/>
            <w:tcBorders>
              <w:top w:val="nil"/>
              <w:left w:val="nil"/>
              <w:bottom w:val="single" w:sz="4" w:space="0" w:color="auto"/>
              <w:right w:val="single" w:sz="4" w:space="0" w:color="auto"/>
            </w:tcBorders>
            <w:vAlign w:val="center"/>
          </w:tcPr>
          <w:p w:rsidR="00BC36F9" w:rsidRDefault="0030070B">
            <w:pPr>
              <w:widowControl/>
              <w:jc w:val="center"/>
              <w:rPr>
                <w:color w:val="000000"/>
                <w:szCs w:val="21"/>
              </w:rPr>
            </w:pPr>
            <w:r>
              <w:rPr>
                <w:rFonts w:hint="eastAsia"/>
                <w:color w:val="000000"/>
                <w:szCs w:val="21"/>
              </w:rPr>
              <w:t>2</w:t>
            </w:r>
          </w:p>
        </w:tc>
      </w:tr>
    </w:tbl>
    <w:p w:rsidR="00BC36F9" w:rsidRDefault="0030070B">
      <w:pPr>
        <w:tabs>
          <w:tab w:val="left" w:pos="5175"/>
        </w:tabs>
        <w:spacing w:line="360" w:lineRule="auto"/>
        <w:ind w:firstLineChars="200" w:firstLine="480"/>
        <w:rPr>
          <w:rFonts w:ascii="宋体"/>
          <w:color w:val="000000"/>
          <w:kern w:val="0"/>
          <w:sz w:val="24"/>
        </w:rPr>
      </w:pPr>
      <w:r>
        <w:rPr>
          <w:rFonts w:ascii="宋体" w:hint="eastAsia"/>
          <w:color w:val="000000"/>
          <w:kern w:val="0"/>
          <w:sz w:val="24"/>
        </w:rPr>
        <w:t>4</w:t>
      </w:r>
      <w:r>
        <w:rPr>
          <w:rFonts w:ascii="宋体" w:hint="eastAsia"/>
          <w:color w:val="000000"/>
          <w:kern w:val="0"/>
          <w:sz w:val="24"/>
        </w:rPr>
        <w:t>、机构投资者提出认购申请</w:t>
      </w:r>
    </w:p>
    <w:p w:rsidR="00BC36F9" w:rsidRDefault="0030070B">
      <w:pPr>
        <w:tabs>
          <w:tab w:val="left" w:pos="5175"/>
        </w:tabs>
        <w:spacing w:line="360" w:lineRule="auto"/>
        <w:ind w:firstLineChars="200" w:firstLine="480"/>
        <w:rPr>
          <w:rFonts w:ascii="宋体"/>
          <w:color w:val="000000"/>
          <w:kern w:val="0"/>
          <w:sz w:val="24"/>
        </w:rPr>
      </w:pPr>
      <w:r>
        <w:rPr>
          <w:rFonts w:ascii="宋体" w:hint="eastAsia"/>
          <w:color w:val="000000"/>
          <w:kern w:val="0"/>
          <w:sz w:val="24"/>
        </w:rPr>
        <w:t>机构投资者办理认购申请需准备以下资料：</w:t>
      </w:r>
    </w:p>
    <w:p w:rsidR="00BC36F9" w:rsidRDefault="0030070B">
      <w:pPr>
        <w:tabs>
          <w:tab w:val="left" w:pos="5175"/>
        </w:tabs>
        <w:spacing w:line="360" w:lineRule="auto"/>
        <w:ind w:firstLineChars="200" w:firstLine="480"/>
        <w:rPr>
          <w:rFonts w:ascii="宋体"/>
          <w:color w:val="000000"/>
          <w:kern w:val="0"/>
          <w:sz w:val="24"/>
        </w:rPr>
      </w:pPr>
      <w:r>
        <w:rPr>
          <w:rFonts w:ascii="宋体" w:cs="宋体" w:hint="eastAsia"/>
          <w:color w:val="000000"/>
          <w:kern w:val="0"/>
          <w:sz w:val="24"/>
        </w:rPr>
        <w:t>（</w:t>
      </w:r>
      <w:r>
        <w:rPr>
          <w:rFonts w:ascii="宋体" w:cs="宋体" w:hint="eastAsia"/>
          <w:color w:val="000000"/>
          <w:kern w:val="0"/>
          <w:sz w:val="24"/>
        </w:rPr>
        <w:t>1</w:t>
      </w:r>
      <w:r>
        <w:rPr>
          <w:rFonts w:ascii="宋体" w:cs="宋体" w:hint="eastAsia"/>
          <w:color w:val="000000"/>
          <w:kern w:val="0"/>
          <w:sz w:val="24"/>
        </w:rPr>
        <w:t>）</w:t>
      </w:r>
      <w:r>
        <w:rPr>
          <w:rFonts w:ascii="宋体"/>
          <w:color w:val="000000"/>
          <w:kern w:val="0"/>
          <w:sz w:val="24"/>
        </w:rPr>
        <w:t>填妥的加盖</w:t>
      </w:r>
      <w:r>
        <w:rPr>
          <w:rFonts w:ascii="宋体" w:hint="eastAsia"/>
          <w:color w:val="000000"/>
          <w:kern w:val="0"/>
          <w:sz w:val="24"/>
        </w:rPr>
        <w:t>预留印鉴</w:t>
      </w:r>
      <w:r>
        <w:rPr>
          <w:rFonts w:ascii="宋体"/>
          <w:color w:val="000000"/>
          <w:kern w:val="0"/>
          <w:sz w:val="24"/>
        </w:rPr>
        <w:t>章及交易经办人签字</w:t>
      </w:r>
      <w:r>
        <w:rPr>
          <w:rFonts w:ascii="宋体" w:hint="eastAsia"/>
          <w:color w:val="000000"/>
          <w:kern w:val="0"/>
          <w:sz w:val="24"/>
        </w:rPr>
        <w:t>《交易类业务申请表》；</w:t>
      </w:r>
    </w:p>
    <w:p w:rsidR="00BC36F9" w:rsidRDefault="0030070B">
      <w:pPr>
        <w:tabs>
          <w:tab w:val="left" w:pos="5175"/>
        </w:tabs>
        <w:spacing w:line="360" w:lineRule="auto"/>
        <w:ind w:firstLineChars="200" w:firstLine="480"/>
        <w:rPr>
          <w:rFonts w:ascii="宋体"/>
          <w:color w:val="000000"/>
          <w:kern w:val="0"/>
          <w:sz w:val="24"/>
        </w:rPr>
      </w:pPr>
      <w:r>
        <w:rPr>
          <w:rFonts w:ascii="宋体" w:cs="宋体" w:hint="eastAsia"/>
          <w:color w:val="000000"/>
          <w:kern w:val="0"/>
          <w:sz w:val="24"/>
        </w:rPr>
        <w:t>（</w:t>
      </w:r>
      <w:r>
        <w:rPr>
          <w:rFonts w:ascii="宋体" w:cs="宋体" w:hint="eastAsia"/>
          <w:color w:val="000000"/>
          <w:kern w:val="0"/>
          <w:sz w:val="24"/>
        </w:rPr>
        <w:t>2</w:t>
      </w:r>
      <w:r>
        <w:rPr>
          <w:rFonts w:ascii="宋体" w:cs="宋体" w:hint="eastAsia"/>
          <w:color w:val="000000"/>
          <w:kern w:val="0"/>
          <w:sz w:val="24"/>
        </w:rPr>
        <w:t>）</w:t>
      </w:r>
      <w:r>
        <w:rPr>
          <w:rFonts w:ascii="宋体" w:hint="eastAsia"/>
          <w:color w:val="000000"/>
          <w:kern w:val="0"/>
          <w:sz w:val="24"/>
        </w:rPr>
        <w:t>出示经办人有效身份证件原件，提供复印件；</w:t>
      </w:r>
    </w:p>
    <w:p w:rsidR="00BC36F9" w:rsidRDefault="0030070B">
      <w:pPr>
        <w:tabs>
          <w:tab w:val="left" w:pos="5175"/>
        </w:tabs>
        <w:spacing w:line="360" w:lineRule="auto"/>
        <w:ind w:firstLineChars="200" w:firstLine="480"/>
        <w:rPr>
          <w:rFonts w:ascii="宋体"/>
          <w:color w:val="000000"/>
          <w:kern w:val="0"/>
          <w:sz w:val="24"/>
        </w:rPr>
      </w:pPr>
      <w:r>
        <w:rPr>
          <w:rFonts w:ascii="宋体" w:cs="宋体" w:hint="eastAsia"/>
          <w:color w:val="000000"/>
          <w:kern w:val="0"/>
          <w:sz w:val="24"/>
        </w:rPr>
        <w:t>（</w:t>
      </w:r>
      <w:r>
        <w:rPr>
          <w:rFonts w:ascii="宋体" w:cs="宋体" w:hint="eastAsia"/>
          <w:color w:val="000000"/>
          <w:kern w:val="0"/>
          <w:sz w:val="24"/>
        </w:rPr>
        <w:t>3</w:t>
      </w:r>
      <w:r>
        <w:rPr>
          <w:rFonts w:ascii="宋体" w:cs="宋体" w:hint="eastAsia"/>
          <w:color w:val="000000"/>
          <w:kern w:val="0"/>
          <w:sz w:val="24"/>
        </w:rPr>
        <w:t>）</w:t>
      </w:r>
      <w:r>
        <w:rPr>
          <w:rFonts w:ascii="宋体" w:hint="eastAsia"/>
          <w:color w:val="000000"/>
          <w:kern w:val="0"/>
          <w:sz w:val="24"/>
        </w:rPr>
        <w:t>加盖银行受理章的银行付款凭证回单联。</w:t>
      </w:r>
    </w:p>
    <w:p w:rsidR="00BC36F9" w:rsidRDefault="0030070B">
      <w:pPr>
        <w:tabs>
          <w:tab w:val="left" w:pos="5175"/>
        </w:tabs>
        <w:spacing w:line="360" w:lineRule="auto"/>
        <w:ind w:firstLineChars="200" w:firstLine="480"/>
        <w:rPr>
          <w:rFonts w:ascii="宋体"/>
          <w:color w:val="000000"/>
          <w:kern w:val="0"/>
          <w:sz w:val="24"/>
        </w:rPr>
      </w:pPr>
      <w:r>
        <w:rPr>
          <w:rFonts w:ascii="宋体" w:hint="eastAsia"/>
          <w:color w:val="000000"/>
          <w:kern w:val="0"/>
          <w:sz w:val="24"/>
        </w:rPr>
        <w:t>5</w:t>
      </w:r>
      <w:r>
        <w:rPr>
          <w:rFonts w:ascii="宋体" w:hint="eastAsia"/>
          <w:color w:val="000000"/>
          <w:kern w:val="0"/>
          <w:sz w:val="24"/>
        </w:rPr>
        <w:t>、认购资金的划拨</w:t>
      </w:r>
    </w:p>
    <w:p w:rsidR="00BC36F9" w:rsidRDefault="0030070B">
      <w:pPr>
        <w:tabs>
          <w:tab w:val="left" w:pos="5175"/>
        </w:tabs>
        <w:spacing w:line="360" w:lineRule="auto"/>
        <w:ind w:firstLineChars="200" w:firstLine="480"/>
        <w:rPr>
          <w:rFonts w:ascii="宋体"/>
          <w:color w:val="000000"/>
          <w:kern w:val="0"/>
          <w:sz w:val="24"/>
        </w:rPr>
      </w:pPr>
      <w:r>
        <w:rPr>
          <w:rFonts w:ascii="宋体" w:hint="eastAsia"/>
          <w:color w:val="000000"/>
          <w:kern w:val="0"/>
          <w:sz w:val="24"/>
        </w:rPr>
        <w:t>机构投资者办理认购前应将足额认购资金通过银行转账汇入本公司指定的直销专户。</w:t>
      </w:r>
    </w:p>
    <w:p w:rsidR="00BC36F9" w:rsidRDefault="0030070B">
      <w:pPr>
        <w:tabs>
          <w:tab w:val="left" w:pos="5175"/>
        </w:tabs>
        <w:spacing w:line="360" w:lineRule="auto"/>
        <w:ind w:firstLineChars="200" w:firstLine="480"/>
        <w:rPr>
          <w:rFonts w:ascii="宋体"/>
          <w:color w:val="000000"/>
          <w:kern w:val="0"/>
          <w:sz w:val="24"/>
        </w:rPr>
      </w:pPr>
      <w:r>
        <w:rPr>
          <w:rFonts w:ascii="宋体" w:hint="eastAsia"/>
          <w:color w:val="000000"/>
          <w:kern w:val="0"/>
          <w:sz w:val="24"/>
        </w:rPr>
        <w:t>账户名称：兴业基金管理有限公司</w:t>
      </w:r>
    </w:p>
    <w:p w:rsidR="00BC36F9" w:rsidRDefault="0030070B">
      <w:pPr>
        <w:tabs>
          <w:tab w:val="left" w:pos="5175"/>
        </w:tabs>
        <w:spacing w:line="360" w:lineRule="auto"/>
        <w:ind w:firstLineChars="200" w:firstLine="480"/>
        <w:rPr>
          <w:rFonts w:ascii="宋体"/>
          <w:color w:val="000000"/>
          <w:kern w:val="0"/>
          <w:sz w:val="24"/>
        </w:rPr>
      </w:pPr>
      <w:r>
        <w:rPr>
          <w:rFonts w:ascii="宋体" w:hint="eastAsia"/>
          <w:color w:val="000000"/>
          <w:kern w:val="0"/>
          <w:sz w:val="24"/>
        </w:rPr>
        <w:t>开户银行：兴业银行上海分行营业部</w:t>
      </w:r>
    </w:p>
    <w:p w:rsidR="00BC36F9" w:rsidRDefault="0030070B">
      <w:pPr>
        <w:tabs>
          <w:tab w:val="left" w:pos="5175"/>
        </w:tabs>
        <w:spacing w:line="360" w:lineRule="auto"/>
        <w:ind w:firstLineChars="200" w:firstLine="480"/>
        <w:rPr>
          <w:rFonts w:ascii="宋体"/>
          <w:color w:val="000000"/>
          <w:kern w:val="0"/>
          <w:sz w:val="24"/>
        </w:rPr>
      </w:pPr>
      <w:r>
        <w:rPr>
          <w:rFonts w:ascii="宋体" w:hint="eastAsia"/>
          <w:color w:val="000000"/>
          <w:kern w:val="0"/>
          <w:sz w:val="24"/>
        </w:rPr>
        <w:t>银行账号：</w:t>
      </w:r>
      <w:r>
        <w:rPr>
          <w:rFonts w:ascii="宋体" w:hint="eastAsia"/>
          <w:color w:val="000000"/>
          <w:kern w:val="0"/>
          <w:sz w:val="24"/>
        </w:rPr>
        <w:t>216200100100599905</w:t>
      </w:r>
    </w:p>
    <w:p w:rsidR="00BC36F9" w:rsidRDefault="0030070B">
      <w:pPr>
        <w:tabs>
          <w:tab w:val="left" w:pos="5175"/>
        </w:tabs>
        <w:spacing w:line="360" w:lineRule="auto"/>
        <w:ind w:firstLineChars="200" w:firstLine="480"/>
        <w:rPr>
          <w:rFonts w:ascii="宋体"/>
          <w:color w:val="000000"/>
          <w:kern w:val="0"/>
          <w:sz w:val="24"/>
        </w:rPr>
      </w:pPr>
      <w:r>
        <w:rPr>
          <w:rFonts w:ascii="宋体" w:hint="eastAsia"/>
          <w:color w:val="000000"/>
          <w:kern w:val="0"/>
          <w:sz w:val="24"/>
        </w:rPr>
        <w:t>6</w:t>
      </w:r>
      <w:r>
        <w:rPr>
          <w:rFonts w:ascii="宋体" w:hint="eastAsia"/>
          <w:color w:val="000000"/>
          <w:kern w:val="0"/>
          <w:sz w:val="24"/>
        </w:rPr>
        <w:t>、注意事项</w:t>
      </w:r>
    </w:p>
    <w:p w:rsidR="00BC36F9" w:rsidRDefault="0030070B">
      <w:pPr>
        <w:tabs>
          <w:tab w:val="left" w:pos="5175"/>
        </w:tabs>
        <w:spacing w:line="360" w:lineRule="auto"/>
        <w:ind w:firstLineChars="200" w:firstLine="480"/>
        <w:rPr>
          <w:rFonts w:ascii="宋体"/>
          <w:color w:val="000000"/>
          <w:kern w:val="0"/>
          <w:sz w:val="24"/>
        </w:rPr>
      </w:pPr>
      <w:r>
        <w:rPr>
          <w:rFonts w:ascii="宋体" w:hint="eastAsia"/>
          <w:color w:val="000000"/>
          <w:kern w:val="0"/>
          <w:sz w:val="24"/>
        </w:rPr>
        <w:t>（</w:t>
      </w:r>
      <w:r>
        <w:rPr>
          <w:rFonts w:ascii="宋体" w:hint="eastAsia"/>
          <w:color w:val="000000"/>
          <w:kern w:val="0"/>
          <w:sz w:val="24"/>
        </w:rPr>
        <w:t>1</w:t>
      </w:r>
      <w:r>
        <w:rPr>
          <w:rFonts w:ascii="宋体" w:hint="eastAsia"/>
          <w:color w:val="000000"/>
          <w:kern w:val="0"/>
          <w:sz w:val="24"/>
        </w:rPr>
        <w:t>）机构投资者认购时要注明所购买的基金名称及基金代码。</w:t>
      </w:r>
    </w:p>
    <w:p w:rsidR="00BC36F9" w:rsidRDefault="0030070B">
      <w:pPr>
        <w:tabs>
          <w:tab w:val="left" w:pos="5175"/>
        </w:tabs>
        <w:spacing w:line="360" w:lineRule="auto"/>
        <w:ind w:firstLineChars="200" w:firstLine="480"/>
        <w:rPr>
          <w:rFonts w:ascii="宋体"/>
          <w:color w:val="000000"/>
          <w:kern w:val="0"/>
          <w:sz w:val="24"/>
        </w:rPr>
      </w:pPr>
      <w:r>
        <w:rPr>
          <w:rFonts w:ascii="宋体" w:hint="eastAsia"/>
          <w:color w:val="000000"/>
          <w:kern w:val="0"/>
          <w:sz w:val="24"/>
        </w:rPr>
        <w:t>（</w:t>
      </w:r>
      <w:r>
        <w:rPr>
          <w:rFonts w:ascii="宋体" w:hint="eastAsia"/>
          <w:color w:val="000000"/>
          <w:kern w:val="0"/>
          <w:sz w:val="24"/>
        </w:rPr>
        <w:t>2</w:t>
      </w:r>
      <w:r>
        <w:rPr>
          <w:rFonts w:ascii="宋体" w:hint="eastAsia"/>
          <w:color w:val="000000"/>
          <w:kern w:val="0"/>
          <w:sz w:val="24"/>
        </w:rPr>
        <w:t>）机构投资者</w:t>
      </w:r>
      <w:r>
        <w:rPr>
          <w:rFonts w:ascii="宋体" w:hint="eastAsia"/>
          <w:color w:val="000000"/>
          <w:kern w:val="0"/>
          <w:sz w:val="24"/>
        </w:rPr>
        <w:t>T</w:t>
      </w:r>
      <w:r>
        <w:rPr>
          <w:rFonts w:ascii="宋体" w:hint="eastAsia"/>
          <w:color w:val="000000"/>
          <w:kern w:val="0"/>
          <w:sz w:val="24"/>
        </w:rPr>
        <w:t>日提交开户申请后，应于</w:t>
      </w:r>
      <w:r>
        <w:rPr>
          <w:rFonts w:ascii="宋体" w:hint="eastAsia"/>
          <w:color w:val="000000"/>
          <w:kern w:val="0"/>
          <w:sz w:val="24"/>
        </w:rPr>
        <w:t>T+2</w:t>
      </w:r>
      <w:r>
        <w:rPr>
          <w:rFonts w:ascii="宋体" w:hint="eastAsia"/>
          <w:color w:val="000000"/>
          <w:kern w:val="0"/>
          <w:sz w:val="24"/>
        </w:rPr>
        <w:t>日后（包括该日）到本公司直销机构查询确认结果，或通过本公司客户服务中心、网上直销系统查询。</w:t>
      </w:r>
    </w:p>
    <w:p w:rsidR="00BC36F9" w:rsidRDefault="0030070B">
      <w:pPr>
        <w:tabs>
          <w:tab w:val="left" w:pos="5175"/>
        </w:tabs>
        <w:spacing w:line="360" w:lineRule="auto"/>
        <w:ind w:firstLineChars="200" w:firstLine="480"/>
        <w:rPr>
          <w:rFonts w:ascii="宋体"/>
          <w:color w:val="000000"/>
          <w:kern w:val="0"/>
          <w:sz w:val="24"/>
        </w:rPr>
      </w:pPr>
      <w:r>
        <w:rPr>
          <w:rFonts w:ascii="宋体" w:hint="eastAsia"/>
          <w:color w:val="000000"/>
          <w:kern w:val="0"/>
          <w:sz w:val="24"/>
        </w:rPr>
        <w:t>（</w:t>
      </w:r>
      <w:r>
        <w:rPr>
          <w:rFonts w:ascii="宋体" w:hint="eastAsia"/>
          <w:color w:val="000000"/>
          <w:kern w:val="0"/>
          <w:sz w:val="24"/>
        </w:rPr>
        <w:t>3</w:t>
      </w:r>
      <w:r>
        <w:rPr>
          <w:rFonts w:ascii="宋体" w:hint="eastAsia"/>
          <w:color w:val="000000"/>
          <w:kern w:val="0"/>
          <w:sz w:val="24"/>
        </w:rPr>
        <w:t>）机构投资者</w:t>
      </w:r>
      <w:r>
        <w:rPr>
          <w:rFonts w:ascii="宋体" w:hint="eastAsia"/>
          <w:color w:val="000000"/>
          <w:kern w:val="0"/>
          <w:sz w:val="24"/>
        </w:rPr>
        <w:t>T</w:t>
      </w:r>
      <w:r>
        <w:rPr>
          <w:rFonts w:ascii="宋体" w:hint="eastAsia"/>
          <w:color w:val="000000"/>
          <w:kern w:val="0"/>
          <w:sz w:val="24"/>
        </w:rPr>
        <w:t>日提交认购申请后，应于</w:t>
      </w:r>
      <w:r>
        <w:rPr>
          <w:rFonts w:ascii="宋体" w:hint="eastAsia"/>
          <w:color w:val="000000"/>
          <w:kern w:val="0"/>
          <w:sz w:val="24"/>
        </w:rPr>
        <w:t>T+2</w:t>
      </w:r>
      <w:r>
        <w:rPr>
          <w:rFonts w:ascii="宋体" w:hint="eastAsia"/>
          <w:color w:val="000000"/>
          <w:kern w:val="0"/>
          <w:sz w:val="24"/>
        </w:rPr>
        <w:t>日后（包括该日）到本公司直销机构查询认购接受结果，或通过本公司客户服务中心查询。认购确认结果可于基金成立后到本公司直销机构查询，或通过本公司客户服务中心、网上直销系统查询。</w:t>
      </w:r>
    </w:p>
    <w:p w:rsidR="00BC36F9" w:rsidRDefault="0030070B">
      <w:pPr>
        <w:spacing w:line="360" w:lineRule="auto"/>
        <w:ind w:firstLineChars="200" w:firstLine="480"/>
        <w:rPr>
          <w:rFonts w:ascii="宋体"/>
          <w:color w:val="000000"/>
          <w:kern w:val="0"/>
          <w:sz w:val="24"/>
        </w:rPr>
      </w:pPr>
      <w:r>
        <w:rPr>
          <w:rFonts w:ascii="宋体" w:hint="eastAsia"/>
          <w:color w:val="000000"/>
          <w:kern w:val="0"/>
          <w:sz w:val="24"/>
        </w:rPr>
        <w:t>（</w:t>
      </w:r>
      <w:r>
        <w:rPr>
          <w:rFonts w:ascii="宋体" w:hint="eastAsia"/>
          <w:color w:val="000000"/>
          <w:kern w:val="0"/>
          <w:sz w:val="24"/>
        </w:rPr>
        <w:t>4</w:t>
      </w:r>
      <w:r>
        <w:rPr>
          <w:rFonts w:ascii="宋体" w:hint="eastAsia"/>
          <w:color w:val="000000"/>
          <w:kern w:val="0"/>
          <w:sz w:val="24"/>
        </w:rPr>
        <w:t>）</w:t>
      </w:r>
      <w:r>
        <w:rPr>
          <w:rFonts w:ascii="宋体"/>
          <w:color w:val="000000"/>
          <w:kern w:val="0"/>
          <w:sz w:val="24"/>
        </w:rPr>
        <w:t>若投资者的认购资金在认购申请当日</w:t>
      </w:r>
      <w:r>
        <w:rPr>
          <w:rFonts w:ascii="宋体"/>
          <w:color w:val="000000"/>
          <w:kern w:val="0"/>
          <w:sz w:val="24"/>
        </w:rPr>
        <w:t>17</w:t>
      </w:r>
      <w:r>
        <w:rPr>
          <w:rFonts w:ascii="宋体"/>
          <w:color w:val="000000"/>
          <w:kern w:val="0"/>
          <w:sz w:val="24"/>
        </w:rPr>
        <w:t>：</w:t>
      </w:r>
      <w:r>
        <w:rPr>
          <w:rFonts w:ascii="宋体"/>
          <w:color w:val="000000"/>
          <w:kern w:val="0"/>
          <w:sz w:val="24"/>
        </w:rPr>
        <w:t>00</w:t>
      </w:r>
      <w:r>
        <w:rPr>
          <w:rFonts w:ascii="宋体"/>
          <w:color w:val="000000"/>
          <w:kern w:val="0"/>
          <w:sz w:val="24"/>
        </w:rPr>
        <w:t>之前未到达本公司指定的直销专户，则当日提交的申请顺延受理。申请受理日期（即有效申请日）以资金到账日为准。在本基金发行截止日的</w:t>
      </w:r>
      <w:r>
        <w:rPr>
          <w:rFonts w:ascii="宋体"/>
          <w:color w:val="000000"/>
          <w:kern w:val="0"/>
          <w:sz w:val="24"/>
        </w:rPr>
        <w:t>17</w:t>
      </w:r>
      <w:r>
        <w:rPr>
          <w:rFonts w:ascii="宋体"/>
          <w:color w:val="000000"/>
          <w:kern w:val="0"/>
          <w:sz w:val="24"/>
        </w:rPr>
        <w:t>：</w:t>
      </w:r>
      <w:r>
        <w:rPr>
          <w:rFonts w:ascii="宋体"/>
          <w:color w:val="000000"/>
          <w:kern w:val="0"/>
          <w:sz w:val="24"/>
        </w:rPr>
        <w:t>00</w:t>
      </w:r>
      <w:r>
        <w:rPr>
          <w:rFonts w:ascii="宋体"/>
          <w:color w:val="000000"/>
          <w:kern w:val="0"/>
          <w:sz w:val="24"/>
        </w:rPr>
        <w:t>之前，若投资者的认购资金未到达本公司指定账户，则投资者提交的认购申请将可被认定为无效认购。</w:t>
      </w:r>
    </w:p>
    <w:p w:rsidR="00BC36F9" w:rsidRDefault="0030070B">
      <w:pPr>
        <w:spacing w:line="360" w:lineRule="auto"/>
        <w:ind w:firstLineChars="200" w:firstLine="480"/>
        <w:rPr>
          <w:rFonts w:ascii="宋体"/>
          <w:color w:val="000000"/>
          <w:kern w:val="0"/>
          <w:sz w:val="24"/>
        </w:rPr>
      </w:pPr>
      <w:r>
        <w:rPr>
          <w:rFonts w:ascii="宋体" w:hint="eastAsia"/>
          <w:color w:val="000000"/>
          <w:kern w:val="0"/>
          <w:sz w:val="24"/>
        </w:rPr>
        <w:t>（</w:t>
      </w:r>
      <w:r>
        <w:rPr>
          <w:rFonts w:ascii="宋体" w:hint="eastAsia"/>
          <w:color w:val="000000"/>
          <w:kern w:val="0"/>
          <w:sz w:val="24"/>
        </w:rPr>
        <w:t>5</w:t>
      </w:r>
      <w:r>
        <w:rPr>
          <w:rFonts w:ascii="宋体" w:hint="eastAsia"/>
          <w:color w:val="000000"/>
          <w:kern w:val="0"/>
          <w:sz w:val="24"/>
        </w:rPr>
        <w:t>）为确保投资者</w:t>
      </w:r>
      <w:r>
        <w:rPr>
          <w:rFonts w:ascii="宋体" w:hint="eastAsia"/>
          <w:color w:val="000000"/>
          <w:kern w:val="0"/>
          <w:sz w:val="24"/>
        </w:rPr>
        <w:t>资金及时准确入账，建议投资者将加盖银行业务受理章的转账单据传真至本公司直销柜台。</w:t>
      </w:r>
    </w:p>
    <w:p w:rsidR="00BC36F9" w:rsidRDefault="0030070B">
      <w:pPr>
        <w:spacing w:line="360" w:lineRule="auto"/>
        <w:ind w:firstLineChars="200" w:firstLine="480"/>
        <w:rPr>
          <w:rFonts w:ascii="宋体"/>
          <w:color w:val="000000"/>
          <w:kern w:val="0"/>
          <w:sz w:val="24"/>
        </w:rPr>
      </w:pPr>
      <w:r>
        <w:rPr>
          <w:rFonts w:ascii="宋体" w:hint="eastAsia"/>
          <w:color w:val="000000"/>
          <w:kern w:val="0"/>
          <w:sz w:val="24"/>
        </w:rPr>
        <w:t>（</w:t>
      </w:r>
      <w:r>
        <w:rPr>
          <w:rFonts w:ascii="宋体" w:hint="eastAsia"/>
          <w:color w:val="000000"/>
          <w:kern w:val="0"/>
          <w:sz w:val="24"/>
        </w:rPr>
        <w:t>6</w:t>
      </w:r>
      <w:r>
        <w:rPr>
          <w:rFonts w:ascii="宋体" w:hint="eastAsia"/>
          <w:color w:val="000000"/>
          <w:kern w:val="0"/>
          <w:sz w:val="24"/>
        </w:rPr>
        <w:t>）</w:t>
      </w:r>
      <w:r>
        <w:rPr>
          <w:rFonts w:ascii="宋体"/>
          <w:color w:val="000000"/>
          <w:kern w:val="0"/>
          <w:sz w:val="24"/>
        </w:rPr>
        <w:t>以下情况将被视为无效认购，款项将退往投资者的指定资金结算账户：</w:t>
      </w:r>
    </w:p>
    <w:p w:rsidR="00BC36F9" w:rsidRDefault="0030070B">
      <w:pPr>
        <w:spacing w:line="360" w:lineRule="auto"/>
        <w:ind w:firstLineChars="200" w:firstLine="480"/>
        <w:rPr>
          <w:rFonts w:ascii="宋体"/>
          <w:color w:val="000000"/>
          <w:kern w:val="0"/>
          <w:sz w:val="24"/>
        </w:rPr>
      </w:pPr>
      <w:r>
        <w:rPr>
          <w:rFonts w:ascii="宋体" w:hint="eastAsia"/>
          <w:color w:val="000000"/>
          <w:kern w:val="0"/>
          <w:sz w:val="24"/>
        </w:rPr>
        <w:t>1</w:t>
      </w:r>
      <w:r>
        <w:rPr>
          <w:rFonts w:ascii="宋体" w:hint="eastAsia"/>
          <w:color w:val="000000"/>
          <w:kern w:val="0"/>
          <w:sz w:val="24"/>
        </w:rPr>
        <w:t>）</w:t>
      </w:r>
      <w:r>
        <w:rPr>
          <w:rFonts w:ascii="宋体"/>
          <w:color w:val="000000"/>
          <w:kern w:val="0"/>
          <w:sz w:val="24"/>
        </w:rPr>
        <w:t>投资者已缴款，但未办理开户手续或开户不成功的；</w:t>
      </w:r>
    </w:p>
    <w:p w:rsidR="00BC36F9" w:rsidRDefault="0030070B">
      <w:pPr>
        <w:spacing w:line="360" w:lineRule="auto"/>
        <w:ind w:firstLineChars="200" w:firstLine="480"/>
        <w:rPr>
          <w:rFonts w:ascii="宋体"/>
          <w:color w:val="000000"/>
          <w:kern w:val="0"/>
          <w:sz w:val="24"/>
        </w:rPr>
      </w:pPr>
      <w:r>
        <w:rPr>
          <w:rFonts w:ascii="宋体" w:hint="eastAsia"/>
          <w:color w:val="000000"/>
          <w:kern w:val="0"/>
          <w:sz w:val="24"/>
        </w:rPr>
        <w:t>2</w:t>
      </w:r>
      <w:r>
        <w:rPr>
          <w:rFonts w:ascii="宋体" w:hint="eastAsia"/>
          <w:color w:val="000000"/>
          <w:kern w:val="0"/>
          <w:sz w:val="24"/>
        </w:rPr>
        <w:t>）</w:t>
      </w:r>
      <w:r>
        <w:rPr>
          <w:rFonts w:ascii="宋体"/>
          <w:color w:val="000000"/>
          <w:kern w:val="0"/>
          <w:sz w:val="24"/>
        </w:rPr>
        <w:t>投资者已缴款，但未办理认购申请或认购申请未被确认的；</w:t>
      </w:r>
    </w:p>
    <w:p w:rsidR="00BC36F9" w:rsidRDefault="0030070B">
      <w:pPr>
        <w:spacing w:line="360" w:lineRule="auto"/>
        <w:ind w:firstLineChars="200" w:firstLine="480"/>
        <w:rPr>
          <w:rFonts w:ascii="宋体"/>
          <w:color w:val="000000"/>
          <w:kern w:val="0"/>
          <w:sz w:val="24"/>
        </w:rPr>
      </w:pPr>
      <w:r>
        <w:rPr>
          <w:rFonts w:ascii="宋体" w:hint="eastAsia"/>
          <w:color w:val="000000"/>
          <w:kern w:val="0"/>
          <w:sz w:val="24"/>
        </w:rPr>
        <w:t>3</w:t>
      </w:r>
      <w:r>
        <w:rPr>
          <w:rFonts w:ascii="宋体" w:hint="eastAsia"/>
          <w:color w:val="000000"/>
          <w:kern w:val="0"/>
          <w:sz w:val="24"/>
        </w:rPr>
        <w:t>）</w:t>
      </w:r>
      <w:r>
        <w:rPr>
          <w:rFonts w:ascii="宋体"/>
          <w:color w:val="000000"/>
          <w:kern w:val="0"/>
          <w:sz w:val="24"/>
        </w:rPr>
        <w:t>投资者缴款金额少于其申请的认购金额的；</w:t>
      </w:r>
    </w:p>
    <w:p w:rsidR="00BC36F9" w:rsidRDefault="0030070B">
      <w:pPr>
        <w:spacing w:line="360" w:lineRule="auto"/>
        <w:ind w:firstLineChars="200" w:firstLine="480"/>
        <w:rPr>
          <w:rFonts w:ascii="宋体"/>
          <w:color w:val="000000"/>
          <w:kern w:val="0"/>
          <w:sz w:val="24"/>
        </w:rPr>
      </w:pPr>
      <w:r>
        <w:rPr>
          <w:rFonts w:ascii="宋体" w:hint="eastAsia"/>
          <w:color w:val="000000"/>
          <w:kern w:val="0"/>
          <w:sz w:val="24"/>
        </w:rPr>
        <w:t>4</w:t>
      </w:r>
      <w:r>
        <w:rPr>
          <w:rFonts w:ascii="宋体" w:hint="eastAsia"/>
          <w:color w:val="000000"/>
          <w:kern w:val="0"/>
          <w:sz w:val="24"/>
        </w:rPr>
        <w:t>）</w:t>
      </w:r>
      <w:r>
        <w:rPr>
          <w:rFonts w:ascii="宋体"/>
          <w:color w:val="000000"/>
          <w:kern w:val="0"/>
          <w:sz w:val="24"/>
        </w:rPr>
        <w:t>投资者缴款时间晚于基金认购结束日本公司规定时间的；</w:t>
      </w:r>
    </w:p>
    <w:p w:rsidR="00BC36F9" w:rsidRDefault="0030070B">
      <w:pPr>
        <w:tabs>
          <w:tab w:val="left" w:pos="5175"/>
        </w:tabs>
        <w:spacing w:line="360" w:lineRule="auto"/>
        <w:ind w:firstLineChars="200" w:firstLine="480"/>
        <w:rPr>
          <w:rFonts w:ascii="宋体"/>
          <w:color w:val="000000"/>
          <w:kern w:val="0"/>
          <w:sz w:val="24"/>
        </w:rPr>
      </w:pPr>
      <w:r>
        <w:rPr>
          <w:rFonts w:ascii="宋体" w:hint="eastAsia"/>
          <w:color w:val="000000"/>
          <w:kern w:val="0"/>
          <w:sz w:val="24"/>
        </w:rPr>
        <w:t>5</w:t>
      </w:r>
      <w:r>
        <w:rPr>
          <w:rFonts w:ascii="宋体" w:hint="eastAsia"/>
          <w:color w:val="000000"/>
          <w:kern w:val="0"/>
          <w:sz w:val="24"/>
        </w:rPr>
        <w:t>）</w:t>
      </w:r>
      <w:r>
        <w:rPr>
          <w:rFonts w:ascii="宋体"/>
          <w:color w:val="000000"/>
          <w:kern w:val="0"/>
          <w:sz w:val="24"/>
        </w:rPr>
        <w:t>其它导致认购无效的情况。</w:t>
      </w:r>
    </w:p>
    <w:p w:rsidR="00BC36F9" w:rsidRDefault="0030070B">
      <w:pPr>
        <w:spacing w:line="360" w:lineRule="auto"/>
        <w:ind w:firstLineChars="200" w:firstLine="480"/>
        <w:rPr>
          <w:rFonts w:ascii="宋体"/>
          <w:color w:val="000000"/>
          <w:kern w:val="0"/>
          <w:sz w:val="24"/>
        </w:rPr>
      </w:pPr>
      <w:r>
        <w:rPr>
          <w:rFonts w:ascii="宋体" w:hint="eastAsia"/>
          <w:color w:val="000000"/>
          <w:kern w:val="0"/>
          <w:sz w:val="24"/>
        </w:rPr>
        <w:t>（</w:t>
      </w:r>
      <w:r>
        <w:rPr>
          <w:rFonts w:ascii="宋体" w:hint="eastAsia"/>
          <w:color w:val="000000"/>
          <w:kern w:val="0"/>
          <w:sz w:val="24"/>
        </w:rPr>
        <w:t>7</w:t>
      </w:r>
      <w:r>
        <w:rPr>
          <w:rFonts w:ascii="宋体" w:hint="eastAsia"/>
          <w:color w:val="000000"/>
          <w:kern w:val="0"/>
          <w:sz w:val="24"/>
        </w:rPr>
        <w:t>）投资者若未按上述规定划付款项，造成认购无效的，兴业基金管理有限公司及其直销账户的开户银行不承担任何责任。</w:t>
      </w:r>
    </w:p>
    <w:p w:rsidR="00BC36F9" w:rsidRDefault="0030070B">
      <w:pPr>
        <w:tabs>
          <w:tab w:val="left" w:pos="5175"/>
        </w:tabs>
        <w:spacing w:line="360" w:lineRule="auto"/>
        <w:ind w:firstLineChars="200" w:firstLine="480"/>
        <w:rPr>
          <w:rFonts w:ascii="宋体"/>
          <w:color w:val="000000"/>
          <w:kern w:val="0"/>
          <w:sz w:val="24"/>
        </w:rPr>
      </w:pPr>
      <w:r>
        <w:rPr>
          <w:rFonts w:ascii="宋体" w:hint="eastAsia"/>
          <w:color w:val="000000"/>
          <w:kern w:val="0"/>
          <w:sz w:val="24"/>
        </w:rPr>
        <w:t>（</w:t>
      </w:r>
      <w:r>
        <w:rPr>
          <w:rFonts w:ascii="宋体" w:hint="eastAsia"/>
          <w:color w:val="000000"/>
          <w:kern w:val="0"/>
          <w:sz w:val="24"/>
        </w:rPr>
        <w:t>8</w:t>
      </w:r>
      <w:r>
        <w:rPr>
          <w:rFonts w:ascii="宋体" w:hint="eastAsia"/>
          <w:color w:val="000000"/>
          <w:kern w:val="0"/>
          <w:sz w:val="24"/>
        </w:rPr>
        <w:t>）适</w:t>
      </w:r>
      <w:r>
        <w:rPr>
          <w:rFonts w:ascii="宋体" w:hint="eastAsia"/>
          <w:color w:val="000000"/>
          <w:kern w:val="0"/>
          <w:sz w:val="24"/>
        </w:rPr>
        <w:t>当性匹配：</w:t>
      </w:r>
    </w:p>
    <w:p w:rsidR="00BC36F9" w:rsidRDefault="0030070B">
      <w:pPr>
        <w:tabs>
          <w:tab w:val="left" w:pos="5175"/>
        </w:tabs>
        <w:spacing w:line="360" w:lineRule="auto"/>
        <w:ind w:firstLineChars="200" w:firstLine="480"/>
        <w:rPr>
          <w:rFonts w:ascii="宋体"/>
          <w:color w:val="000000"/>
          <w:kern w:val="0"/>
          <w:sz w:val="24"/>
        </w:rPr>
      </w:pPr>
      <w:r>
        <w:rPr>
          <w:rFonts w:ascii="宋体" w:hint="eastAsia"/>
          <w:color w:val="000000"/>
          <w:kern w:val="0"/>
          <w:sz w:val="24"/>
        </w:rPr>
        <w:t>1</w:t>
      </w:r>
      <w:r>
        <w:rPr>
          <w:rFonts w:ascii="宋体" w:hint="eastAsia"/>
          <w:color w:val="000000"/>
          <w:kern w:val="0"/>
          <w:sz w:val="24"/>
        </w:rPr>
        <w:t>）风险匹配：投资者的风险评估结果与我司产品风险等级相匹配，投资者得到直销柜台匹配告知后签署《投资者风险匹配告知书及投资者确认函》，直销柜台予以受理交易。</w:t>
      </w:r>
    </w:p>
    <w:p w:rsidR="00BC36F9" w:rsidRDefault="0030070B">
      <w:pPr>
        <w:tabs>
          <w:tab w:val="left" w:pos="5175"/>
        </w:tabs>
        <w:spacing w:line="360" w:lineRule="auto"/>
        <w:ind w:firstLineChars="200" w:firstLine="480"/>
        <w:rPr>
          <w:rFonts w:ascii="宋体"/>
          <w:color w:val="000000"/>
          <w:kern w:val="0"/>
          <w:sz w:val="24"/>
        </w:rPr>
      </w:pPr>
      <w:r>
        <w:rPr>
          <w:rFonts w:ascii="宋体" w:hint="eastAsia"/>
          <w:color w:val="000000"/>
          <w:kern w:val="0"/>
          <w:sz w:val="24"/>
        </w:rPr>
        <w:t>2</w:t>
      </w:r>
      <w:r>
        <w:rPr>
          <w:rFonts w:ascii="宋体" w:hint="eastAsia"/>
          <w:color w:val="000000"/>
          <w:kern w:val="0"/>
          <w:sz w:val="24"/>
        </w:rPr>
        <w:t>）风险不匹配：投资者的风险评估结果与我司产品风险等级不匹配，投资者得到直销柜台不匹配告知后签署《风险不匹配警示函及投资者确认书》，直销柜台予以受理交易。若不签署，不受理交易。</w:t>
      </w:r>
    </w:p>
    <w:p w:rsidR="00BC36F9" w:rsidRDefault="00BC36F9">
      <w:pPr>
        <w:tabs>
          <w:tab w:val="left" w:pos="5175"/>
        </w:tabs>
        <w:spacing w:line="360" w:lineRule="auto"/>
        <w:ind w:firstLineChars="200" w:firstLine="422"/>
        <w:rPr>
          <w:b/>
        </w:rPr>
      </w:pPr>
      <w:bookmarkStart w:id="19" w:name="_Toc365531605"/>
    </w:p>
    <w:p w:rsidR="00BC36F9" w:rsidRDefault="0030070B">
      <w:pPr>
        <w:pStyle w:val="ad"/>
        <w:numPr>
          <w:ilvl w:val="0"/>
          <w:numId w:val="1"/>
        </w:numPr>
        <w:spacing w:before="0" w:after="0"/>
        <w:rPr>
          <w:rFonts w:eastAsia="宋体"/>
          <w:bCs/>
          <w:sz w:val="28"/>
          <w:szCs w:val="28"/>
        </w:rPr>
      </w:pPr>
      <w:bookmarkStart w:id="20" w:name="_Toc376250740"/>
      <w:r>
        <w:rPr>
          <w:rFonts w:eastAsia="宋体"/>
          <w:bCs/>
          <w:sz w:val="28"/>
          <w:szCs w:val="28"/>
        </w:rPr>
        <w:t>清算与交割</w:t>
      </w:r>
      <w:bookmarkEnd w:id="19"/>
      <w:bookmarkEnd w:id="20"/>
    </w:p>
    <w:p w:rsidR="00BC36F9" w:rsidRDefault="0030070B">
      <w:pPr>
        <w:tabs>
          <w:tab w:val="left" w:pos="5175"/>
        </w:tabs>
        <w:spacing w:line="360" w:lineRule="auto"/>
        <w:ind w:firstLineChars="200" w:firstLine="480"/>
        <w:rPr>
          <w:rFonts w:ascii="宋体"/>
          <w:color w:val="000000"/>
          <w:kern w:val="0"/>
          <w:sz w:val="24"/>
        </w:rPr>
      </w:pPr>
      <w:bookmarkStart w:id="21" w:name="_Toc365531606"/>
      <w:r>
        <w:rPr>
          <w:rFonts w:ascii="宋体" w:hint="eastAsia"/>
          <w:color w:val="000000"/>
          <w:kern w:val="0"/>
          <w:sz w:val="24"/>
        </w:rPr>
        <w:t>1</w:t>
      </w:r>
      <w:r>
        <w:rPr>
          <w:rFonts w:ascii="宋体" w:hint="eastAsia"/>
          <w:color w:val="000000"/>
          <w:kern w:val="0"/>
          <w:sz w:val="24"/>
        </w:rPr>
        <w:t>、</w:t>
      </w:r>
      <w:r>
        <w:rPr>
          <w:rFonts w:ascii="宋体" w:hint="eastAsia"/>
          <w:bCs/>
          <w:color w:val="000000"/>
          <w:kern w:val="0"/>
          <w:sz w:val="24"/>
        </w:rPr>
        <w:t>若本基金的基金合同生效，</w:t>
      </w:r>
      <w:r>
        <w:rPr>
          <w:rFonts w:ascii="宋体" w:hint="eastAsia"/>
          <w:color w:val="000000"/>
          <w:kern w:val="0"/>
          <w:sz w:val="24"/>
        </w:rPr>
        <w:t>则有效认购款项在</w:t>
      </w:r>
      <w:r>
        <w:rPr>
          <w:rFonts w:ascii="宋体" w:hint="eastAsia"/>
          <w:bCs/>
          <w:color w:val="000000"/>
          <w:sz w:val="24"/>
        </w:rPr>
        <w:t>基金合同生效前</w:t>
      </w:r>
      <w:r>
        <w:rPr>
          <w:rFonts w:ascii="宋体" w:hint="eastAsia"/>
          <w:color w:val="000000"/>
          <w:kern w:val="0"/>
          <w:sz w:val="24"/>
        </w:rPr>
        <w:t>产生的利息将折算为</w:t>
      </w:r>
      <w:r>
        <w:rPr>
          <w:rFonts w:ascii="宋体" w:hAnsi="宋体" w:hint="eastAsia"/>
          <w:sz w:val="24"/>
        </w:rPr>
        <w:t>相应类别的</w:t>
      </w:r>
      <w:r>
        <w:rPr>
          <w:rFonts w:ascii="宋体" w:hint="eastAsia"/>
          <w:color w:val="000000"/>
          <w:kern w:val="0"/>
          <w:sz w:val="24"/>
        </w:rPr>
        <w:t>基金份额归基金份额持有人所有，其中</w:t>
      </w:r>
      <w:r>
        <w:rPr>
          <w:rFonts w:ascii="宋体" w:hint="eastAsia"/>
          <w:bCs/>
          <w:color w:val="000000"/>
          <w:sz w:val="24"/>
        </w:rPr>
        <w:t>利息及</w:t>
      </w:r>
      <w:r>
        <w:rPr>
          <w:rFonts w:ascii="宋体" w:hint="eastAsia"/>
          <w:color w:val="000000"/>
          <w:kern w:val="0"/>
          <w:sz w:val="24"/>
        </w:rPr>
        <w:t>利息转份额以登记机构的记录为准。</w:t>
      </w:r>
    </w:p>
    <w:p w:rsidR="00BC36F9" w:rsidRDefault="0030070B">
      <w:pPr>
        <w:tabs>
          <w:tab w:val="left" w:pos="5175"/>
        </w:tabs>
        <w:spacing w:line="360" w:lineRule="auto"/>
        <w:ind w:firstLineChars="200" w:firstLine="480"/>
        <w:rPr>
          <w:rFonts w:ascii="宋体"/>
          <w:color w:val="000000"/>
          <w:kern w:val="0"/>
          <w:sz w:val="24"/>
        </w:rPr>
      </w:pPr>
      <w:r>
        <w:rPr>
          <w:rFonts w:ascii="宋体" w:hint="eastAsia"/>
          <w:color w:val="000000"/>
          <w:kern w:val="0"/>
          <w:sz w:val="24"/>
        </w:rPr>
        <w:t>2</w:t>
      </w:r>
      <w:r>
        <w:rPr>
          <w:rFonts w:ascii="宋体" w:hint="eastAsia"/>
          <w:color w:val="000000"/>
          <w:kern w:val="0"/>
          <w:sz w:val="24"/>
        </w:rPr>
        <w:t>、本基金登记机构（兴业基金管理有限公司）在基金募集结束后对基金权益进行过户登记。</w:t>
      </w:r>
    </w:p>
    <w:p w:rsidR="00BC36F9" w:rsidRDefault="00BC36F9">
      <w:pPr>
        <w:tabs>
          <w:tab w:val="left" w:pos="5175"/>
        </w:tabs>
        <w:spacing w:line="360" w:lineRule="auto"/>
        <w:ind w:firstLineChars="200" w:firstLine="480"/>
        <w:rPr>
          <w:rFonts w:ascii="宋体"/>
          <w:color w:val="000000"/>
          <w:kern w:val="0"/>
          <w:sz w:val="24"/>
        </w:rPr>
      </w:pPr>
    </w:p>
    <w:p w:rsidR="00BC36F9" w:rsidRDefault="0030070B">
      <w:pPr>
        <w:pStyle w:val="ad"/>
        <w:numPr>
          <w:ilvl w:val="0"/>
          <w:numId w:val="1"/>
        </w:numPr>
        <w:spacing w:before="0" w:after="0"/>
        <w:rPr>
          <w:rFonts w:eastAsia="宋体"/>
          <w:bCs/>
          <w:sz w:val="28"/>
          <w:szCs w:val="28"/>
        </w:rPr>
      </w:pPr>
      <w:bookmarkStart w:id="22" w:name="_Toc376250741"/>
      <w:r>
        <w:rPr>
          <w:rFonts w:eastAsia="宋体"/>
          <w:bCs/>
          <w:sz w:val="28"/>
          <w:szCs w:val="28"/>
        </w:rPr>
        <w:t>退款</w:t>
      </w:r>
      <w:bookmarkEnd w:id="21"/>
      <w:bookmarkEnd w:id="22"/>
    </w:p>
    <w:p w:rsidR="00BC36F9" w:rsidRDefault="0030070B">
      <w:pPr>
        <w:tabs>
          <w:tab w:val="left" w:pos="5175"/>
        </w:tabs>
        <w:spacing w:line="360" w:lineRule="auto"/>
        <w:ind w:firstLineChars="200" w:firstLine="480"/>
        <w:rPr>
          <w:rFonts w:ascii="宋体"/>
          <w:color w:val="000000"/>
          <w:kern w:val="0"/>
          <w:sz w:val="24"/>
        </w:rPr>
      </w:pPr>
      <w:r>
        <w:rPr>
          <w:rFonts w:ascii="宋体" w:hint="eastAsia"/>
          <w:color w:val="000000"/>
          <w:kern w:val="0"/>
          <w:sz w:val="24"/>
        </w:rPr>
        <w:t>1</w:t>
      </w:r>
      <w:r>
        <w:rPr>
          <w:rFonts w:ascii="宋体" w:hint="eastAsia"/>
          <w:color w:val="000000"/>
          <w:kern w:val="0"/>
          <w:sz w:val="24"/>
        </w:rPr>
        <w:t>、投资人通过直销机构进行认购时产生的无效认购资金在认购结束后三个工作日内向投资人的指定银行账户划出。</w:t>
      </w:r>
    </w:p>
    <w:p w:rsidR="00BC36F9" w:rsidRDefault="0030070B">
      <w:pPr>
        <w:tabs>
          <w:tab w:val="left" w:pos="5175"/>
        </w:tabs>
        <w:spacing w:line="360" w:lineRule="auto"/>
        <w:ind w:firstLineChars="200" w:firstLine="480"/>
        <w:rPr>
          <w:rFonts w:ascii="宋体"/>
          <w:color w:val="000000"/>
          <w:kern w:val="0"/>
          <w:sz w:val="24"/>
        </w:rPr>
      </w:pPr>
      <w:r>
        <w:rPr>
          <w:rFonts w:ascii="宋体" w:hint="eastAsia"/>
          <w:color w:val="000000"/>
          <w:kern w:val="0"/>
          <w:sz w:val="24"/>
        </w:rPr>
        <w:t>2</w:t>
      </w:r>
      <w:r>
        <w:rPr>
          <w:rFonts w:ascii="宋体" w:hint="eastAsia"/>
          <w:color w:val="000000"/>
          <w:kern w:val="0"/>
          <w:sz w:val="24"/>
        </w:rPr>
        <w:t>、基金募集期届满，未达到基金合同的备案条件，或基金募集期内发生不可抗力使基金合同无法生效，则基金募集失败；如基金募集失败，基金管理人应以固有财产承担因募集行为而产生的债务和费用；</w:t>
      </w:r>
      <w:r>
        <w:rPr>
          <w:rFonts w:ascii="宋体" w:hint="eastAsia"/>
          <w:bCs/>
          <w:color w:val="000000"/>
          <w:sz w:val="24"/>
        </w:rPr>
        <w:t>在基金募集期限届满后</w:t>
      </w:r>
      <w:r>
        <w:rPr>
          <w:rFonts w:ascii="宋体"/>
          <w:bCs/>
          <w:color w:val="000000"/>
          <w:sz w:val="24"/>
        </w:rPr>
        <w:t>30</w:t>
      </w:r>
      <w:r>
        <w:rPr>
          <w:rFonts w:ascii="宋体" w:hint="eastAsia"/>
          <w:bCs/>
          <w:color w:val="000000"/>
          <w:sz w:val="24"/>
        </w:rPr>
        <w:t>日内返还投资者已缴纳的款项，并加计银行同期活期存款利息；</w:t>
      </w:r>
      <w:r>
        <w:rPr>
          <w:rFonts w:ascii="宋体" w:hint="eastAsia"/>
          <w:color w:val="000000"/>
          <w:kern w:val="0"/>
          <w:sz w:val="24"/>
        </w:rPr>
        <w:t>基金管理人、基金托管人及基金销售机构不得请求报酬。基金管理人、基金托管人和销售机构为基金募集支付之一切费用应由各方各自承担。</w:t>
      </w:r>
    </w:p>
    <w:p w:rsidR="00BC36F9" w:rsidRDefault="00BC36F9">
      <w:pPr>
        <w:ind w:firstLineChars="200" w:firstLine="480"/>
        <w:rPr>
          <w:sz w:val="24"/>
        </w:rPr>
      </w:pPr>
    </w:p>
    <w:p w:rsidR="00BC36F9" w:rsidRDefault="0030070B">
      <w:pPr>
        <w:pStyle w:val="ad"/>
        <w:numPr>
          <w:ilvl w:val="0"/>
          <w:numId w:val="1"/>
        </w:numPr>
        <w:spacing w:before="0" w:after="0"/>
        <w:rPr>
          <w:rFonts w:eastAsia="宋体"/>
          <w:bCs/>
          <w:sz w:val="28"/>
          <w:szCs w:val="28"/>
        </w:rPr>
      </w:pPr>
      <w:bookmarkStart w:id="23" w:name="_Toc365531607"/>
      <w:bookmarkStart w:id="24" w:name="_Toc376250742"/>
      <w:r>
        <w:rPr>
          <w:rFonts w:eastAsia="宋体"/>
          <w:bCs/>
          <w:sz w:val="28"/>
          <w:szCs w:val="28"/>
        </w:rPr>
        <w:t>基金的验资与基金合同的生效</w:t>
      </w:r>
      <w:bookmarkEnd w:id="23"/>
      <w:bookmarkEnd w:id="24"/>
    </w:p>
    <w:p w:rsidR="00BC36F9" w:rsidRDefault="0030070B">
      <w:pPr>
        <w:pStyle w:val="ad"/>
        <w:jc w:val="left"/>
        <w:rPr>
          <w:rFonts w:ascii="Times New Roman" w:eastAsia="宋体" w:hAnsi="Times New Roman"/>
          <w:b w:val="0"/>
          <w:color w:val="auto"/>
          <w:kern w:val="2"/>
          <w:sz w:val="24"/>
          <w:szCs w:val="24"/>
        </w:rPr>
      </w:pPr>
      <w:bookmarkStart w:id="25" w:name="OLE_LINK12"/>
      <w:bookmarkStart w:id="26" w:name="_Toc365531608"/>
      <w:r>
        <w:rPr>
          <w:rFonts w:ascii="Times New Roman" w:eastAsia="宋体" w:hAnsi="Times New Roman" w:hint="eastAsia"/>
          <w:b w:val="0"/>
          <w:color w:val="auto"/>
          <w:kern w:val="2"/>
          <w:sz w:val="24"/>
          <w:szCs w:val="24"/>
        </w:rPr>
        <w:t>本基金自基金份额发售之日起</w:t>
      </w:r>
      <w:r>
        <w:rPr>
          <w:rFonts w:ascii="Times New Roman" w:eastAsia="宋体" w:hAnsi="Times New Roman" w:hint="eastAsia"/>
          <w:b w:val="0"/>
          <w:color w:val="auto"/>
          <w:kern w:val="2"/>
          <w:sz w:val="24"/>
          <w:szCs w:val="24"/>
        </w:rPr>
        <w:t>3</w:t>
      </w:r>
      <w:r>
        <w:rPr>
          <w:rFonts w:ascii="Times New Roman" w:eastAsia="宋体" w:hAnsi="Times New Roman" w:hint="eastAsia"/>
          <w:b w:val="0"/>
          <w:color w:val="auto"/>
          <w:kern w:val="2"/>
          <w:sz w:val="24"/>
          <w:szCs w:val="24"/>
        </w:rPr>
        <w:t>个月内，在基金募集份额总额不少于</w:t>
      </w:r>
      <w:r>
        <w:rPr>
          <w:rFonts w:ascii="Times New Roman" w:eastAsia="宋体" w:hAnsi="Times New Roman" w:hint="eastAsia"/>
          <w:b w:val="0"/>
          <w:color w:val="auto"/>
          <w:kern w:val="2"/>
          <w:sz w:val="24"/>
          <w:szCs w:val="24"/>
        </w:rPr>
        <w:t>2</w:t>
      </w:r>
      <w:r>
        <w:rPr>
          <w:rFonts w:ascii="Times New Roman" w:eastAsia="宋体" w:hAnsi="Times New Roman" w:hint="eastAsia"/>
          <w:b w:val="0"/>
          <w:color w:val="auto"/>
          <w:kern w:val="2"/>
          <w:sz w:val="24"/>
          <w:szCs w:val="24"/>
        </w:rPr>
        <w:t>亿份，基金募集金额不少于</w:t>
      </w:r>
      <w:r>
        <w:rPr>
          <w:rFonts w:ascii="Times New Roman" w:eastAsia="宋体" w:hAnsi="Times New Roman" w:hint="eastAsia"/>
          <w:b w:val="0"/>
          <w:color w:val="auto"/>
          <w:kern w:val="2"/>
          <w:sz w:val="24"/>
          <w:szCs w:val="24"/>
        </w:rPr>
        <w:t>2</w:t>
      </w:r>
      <w:r>
        <w:rPr>
          <w:rFonts w:ascii="Times New Roman" w:eastAsia="宋体" w:hAnsi="Times New Roman" w:hint="eastAsia"/>
          <w:b w:val="0"/>
          <w:color w:val="auto"/>
          <w:kern w:val="2"/>
          <w:sz w:val="24"/>
          <w:szCs w:val="24"/>
        </w:rPr>
        <w:t>亿元人民币且基金认购人数不少于</w:t>
      </w:r>
      <w:r>
        <w:rPr>
          <w:rFonts w:ascii="Times New Roman" w:eastAsia="宋体" w:hAnsi="Times New Roman" w:hint="eastAsia"/>
          <w:b w:val="0"/>
          <w:color w:val="auto"/>
          <w:kern w:val="2"/>
          <w:sz w:val="24"/>
          <w:szCs w:val="24"/>
        </w:rPr>
        <w:t>200</w:t>
      </w:r>
      <w:r>
        <w:rPr>
          <w:rFonts w:ascii="Times New Roman" w:eastAsia="宋体" w:hAnsi="Times New Roman" w:hint="eastAsia"/>
          <w:b w:val="0"/>
          <w:color w:val="auto"/>
          <w:kern w:val="2"/>
          <w:sz w:val="24"/>
          <w:szCs w:val="24"/>
        </w:rPr>
        <w:t>人的条件下，基金募集期届满或基金管理人依据法律法规及招募说明书可以决定停止基金发售，并在</w:t>
      </w:r>
      <w:r>
        <w:rPr>
          <w:rFonts w:ascii="Times New Roman" w:eastAsia="宋体" w:hAnsi="Times New Roman" w:hint="eastAsia"/>
          <w:b w:val="0"/>
          <w:color w:val="auto"/>
          <w:kern w:val="2"/>
          <w:sz w:val="24"/>
          <w:szCs w:val="24"/>
        </w:rPr>
        <w:t>10</w:t>
      </w:r>
      <w:r>
        <w:rPr>
          <w:rFonts w:ascii="Times New Roman" w:eastAsia="宋体" w:hAnsi="Times New Roman" w:hint="eastAsia"/>
          <w:b w:val="0"/>
          <w:color w:val="auto"/>
          <w:kern w:val="2"/>
          <w:sz w:val="24"/>
          <w:szCs w:val="24"/>
        </w:rPr>
        <w:t>日内聘请法定验资机构验资，自收到验资报告之日起</w:t>
      </w:r>
      <w:r>
        <w:rPr>
          <w:rFonts w:ascii="Times New Roman" w:eastAsia="宋体" w:hAnsi="Times New Roman" w:hint="eastAsia"/>
          <w:b w:val="0"/>
          <w:color w:val="auto"/>
          <w:kern w:val="2"/>
          <w:sz w:val="24"/>
          <w:szCs w:val="24"/>
        </w:rPr>
        <w:t>10</w:t>
      </w:r>
      <w:r>
        <w:rPr>
          <w:rFonts w:ascii="Times New Roman" w:eastAsia="宋体" w:hAnsi="Times New Roman" w:hint="eastAsia"/>
          <w:b w:val="0"/>
          <w:color w:val="auto"/>
          <w:kern w:val="2"/>
          <w:sz w:val="24"/>
          <w:szCs w:val="24"/>
        </w:rPr>
        <w:t>日内，向中国证监会办理基金备案手续。</w:t>
      </w:r>
    </w:p>
    <w:p w:rsidR="00BC36F9" w:rsidRDefault="0030070B">
      <w:pPr>
        <w:spacing w:line="360" w:lineRule="auto"/>
        <w:ind w:firstLineChars="200" w:firstLine="480"/>
        <w:rPr>
          <w:sz w:val="24"/>
        </w:rPr>
      </w:pPr>
      <w:r>
        <w:rPr>
          <w:rFonts w:hint="eastAsia"/>
          <w:sz w:val="24"/>
        </w:rPr>
        <w:t>基金募集达到基金备案条件的，自基金管理人办理完毕基金</w:t>
      </w:r>
      <w:r>
        <w:rPr>
          <w:rFonts w:hint="eastAsia"/>
          <w:sz w:val="24"/>
        </w:rPr>
        <w:t>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bookmarkEnd w:id="25"/>
    </w:p>
    <w:p w:rsidR="00BC36F9" w:rsidRDefault="0030070B">
      <w:pPr>
        <w:pStyle w:val="ad"/>
        <w:numPr>
          <w:ilvl w:val="0"/>
          <w:numId w:val="1"/>
        </w:numPr>
        <w:spacing w:before="0" w:after="0"/>
        <w:rPr>
          <w:rFonts w:eastAsia="宋体"/>
          <w:bCs/>
          <w:sz w:val="28"/>
          <w:szCs w:val="28"/>
        </w:rPr>
      </w:pPr>
      <w:bookmarkStart w:id="27" w:name="_Toc376250743"/>
      <w:r>
        <w:rPr>
          <w:rFonts w:eastAsia="宋体"/>
          <w:bCs/>
          <w:sz w:val="28"/>
          <w:szCs w:val="28"/>
        </w:rPr>
        <w:t>本次募集有关当事人或中介机构</w:t>
      </w:r>
      <w:bookmarkEnd w:id="26"/>
      <w:bookmarkEnd w:id="27"/>
    </w:p>
    <w:p w:rsidR="00BC36F9" w:rsidRDefault="0030070B">
      <w:pPr>
        <w:spacing w:line="360" w:lineRule="auto"/>
        <w:ind w:firstLineChars="200" w:firstLine="480"/>
        <w:rPr>
          <w:rFonts w:ascii="宋体"/>
          <w:bCs/>
          <w:color w:val="000000"/>
          <w:sz w:val="24"/>
        </w:rPr>
      </w:pPr>
      <w:r>
        <w:rPr>
          <w:rFonts w:ascii="宋体" w:hint="eastAsia"/>
          <w:bCs/>
          <w:color w:val="000000"/>
          <w:sz w:val="24"/>
        </w:rPr>
        <w:t>1</w:t>
      </w:r>
      <w:r>
        <w:rPr>
          <w:rFonts w:ascii="宋体" w:hint="eastAsia"/>
          <w:bCs/>
          <w:color w:val="000000"/>
          <w:sz w:val="24"/>
        </w:rPr>
        <w:t>、</w:t>
      </w:r>
      <w:r>
        <w:rPr>
          <w:rFonts w:ascii="宋体"/>
          <w:bCs/>
          <w:color w:val="000000"/>
          <w:sz w:val="24"/>
        </w:rPr>
        <w:t>基金管理人</w:t>
      </w:r>
    </w:p>
    <w:p w:rsidR="00BC36F9" w:rsidRDefault="0030070B">
      <w:pPr>
        <w:spacing w:line="360" w:lineRule="auto"/>
        <w:ind w:firstLineChars="200" w:firstLine="480"/>
        <w:rPr>
          <w:rFonts w:ascii="宋体"/>
          <w:color w:val="000000"/>
          <w:sz w:val="24"/>
        </w:rPr>
      </w:pPr>
      <w:r>
        <w:rPr>
          <w:rFonts w:ascii="宋体"/>
          <w:color w:val="000000"/>
          <w:sz w:val="24"/>
        </w:rPr>
        <w:t>名称：</w:t>
      </w:r>
      <w:r>
        <w:rPr>
          <w:rFonts w:ascii="宋体" w:hint="eastAsia"/>
          <w:color w:val="000000"/>
          <w:sz w:val="24"/>
        </w:rPr>
        <w:t>兴业基金管理有限公司</w:t>
      </w:r>
    </w:p>
    <w:p w:rsidR="00BC36F9" w:rsidRDefault="0030070B">
      <w:pPr>
        <w:spacing w:line="360" w:lineRule="auto"/>
        <w:ind w:firstLineChars="200" w:firstLine="480"/>
        <w:rPr>
          <w:rFonts w:ascii="宋体"/>
          <w:color w:val="000000"/>
          <w:sz w:val="24"/>
        </w:rPr>
      </w:pPr>
      <w:r>
        <w:rPr>
          <w:rFonts w:ascii="宋体" w:hint="eastAsia"/>
          <w:color w:val="000000"/>
          <w:sz w:val="24"/>
        </w:rPr>
        <w:t>注册地址：福建省福州市鼓楼区五四路</w:t>
      </w:r>
      <w:r>
        <w:rPr>
          <w:rFonts w:ascii="宋体" w:hint="eastAsia"/>
          <w:color w:val="000000"/>
          <w:sz w:val="24"/>
        </w:rPr>
        <w:t>137</w:t>
      </w:r>
      <w:r>
        <w:rPr>
          <w:rFonts w:ascii="宋体" w:hint="eastAsia"/>
          <w:color w:val="000000"/>
          <w:sz w:val="24"/>
        </w:rPr>
        <w:t>号信和广场</w:t>
      </w:r>
      <w:r>
        <w:rPr>
          <w:rFonts w:ascii="宋体" w:hint="eastAsia"/>
          <w:color w:val="000000"/>
          <w:sz w:val="24"/>
        </w:rPr>
        <w:t>25</w:t>
      </w:r>
      <w:r>
        <w:rPr>
          <w:rFonts w:ascii="宋体" w:hint="eastAsia"/>
          <w:color w:val="000000"/>
          <w:sz w:val="24"/>
        </w:rPr>
        <w:t>楼</w:t>
      </w:r>
    </w:p>
    <w:p w:rsidR="00BC36F9" w:rsidRDefault="0030070B">
      <w:pPr>
        <w:spacing w:line="360" w:lineRule="auto"/>
        <w:ind w:firstLineChars="200" w:firstLine="480"/>
        <w:rPr>
          <w:rFonts w:ascii="宋体"/>
          <w:color w:val="000000"/>
          <w:sz w:val="24"/>
        </w:rPr>
      </w:pPr>
      <w:r>
        <w:rPr>
          <w:rFonts w:ascii="宋体" w:hint="eastAsia"/>
          <w:color w:val="000000"/>
          <w:sz w:val="24"/>
        </w:rPr>
        <w:t>办公地址</w:t>
      </w:r>
      <w:r>
        <w:rPr>
          <w:rFonts w:ascii="宋体"/>
          <w:color w:val="000000"/>
          <w:sz w:val="24"/>
        </w:rPr>
        <w:t>：</w:t>
      </w:r>
      <w:r>
        <w:rPr>
          <w:rFonts w:ascii="宋体"/>
          <w:sz w:val="24"/>
        </w:rPr>
        <w:t>上海</w:t>
      </w:r>
      <w:r>
        <w:rPr>
          <w:rFonts w:ascii="宋体" w:hint="eastAsia"/>
          <w:sz w:val="24"/>
        </w:rPr>
        <w:t>市浦东新区银城路</w:t>
      </w:r>
      <w:r>
        <w:rPr>
          <w:rFonts w:ascii="宋体" w:hint="eastAsia"/>
          <w:sz w:val="24"/>
        </w:rPr>
        <w:t>167</w:t>
      </w:r>
      <w:r>
        <w:rPr>
          <w:rFonts w:ascii="宋体" w:hint="eastAsia"/>
          <w:sz w:val="24"/>
        </w:rPr>
        <w:t>号兴业银行大厦</w:t>
      </w:r>
      <w:r>
        <w:rPr>
          <w:rFonts w:ascii="宋体" w:hint="eastAsia"/>
          <w:sz w:val="24"/>
        </w:rPr>
        <w:t>13</w:t>
      </w:r>
      <w:r>
        <w:rPr>
          <w:rFonts w:ascii="宋体" w:hint="eastAsia"/>
          <w:sz w:val="24"/>
        </w:rPr>
        <w:t>层、</w:t>
      </w:r>
      <w:r>
        <w:rPr>
          <w:rFonts w:ascii="宋体" w:hint="eastAsia"/>
          <w:sz w:val="24"/>
        </w:rPr>
        <w:t>14</w:t>
      </w:r>
      <w:r>
        <w:rPr>
          <w:rFonts w:ascii="宋体" w:hint="eastAsia"/>
          <w:sz w:val="24"/>
        </w:rPr>
        <w:t>层</w:t>
      </w:r>
    </w:p>
    <w:p w:rsidR="00BC36F9" w:rsidRDefault="0030070B">
      <w:pPr>
        <w:spacing w:line="360" w:lineRule="auto"/>
        <w:ind w:firstLineChars="200" w:firstLine="480"/>
        <w:rPr>
          <w:rFonts w:ascii="宋体"/>
          <w:color w:val="000000"/>
          <w:sz w:val="24"/>
        </w:rPr>
      </w:pPr>
      <w:r>
        <w:rPr>
          <w:rFonts w:ascii="宋体"/>
          <w:color w:val="000000"/>
          <w:sz w:val="24"/>
        </w:rPr>
        <w:t>法定代表人：</w:t>
      </w:r>
      <w:r>
        <w:rPr>
          <w:rFonts w:ascii="宋体" w:hint="eastAsia"/>
          <w:sz w:val="24"/>
        </w:rPr>
        <w:t>叶文煌</w:t>
      </w:r>
    </w:p>
    <w:p w:rsidR="00BC36F9" w:rsidRDefault="0030070B">
      <w:pPr>
        <w:spacing w:line="360" w:lineRule="auto"/>
        <w:ind w:firstLineChars="200" w:firstLine="480"/>
        <w:rPr>
          <w:rFonts w:ascii="宋体"/>
          <w:color w:val="000000"/>
          <w:sz w:val="24"/>
        </w:rPr>
      </w:pPr>
      <w:r>
        <w:rPr>
          <w:rFonts w:ascii="宋体"/>
          <w:color w:val="000000"/>
          <w:sz w:val="24"/>
        </w:rPr>
        <w:t>设立日期：</w:t>
      </w:r>
      <w:r>
        <w:rPr>
          <w:rFonts w:ascii="宋体" w:hint="eastAsia"/>
          <w:color w:val="000000"/>
          <w:sz w:val="24"/>
        </w:rPr>
        <w:t>2013</w:t>
      </w:r>
      <w:r>
        <w:rPr>
          <w:rFonts w:ascii="宋体" w:hint="eastAsia"/>
          <w:color w:val="000000"/>
          <w:sz w:val="24"/>
        </w:rPr>
        <w:t>年</w:t>
      </w:r>
      <w:r>
        <w:rPr>
          <w:rFonts w:ascii="宋体" w:hint="eastAsia"/>
          <w:color w:val="000000"/>
          <w:sz w:val="24"/>
        </w:rPr>
        <w:t>4</w:t>
      </w:r>
      <w:r>
        <w:rPr>
          <w:rFonts w:ascii="宋体" w:hint="eastAsia"/>
          <w:color w:val="000000"/>
          <w:sz w:val="24"/>
        </w:rPr>
        <w:t>月</w:t>
      </w:r>
      <w:r>
        <w:rPr>
          <w:rFonts w:ascii="宋体" w:hint="eastAsia"/>
          <w:color w:val="000000"/>
          <w:sz w:val="24"/>
        </w:rPr>
        <w:t>17</w:t>
      </w:r>
      <w:r>
        <w:rPr>
          <w:rFonts w:ascii="宋体" w:hint="eastAsia"/>
          <w:color w:val="000000"/>
          <w:sz w:val="24"/>
        </w:rPr>
        <w:t>日</w:t>
      </w:r>
    </w:p>
    <w:p w:rsidR="00BC36F9" w:rsidRDefault="0030070B">
      <w:pPr>
        <w:spacing w:line="360" w:lineRule="auto"/>
        <w:ind w:firstLineChars="200" w:firstLine="480"/>
        <w:rPr>
          <w:rFonts w:ascii="宋体"/>
          <w:color w:val="000000"/>
          <w:sz w:val="24"/>
        </w:rPr>
      </w:pPr>
      <w:r>
        <w:rPr>
          <w:rFonts w:ascii="宋体"/>
          <w:color w:val="000000"/>
          <w:sz w:val="24"/>
        </w:rPr>
        <w:t>批准设立机关及批准设立文号：</w:t>
      </w:r>
      <w:r>
        <w:rPr>
          <w:rFonts w:ascii="宋体" w:hint="eastAsia"/>
          <w:color w:val="000000"/>
          <w:sz w:val="24"/>
        </w:rPr>
        <w:t>中国证监会证监许可</w:t>
      </w:r>
      <w:r>
        <w:rPr>
          <w:rFonts w:ascii="宋体" w:hint="eastAsia"/>
          <w:sz w:val="24"/>
          <w:szCs w:val="36"/>
        </w:rPr>
        <w:t>【</w:t>
      </w:r>
      <w:r>
        <w:rPr>
          <w:rFonts w:ascii="宋体" w:hint="eastAsia"/>
          <w:color w:val="000000"/>
          <w:sz w:val="24"/>
        </w:rPr>
        <w:t>2013</w:t>
      </w:r>
      <w:r>
        <w:rPr>
          <w:rFonts w:ascii="宋体"/>
          <w:sz w:val="24"/>
          <w:szCs w:val="36"/>
        </w:rPr>
        <w:t>】</w:t>
      </w:r>
      <w:r>
        <w:rPr>
          <w:rFonts w:ascii="宋体" w:hint="eastAsia"/>
          <w:color w:val="000000"/>
          <w:sz w:val="24"/>
        </w:rPr>
        <w:t>288</w:t>
      </w:r>
      <w:r>
        <w:rPr>
          <w:rFonts w:ascii="宋体" w:hint="eastAsia"/>
          <w:color w:val="000000"/>
          <w:sz w:val="24"/>
        </w:rPr>
        <w:t>号</w:t>
      </w:r>
    </w:p>
    <w:p w:rsidR="00BC36F9" w:rsidRDefault="0030070B">
      <w:pPr>
        <w:spacing w:line="360" w:lineRule="auto"/>
        <w:ind w:firstLineChars="200" w:firstLine="480"/>
        <w:rPr>
          <w:rFonts w:ascii="宋体"/>
          <w:color w:val="000000"/>
          <w:sz w:val="24"/>
        </w:rPr>
      </w:pPr>
      <w:r>
        <w:rPr>
          <w:rFonts w:ascii="宋体"/>
          <w:color w:val="000000"/>
          <w:sz w:val="24"/>
        </w:rPr>
        <w:t>组织形式：</w:t>
      </w:r>
      <w:r>
        <w:rPr>
          <w:rFonts w:ascii="宋体" w:hint="eastAsia"/>
          <w:color w:val="000000"/>
          <w:sz w:val="24"/>
        </w:rPr>
        <w:t>有限责任公司</w:t>
      </w:r>
    </w:p>
    <w:p w:rsidR="00BC36F9" w:rsidRDefault="0030070B">
      <w:pPr>
        <w:spacing w:line="360" w:lineRule="auto"/>
        <w:ind w:firstLineChars="200" w:firstLine="480"/>
        <w:rPr>
          <w:rFonts w:ascii="宋体"/>
          <w:color w:val="000000"/>
          <w:sz w:val="24"/>
        </w:rPr>
      </w:pPr>
      <w:r>
        <w:rPr>
          <w:rFonts w:ascii="宋体"/>
          <w:color w:val="000000"/>
          <w:sz w:val="24"/>
        </w:rPr>
        <w:t>注册资本：</w:t>
      </w:r>
      <w:r>
        <w:rPr>
          <w:rFonts w:ascii="宋体" w:hint="eastAsia"/>
          <w:color w:val="000000"/>
          <w:sz w:val="24"/>
        </w:rPr>
        <w:t>12</w:t>
      </w:r>
      <w:r>
        <w:rPr>
          <w:rFonts w:ascii="宋体" w:hint="eastAsia"/>
          <w:color w:val="000000"/>
          <w:sz w:val="24"/>
        </w:rPr>
        <w:t>亿元人民币</w:t>
      </w:r>
    </w:p>
    <w:p w:rsidR="00BC36F9" w:rsidRDefault="0030070B">
      <w:pPr>
        <w:spacing w:line="360" w:lineRule="auto"/>
        <w:ind w:firstLineChars="200" w:firstLine="480"/>
        <w:rPr>
          <w:rFonts w:ascii="宋体"/>
          <w:color w:val="000000"/>
          <w:sz w:val="24"/>
        </w:rPr>
      </w:pPr>
      <w:r>
        <w:rPr>
          <w:rFonts w:ascii="宋体"/>
          <w:color w:val="000000"/>
          <w:sz w:val="24"/>
        </w:rPr>
        <w:t>存续期限：</w:t>
      </w:r>
      <w:r>
        <w:rPr>
          <w:rFonts w:ascii="宋体" w:hint="eastAsia"/>
          <w:color w:val="000000"/>
          <w:sz w:val="24"/>
        </w:rPr>
        <w:t>持续经营</w:t>
      </w:r>
    </w:p>
    <w:p w:rsidR="00BC36F9" w:rsidRDefault="0030070B">
      <w:pPr>
        <w:spacing w:line="360" w:lineRule="auto"/>
        <w:ind w:firstLineChars="200" w:firstLine="480"/>
        <w:rPr>
          <w:rFonts w:ascii="宋体"/>
          <w:color w:val="000000"/>
          <w:sz w:val="24"/>
        </w:rPr>
      </w:pPr>
      <w:r>
        <w:rPr>
          <w:rFonts w:ascii="宋体"/>
          <w:color w:val="000000"/>
          <w:sz w:val="24"/>
        </w:rPr>
        <w:t>联系电话：</w:t>
      </w:r>
      <w:r>
        <w:rPr>
          <w:rFonts w:ascii="宋体" w:hint="eastAsia"/>
          <w:color w:val="000000"/>
          <w:sz w:val="24"/>
        </w:rPr>
        <w:t>021-222118</w:t>
      </w:r>
      <w:r>
        <w:rPr>
          <w:rFonts w:ascii="宋体"/>
          <w:color w:val="000000"/>
          <w:sz w:val="24"/>
        </w:rPr>
        <w:t>66</w:t>
      </w:r>
    </w:p>
    <w:p w:rsidR="00BC36F9" w:rsidRDefault="0030070B">
      <w:pPr>
        <w:spacing w:line="360" w:lineRule="auto"/>
        <w:ind w:firstLineChars="200" w:firstLine="480"/>
        <w:rPr>
          <w:rFonts w:ascii="宋体"/>
          <w:color w:val="000000"/>
          <w:sz w:val="24"/>
        </w:rPr>
      </w:pPr>
      <w:r>
        <w:rPr>
          <w:rFonts w:ascii="宋体" w:hint="eastAsia"/>
          <w:color w:val="000000"/>
          <w:sz w:val="24"/>
        </w:rPr>
        <w:t>联系人：郭玲燕</w:t>
      </w:r>
    </w:p>
    <w:p w:rsidR="00BC36F9" w:rsidRDefault="0030070B">
      <w:pPr>
        <w:spacing w:line="360" w:lineRule="auto"/>
        <w:ind w:firstLineChars="200" w:firstLine="480"/>
        <w:rPr>
          <w:rFonts w:ascii="宋体"/>
          <w:bCs/>
          <w:color w:val="000000"/>
          <w:sz w:val="24"/>
        </w:rPr>
      </w:pPr>
      <w:r>
        <w:rPr>
          <w:rFonts w:ascii="宋体" w:hint="eastAsia"/>
          <w:bCs/>
          <w:color w:val="000000"/>
          <w:sz w:val="24"/>
        </w:rPr>
        <w:t>2</w:t>
      </w:r>
      <w:r>
        <w:rPr>
          <w:rFonts w:ascii="宋体" w:hint="eastAsia"/>
          <w:bCs/>
          <w:color w:val="000000"/>
          <w:sz w:val="24"/>
        </w:rPr>
        <w:t>、</w:t>
      </w:r>
      <w:r>
        <w:rPr>
          <w:rFonts w:ascii="宋体"/>
          <w:bCs/>
          <w:color w:val="000000"/>
          <w:sz w:val="24"/>
        </w:rPr>
        <w:t>基金托管人</w:t>
      </w:r>
    </w:p>
    <w:p w:rsidR="00BC36F9" w:rsidRDefault="0030070B">
      <w:pPr>
        <w:widowControl/>
        <w:spacing w:line="360" w:lineRule="auto"/>
        <w:ind w:firstLine="480"/>
        <w:rPr>
          <w:rFonts w:ascii="宋体" w:hAnsi="宋体"/>
          <w:kern w:val="0"/>
          <w:sz w:val="24"/>
        </w:rPr>
      </w:pPr>
      <w:r>
        <w:rPr>
          <w:rFonts w:ascii="宋体" w:hAnsi="宋体" w:hint="eastAsia"/>
          <w:kern w:val="0"/>
          <w:sz w:val="24"/>
        </w:rPr>
        <w:t>名称：北京银行股份有限公司</w:t>
      </w:r>
    </w:p>
    <w:p w:rsidR="00BC36F9" w:rsidRDefault="0030070B">
      <w:pPr>
        <w:widowControl/>
        <w:spacing w:line="360" w:lineRule="auto"/>
        <w:ind w:firstLine="480"/>
        <w:rPr>
          <w:rFonts w:ascii="宋体" w:hAnsi="宋体"/>
          <w:kern w:val="0"/>
          <w:sz w:val="24"/>
        </w:rPr>
      </w:pPr>
      <w:r>
        <w:rPr>
          <w:rFonts w:ascii="宋体" w:hAnsi="宋体" w:hint="eastAsia"/>
          <w:kern w:val="0"/>
          <w:sz w:val="24"/>
        </w:rPr>
        <w:t>注册地址：北京市西城区金融大街甲</w:t>
      </w:r>
      <w:r>
        <w:rPr>
          <w:rFonts w:ascii="宋体" w:hAnsi="宋体"/>
          <w:kern w:val="0"/>
          <w:sz w:val="24"/>
        </w:rPr>
        <w:t>17</w:t>
      </w:r>
      <w:r>
        <w:rPr>
          <w:rFonts w:ascii="宋体" w:hAnsi="宋体" w:hint="eastAsia"/>
          <w:kern w:val="0"/>
          <w:sz w:val="24"/>
        </w:rPr>
        <w:t>号首层</w:t>
      </w:r>
    </w:p>
    <w:p w:rsidR="00BC36F9" w:rsidRDefault="0030070B">
      <w:pPr>
        <w:widowControl/>
        <w:spacing w:line="360" w:lineRule="auto"/>
        <w:ind w:firstLine="480"/>
        <w:rPr>
          <w:rFonts w:ascii="宋体" w:hAnsi="宋体"/>
          <w:kern w:val="0"/>
          <w:sz w:val="24"/>
        </w:rPr>
      </w:pPr>
      <w:r>
        <w:rPr>
          <w:rFonts w:ascii="宋体" w:hAnsi="宋体" w:hint="eastAsia"/>
          <w:kern w:val="0"/>
          <w:sz w:val="24"/>
        </w:rPr>
        <w:t>办公地址：北京市西城区金融大街丙</w:t>
      </w:r>
      <w:r>
        <w:rPr>
          <w:rFonts w:ascii="宋体" w:hAnsi="宋体"/>
          <w:kern w:val="0"/>
          <w:sz w:val="24"/>
        </w:rPr>
        <w:t>17</w:t>
      </w:r>
      <w:r>
        <w:rPr>
          <w:rFonts w:ascii="宋体" w:hAnsi="宋体" w:hint="eastAsia"/>
          <w:kern w:val="0"/>
          <w:sz w:val="24"/>
        </w:rPr>
        <w:t>号</w:t>
      </w:r>
    </w:p>
    <w:p w:rsidR="00BC36F9" w:rsidRDefault="0030070B">
      <w:pPr>
        <w:widowControl/>
        <w:spacing w:line="360" w:lineRule="auto"/>
        <w:ind w:firstLine="480"/>
        <w:rPr>
          <w:rFonts w:ascii="宋体" w:hAnsi="宋体"/>
          <w:kern w:val="0"/>
          <w:sz w:val="24"/>
        </w:rPr>
      </w:pPr>
      <w:r>
        <w:rPr>
          <w:rFonts w:ascii="宋体" w:hAnsi="宋体" w:hint="eastAsia"/>
          <w:kern w:val="0"/>
          <w:sz w:val="24"/>
        </w:rPr>
        <w:t>法定代表人：霍学文</w:t>
      </w:r>
    </w:p>
    <w:p w:rsidR="00BC36F9" w:rsidRDefault="0030070B">
      <w:pPr>
        <w:widowControl/>
        <w:spacing w:line="360" w:lineRule="auto"/>
        <w:ind w:firstLine="480"/>
        <w:rPr>
          <w:rFonts w:ascii="宋体" w:hAnsi="宋体"/>
          <w:kern w:val="0"/>
          <w:sz w:val="24"/>
        </w:rPr>
      </w:pPr>
      <w:r>
        <w:rPr>
          <w:rFonts w:ascii="宋体" w:hAnsi="宋体" w:hint="eastAsia"/>
          <w:kern w:val="0"/>
          <w:sz w:val="24"/>
        </w:rPr>
        <w:t>成立时间：</w:t>
      </w:r>
      <w:r>
        <w:rPr>
          <w:rFonts w:ascii="宋体" w:hAnsi="宋体"/>
          <w:kern w:val="0"/>
          <w:sz w:val="24"/>
        </w:rPr>
        <w:t>1996</w:t>
      </w:r>
      <w:r>
        <w:rPr>
          <w:rFonts w:ascii="宋体" w:hAnsi="宋体" w:hint="eastAsia"/>
          <w:kern w:val="0"/>
          <w:sz w:val="24"/>
        </w:rPr>
        <w:t>年</w:t>
      </w:r>
      <w:r>
        <w:rPr>
          <w:rFonts w:ascii="宋体" w:hAnsi="宋体"/>
          <w:kern w:val="0"/>
          <w:sz w:val="24"/>
        </w:rPr>
        <w:t>01</w:t>
      </w:r>
      <w:r>
        <w:rPr>
          <w:rFonts w:ascii="宋体" w:hAnsi="宋体" w:hint="eastAsia"/>
          <w:kern w:val="0"/>
          <w:sz w:val="24"/>
        </w:rPr>
        <w:t>月</w:t>
      </w:r>
      <w:r>
        <w:rPr>
          <w:rFonts w:ascii="宋体" w:hAnsi="宋体"/>
          <w:kern w:val="0"/>
          <w:sz w:val="24"/>
        </w:rPr>
        <w:t>29</w:t>
      </w:r>
      <w:r>
        <w:rPr>
          <w:rFonts w:ascii="宋体" w:hAnsi="宋体" w:hint="eastAsia"/>
          <w:kern w:val="0"/>
          <w:sz w:val="24"/>
        </w:rPr>
        <w:t>日</w:t>
      </w:r>
    </w:p>
    <w:p w:rsidR="00BC36F9" w:rsidRDefault="0030070B">
      <w:pPr>
        <w:widowControl/>
        <w:spacing w:line="360" w:lineRule="auto"/>
        <w:ind w:firstLine="480"/>
        <w:rPr>
          <w:rFonts w:ascii="宋体" w:hAnsi="宋体"/>
          <w:kern w:val="0"/>
          <w:sz w:val="24"/>
        </w:rPr>
      </w:pPr>
      <w:r>
        <w:rPr>
          <w:rFonts w:ascii="宋体" w:hAnsi="宋体" w:hint="eastAsia"/>
          <w:kern w:val="0"/>
          <w:sz w:val="24"/>
        </w:rPr>
        <w:t>组织形式：股份有限公司（上市）</w:t>
      </w:r>
    </w:p>
    <w:p w:rsidR="00BC36F9" w:rsidRDefault="0030070B">
      <w:pPr>
        <w:widowControl/>
        <w:spacing w:line="360" w:lineRule="auto"/>
        <w:ind w:firstLine="480"/>
        <w:rPr>
          <w:rFonts w:ascii="宋体" w:hAnsi="宋体"/>
          <w:kern w:val="0"/>
          <w:sz w:val="24"/>
        </w:rPr>
      </w:pPr>
      <w:r>
        <w:rPr>
          <w:rFonts w:ascii="宋体" w:hAnsi="宋体" w:hint="eastAsia"/>
          <w:kern w:val="0"/>
          <w:sz w:val="24"/>
        </w:rPr>
        <w:t>注册资本：人民币</w:t>
      </w:r>
      <w:r>
        <w:rPr>
          <w:rFonts w:ascii="宋体" w:hAnsi="宋体"/>
          <w:kern w:val="0"/>
          <w:sz w:val="24"/>
        </w:rPr>
        <w:t>2114298.4272</w:t>
      </w:r>
      <w:r>
        <w:rPr>
          <w:rFonts w:ascii="宋体" w:hAnsi="宋体" w:hint="eastAsia"/>
          <w:kern w:val="0"/>
          <w:sz w:val="24"/>
        </w:rPr>
        <w:t>万元</w:t>
      </w:r>
    </w:p>
    <w:p w:rsidR="00BC36F9" w:rsidRDefault="0030070B">
      <w:pPr>
        <w:widowControl/>
        <w:spacing w:line="360" w:lineRule="auto"/>
        <w:ind w:firstLine="480"/>
        <w:rPr>
          <w:rFonts w:ascii="宋体" w:hAnsi="宋体"/>
          <w:kern w:val="0"/>
          <w:sz w:val="24"/>
        </w:rPr>
      </w:pPr>
      <w:r>
        <w:rPr>
          <w:rFonts w:ascii="宋体" w:hAnsi="宋体" w:hint="eastAsia"/>
          <w:kern w:val="0"/>
          <w:sz w:val="24"/>
        </w:rPr>
        <w:t>存续期间：持续经营</w:t>
      </w:r>
    </w:p>
    <w:p w:rsidR="00BC36F9" w:rsidRDefault="0030070B">
      <w:pPr>
        <w:widowControl/>
        <w:spacing w:line="360" w:lineRule="auto"/>
        <w:ind w:firstLine="480"/>
        <w:rPr>
          <w:rFonts w:ascii="宋体" w:hAnsi="宋体"/>
          <w:kern w:val="0"/>
          <w:sz w:val="24"/>
        </w:rPr>
      </w:pPr>
      <w:r>
        <w:rPr>
          <w:rFonts w:ascii="宋体" w:hAnsi="宋体" w:hint="eastAsia"/>
          <w:kern w:val="0"/>
          <w:sz w:val="24"/>
        </w:rPr>
        <w:t>联系人：盖君</w:t>
      </w:r>
    </w:p>
    <w:p w:rsidR="00BC36F9" w:rsidRDefault="0030070B">
      <w:pPr>
        <w:widowControl/>
        <w:spacing w:line="360" w:lineRule="auto"/>
        <w:ind w:firstLine="480"/>
        <w:rPr>
          <w:rFonts w:ascii="宋体" w:hAnsi="宋体"/>
          <w:kern w:val="0"/>
          <w:sz w:val="24"/>
        </w:rPr>
      </w:pPr>
      <w:r>
        <w:rPr>
          <w:rFonts w:ascii="宋体" w:hAnsi="宋体" w:hint="eastAsia"/>
          <w:kern w:val="0"/>
          <w:sz w:val="24"/>
        </w:rPr>
        <w:t>官方客服电话：</w:t>
      </w:r>
      <w:r>
        <w:rPr>
          <w:rFonts w:ascii="宋体" w:hAnsi="宋体" w:hint="eastAsia"/>
          <w:kern w:val="0"/>
          <w:sz w:val="24"/>
        </w:rPr>
        <w:t>95526</w:t>
      </w:r>
    </w:p>
    <w:p w:rsidR="00BC36F9" w:rsidRDefault="0030070B">
      <w:pPr>
        <w:widowControl/>
        <w:spacing w:line="360" w:lineRule="auto"/>
        <w:ind w:firstLine="480"/>
        <w:rPr>
          <w:rFonts w:ascii="宋体" w:hAnsi="宋体"/>
          <w:kern w:val="0"/>
          <w:sz w:val="24"/>
        </w:rPr>
      </w:pPr>
      <w:r>
        <w:rPr>
          <w:rFonts w:ascii="宋体" w:hAnsi="宋体" w:hint="eastAsia"/>
          <w:kern w:val="0"/>
          <w:sz w:val="24"/>
        </w:rPr>
        <w:t>基金托管资格批准文号：中国证监会证监许可</w:t>
      </w:r>
      <w:r>
        <w:rPr>
          <w:rFonts w:ascii="宋体" w:hAnsi="宋体"/>
          <w:kern w:val="0"/>
          <w:sz w:val="24"/>
        </w:rPr>
        <w:t>[2008]776</w:t>
      </w:r>
      <w:r>
        <w:rPr>
          <w:rFonts w:ascii="宋体" w:hAnsi="宋体" w:hint="eastAsia"/>
          <w:kern w:val="0"/>
          <w:sz w:val="24"/>
        </w:rPr>
        <w:t>号</w:t>
      </w:r>
    </w:p>
    <w:p w:rsidR="00BC36F9" w:rsidRDefault="0030070B">
      <w:pPr>
        <w:spacing w:line="360" w:lineRule="auto"/>
        <w:ind w:firstLineChars="200" w:firstLine="480"/>
        <w:rPr>
          <w:rFonts w:ascii="宋体"/>
          <w:color w:val="000000"/>
          <w:sz w:val="24"/>
        </w:rPr>
      </w:pPr>
      <w:r>
        <w:rPr>
          <w:rFonts w:ascii="宋体" w:hint="eastAsia"/>
          <w:bCs/>
          <w:color w:val="000000"/>
          <w:sz w:val="24"/>
        </w:rPr>
        <w:t>3</w:t>
      </w:r>
      <w:r>
        <w:rPr>
          <w:rFonts w:ascii="宋体" w:hint="eastAsia"/>
          <w:bCs/>
          <w:color w:val="000000"/>
          <w:sz w:val="24"/>
        </w:rPr>
        <w:t>、</w:t>
      </w:r>
      <w:r>
        <w:rPr>
          <w:rFonts w:ascii="宋体" w:hint="eastAsia"/>
          <w:color w:val="000000"/>
          <w:sz w:val="24"/>
        </w:rPr>
        <w:t>销售机构</w:t>
      </w:r>
    </w:p>
    <w:p w:rsidR="00BC36F9" w:rsidRDefault="0030070B">
      <w:pPr>
        <w:spacing w:line="360" w:lineRule="auto"/>
        <w:ind w:firstLineChars="200" w:firstLine="480"/>
        <w:rPr>
          <w:rFonts w:ascii="宋体"/>
          <w:color w:val="000000"/>
          <w:sz w:val="24"/>
        </w:rPr>
      </w:pPr>
      <w:r>
        <w:rPr>
          <w:rFonts w:ascii="宋体" w:hint="eastAsia"/>
          <w:color w:val="000000"/>
          <w:sz w:val="24"/>
        </w:rPr>
        <w:t>销</w:t>
      </w:r>
      <w:r>
        <w:rPr>
          <w:rFonts w:ascii="宋体"/>
          <w:color w:val="000000"/>
          <w:sz w:val="24"/>
        </w:rPr>
        <w:t>售机构名单详见本公告</w:t>
      </w:r>
      <w:r>
        <w:rPr>
          <w:rFonts w:ascii="宋体"/>
          <w:color w:val="000000"/>
          <w:sz w:val="24"/>
        </w:rPr>
        <w:t>“</w:t>
      </w:r>
      <w:r>
        <w:rPr>
          <w:rFonts w:ascii="宋体"/>
          <w:color w:val="000000"/>
          <w:sz w:val="24"/>
        </w:rPr>
        <w:t>一、</w:t>
      </w:r>
      <w:r>
        <w:rPr>
          <w:rFonts w:ascii="宋体" w:hint="eastAsia"/>
          <w:bCs/>
          <w:color w:val="000000"/>
          <w:sz w:val="24"/>
        </w:rPr>
        <w:t>本次基金份额发售基本情况</w:t>
      </w:r>
      <w:r>
        <w:rPr>
          <w:rFonts w:ascii="宋体"/>
          <w:color w:val="000000"/>
          <w:sz w:val="24"/>
        </w:rPr>
        <w:t>”</w:t>
      </w:r>
      <w:r>
        <w:rPr>
          <w:rFonts w:ascii="宋体" w:hint="eastAsia"/>
          <w:color w:val="000000"/>
          <w:sz w:val="24"/>
        </w:rPr>
        <w:t>中的</w:t>
      </w:r>
      <w:r>
        <w:rPr>
          <w:rFonts w:ascii="宋体"/>
          <w:color w:val="000000"/>
          <w:sz w:val="24"/>
        </w:rPr>
        <w:t>“</w:t>
      </w:r>
      <w:r>
        <w:rPr>
          <w:rFonts w:ascii="宋体"/>
          <w:color w:val="000000"/>
          <w:sz w:val="24"/>
        </w:rPr>
        <w:t>10</w:t>
      </w:r>
      <w:r>
        <w:rPr>
          <w:rFonts w:ascii="宋体" w:hint="eastAsia"/>
          <w:color w:val="000000"/>
          <w:sz w:val="24"/>
        </w:rPr>
        <w:t>、销售</w:t>
      </w:r>
      <w:r>
        <w:rPr>
          <w:rFonts w:ascii="宋体"/>
          <w:color w:val="000000"/>
          <w:sz w:val="24"/>
        </w:rPr>
        <w:t>机构</w:t>
      </w:r>
      <w:r>
        <w:rPr>
          <w:rFonts w:ascii="宋体"/>
          <w:color w:val="000000"/>
          <w:sz w:val="24"/>
        </w:rPr>
        <w:t>”</w:t>
      </w:r>
      <w:r>
        <w:rPr>
          <w:rFonts w:ascii="宋体"/>
          <w:color w:val="000000"/>
          <w:sz w:val="24"/>
        </w:rPr>
        <w:t>。</w:t>
      </w:r>
    </w:p>
    <w:p w:rsidR="00BC36F9" w:rsidRDefault="0030070B">
      <w:pPr>
        <w:spacing w:line="360" w:lineRule="auto"/>
        <w:ind w:firstLineChars="200" w:firstLine="480"/>
        <w:rPr>
          <w:rFonts w:ascii="宋体"/>
          <w:bCs/>
          <w:color w:val="000000"/>
          <w:sz w:val="24"/>
        </w:rPr>
      </w:pPr>
      <w:r>
        <w:rPr>
          <w:rFonts w:ascii="宋体" w:hint="eastAsia"/>
          <w:bCs/>
          <w:color w:val="000000"/>
          <w:sz w:val="24"/>
        </w:rPr>
        <w:t>4</w:t>
      </w:r>
      <w:r>
        <w:rPr>
          <w:rFonts w:ascii="宋体" w:hint="eastAsia"/>
          <w:bCs/>
          <w:color w:val="000000"/>
          <w:sz w:val="24"/>
        </w:rPr>
        <w:t>、</w:t>
      </w:r>
      <w:r>
        <w:rPr>
          <w:rFonts w:ascii="宋体"/>
          <w:bCs/>
          <w:color w:val="000000"/>
          <w:sz w:val="24"/>
        </w:rPr>
        <w:t>登记机构</w:t>
      </w:r>
    </w:p>
    <w:p w:rsidR="00BC36F9" w:rsidRDefault="0030070B">
      <w:pPr>
        <w:spacing w:line="360" w:lineRule="auto"/>
        <w:ind w:firstLineChars="200" w:firstLine="480"/>
        <w:rPr>
          <w:rFonts w:ascii="宋体"/>
          <w:color w:val="000000"/>
          <w:sz w:val="24"/>
        </w:rPr>
      </w:pPr>
      <w:r>
        <w:rPr>
          <w:rFonts w:ascii="宋体"/>
          <w:color w:val="000000"/>
          <w:sz w:val="24"/>
        </w:rPr>
        <w:t>名称：</w:t>
      </w:r>
      <w:r>
        <w:rPr>
          <w:rFonts w:ascii="宋体" w:hint="eastAsia"/>
          <w:color w:val="000000"/>
          <w:sz w:val="24"/>
        </w:rPr>
        <w:t>兴业基金管理有限公司</w:t>
      </w:r>
    </w:p>
    <w:p w:rsidR="00BC36F9" w:rsidRDefault="0030070B">
      <w:pPr>
        <w:spacing w:line="360" w:lineRule="auto"/>
        <w:ind w:firstLineChars="200" w:firstLine="480"/>
        <w:rPr>
          <w:rFonts w:ascii="宋体"/>
          <w:color w:val="000000"/>
          <w:sz w:val="24"/>
        </w:rPr>
      </w:pPr>
      <w:r>
        <w:rPr>
          <w:rFonts w:ascii="宋体" w:hint="eastAsia"/>
          <w:color w:val="000000"/>
          <w:sz w:val="24"/>
        </w:rPr>
        <w:t>住所：福建省福州市鼓楼区五四路</w:t>
      </w:r>
      <w:r>
        <w:rPr>
          <w:rFonts w:ascii="宋体" w:hint="eastAsia"/>
          <w:color w:val="000000"/>
          <w:sz w:val="24"/>
        </w:rPr>
        <w:t>137</w:t>
      </w:r>
      <w:r>
        <w:rPr>
          <w:rFonts w:ascii="宋体" w:hint="eastAsia"/>
          <w:color w:val="000000"/>
          <w:sz w:val="24"/>
        </w:rPr>
        <w:t>号信和广场</w:t>
      </w:r>
      <w:r>
        <w:rPr>
          <w:rFonts w:ascii="宋体" w:hint="eastAsia"/>
          <w:color w:val="000000"/>
          <w:sz w:val="24"/>
        </w:rPr>
        <w:t>25</w:t>
      </w:r>
      <w:r>
        <w:rPr>
          <w:rFonts w:ascii="宋体" w:hint="eastAsia"/>
          <w:color w:val="000000"/>
          <w:sz w:val="24"/>
        </w:rPr>
        <w:t>楼</w:t>
      </w:r>
    </w:p>
    <w:p w:rsidR="00BC36F9" w:rsidRDefault="0030070B">
      <w:pPr>
        <w:spacing w:line="360" w:lineRule="auto"/>
        <w:ind w:firstLineChars="200" w:firstLine="480"/>
        <w:rPr>
          <w:rFonts w:ascii="宋体"/>
          <w:color w:val="000000"/>
          <w:sz w:val="24"/>
        </w:rPr>
      </w:pPr>
      <w:r>
        <w:rPr>
          <w:rFonts w:ascii="宋体" w:hint="eastAsia"/>
          <w:color w:val="000000"/>
          <w:sz w:val="24"/>
        </w:rPr>
        <w:t>办公地址</w:t>
      </w:r>
      <w:r>
        <w:rPr>
          <w:rFonts w:ascii="宋体"/>
          <w:color w:val="000000"/>
          <w:sz w:val="24"/>
        </w:rPr>
        <w:t>：</w:t>
      </w:r>
      <w:r>
        <w:rPr>
          <w:rFonts w:ascii="宋体"/>
          <w:sz w:val="24"/>
        </w:rPr>
        <w:t>上海</w:t>
      </w:r>
      <w:r>
        <w:rPr>
          <w:rFonts w:ascii="宋体" w:hint="eastAsia"/>
          <w:sz w:val="24"/>
        </w:rPr>
        <w:t>市浦东新区银城路</w:t>
      </w:r>
      <w:r>
        <w:rPr>
          <w:rFonts w:ascii="宋体" w:hint="eastAsia"/>
          <w:sz w:val="24"/>
        </w:rPr>
        <w:t>167</w:t>
      </w:r>
      <w:r>
        <w:rPr>
          <w:rFonts w:ascii="宋体" w:hint="eastAsia"/>
          <w:sz w:val="24"/>
        </w:rPr>
        <w:t>号兴业银行大厦</w:t>
      </w:r>
      <w:r>
        <w:rPr>
          <w:rFonts w:ascii="宋体" w:hint="eastAsia"/>
          <w:sz w:val="24"/>
        </w:rPr>
        <w:t>13</w:t>
      </w:r>
      <w:r>
        <w:rPr>
          <w:rFonts w:ascii="宋体" w:hint="eastAsia"/>
          <w:sz w:val="24"/>
        </w:rPr>
        <w:t>层、</w:t>
      </w:r>
      <w:r>
        <w:rPr>
          <w:rFonts w:ascii="宋体" w:hint="eastAsia"/>
          <w:sz w:val="24"/>
        </w:rPr>
        <w:t>14</w:t>
      </w:r>
      <w:r>
        <w:rPr>
          <w:rFonts w:ascii="宋体" w:hint="eastAsia"/>
          <w:sz w:val="24"/>
        </w:rPr>
        <w:t>层</w:t>
      </w:r>
    </w:p>
    <w:p w:rsidR="00BC36F9" w:rsidRDefault="0030070B">
      <w:pPr>
        <w:spacing w:line="360" w:lineRule="auto"/>
        <w:ind w:firstLineChars="200" w:firstLine="480"/>
        <w:rPr>
          <w:rFonts w:ascii="宋体"/>
          <w:color w:val="000000"/>
          <w:sz w:val="24"/>
        </w:rPr>
      </w:pPr>
      <w:r>
        <w:rPr>
          <w:rFonts w:ascii="宋体"/>
          <w:color w:val="000000"/>
          <w:sz w:val="24"/>
        </w:rPr>
        <w:t>法定代表人：</w:t>
      </w:r>
      <w:r>
        <w:rPr>
          <w:rFonts w:ascii="宋体" w:hint="eastAsia"/>
          <w:color w:val="000000"/>
          <w:sz w:val="24"/>
        </w:rPr>
        <w:t>叶文煌</w:t>
      </w:r>
    </w:p>
    <w:p w:rsidR="00BC36F9" w:rsidRDefault="0030070B">
      <w:pPr>
        <w:spacing w:line="360" w:lineRule="auto"/>
        <w:ind w:firstLineChars="200" w:firstLine="480"/>
        <w:rPr>
          <w:rFonts w:ascii="宋体"/>
          <w:color w:val="000000"/>
          <w:sz w:val="24"/>
        </w:rPr>
      </w:pPr>
      <w:r>
        <w:rPr>
          <w:rFonts w:ascii="宋体"/>
          <w:color w:val="000000"/>
          <w:sz w:val="24"/>
        </w:rPr>
        <w:t>设立日期：</w:t>
      </w:r>
      <w:r>
        <w:rPr>
          <w:rFonts w:ascii="宋体" w:hint="eastAsia"/>
          <w:color w:val="000000"/>
          <w:sz w:val="24"/>
        </w:rPr>
        <w:t>2013</w:t>
      </w:r>
      <w:r>
        <w:rPr>
          <w:rFonts w:ascii="宋体" w:hint="eastAsia"/>
          <w:color w:val="000000"/>
          <w:sz w:val="24"/>
        </w:rPr>
        <w:t>年</w:t>
      </w:r>
      <w:r>
        <w:rPr>
          <w:rFonts w:ascii="宋体" w:hint="eastAsia"/>
          <w:color w:val="000000"/>
          <w:sz w:val="24"/>
        </w:rPr>
        <w:t>4</w:t>
      </w:r>
      <w:r>
        <w:rPr>
          <w:rFonts w:ascii="宋体" w:hint="eastAsia"/>
          <w:color w:val="000000"/>
          <w:sz w:val="24"/>
        </w:rPr>
        <w:t>月</w:t>
      </w:r>
      <w:r>
        <w:rPr>
          <w:rFonts w:ascii="宋体" w:hint="eastAsia"/>
          <w:color w:val="000000"/>
          <w:sz w:val="24"/>
        </w:rPr>
        <w:t>17</w:t>
      </w:r>
      <w:r>
        <w:rPr>
          <w:rFonts w:ascii="宋体" w:hint="eastAsia"/>
          <w:color w:val="000000"/>
          <w:sz w:val="24"/>
        </w:rPr>
        <w:t>日</w:t>
      </w:r>
    </w:p>
    <w:p w:rsidR="00BC36F9" w:rsidRDefault="0030070B">
      <w:pPr>
        <w:spacing w:line="360" w:lineRule="auto"/>
        <w:ind w:firstLineChars="200" w:firstLine="480"/>
        <w:rPr>
          <w:rFonts w:ascii="宋体"/>
          <w:color w:val="000000"/>
          <w:sz w:val="24"/>
        </w:rPr>
      </w:pPr>
      <w:r>
        <w:rPr>
          <w:rFonts w:ascii="宋体"/>
          <w:color w:val="000000"/>
          <w:sz w:val="24"/>
        </w:rPr>
        <w:t>联系电话：</w:t>
      </w:r>
      <w:r>
        <w:rPr>
          <w:rFonts w:ascii="宋体" w:hint="eastAsia"/>
          <w:bCs/>
          <w:sz w:val="24"/>
        </w:rPr>
        <w:t>021-222118</w:t>
      </w:r>
      <w:r>
        <w:rPr>
          <w:rFonts w:ascii="宋体"/>
          <w:bCs/>
          <w:sz w:val="24"/>
        </w:rPr>
        <w:t>99</w:t>
      </w:r>
    </w:p>
    <w:p w:rsidR="00BC36F9" w:rsidRDefault="0030070B">
      <w:pPr>
        <w:spacing w:line="360" w:lineRule="auto"/>
        <w:ind w:firstLineChars="200" w:firstLine="480"/>
        <w:rPr>
          <w:rFonts w:ascii="宋体"/>
          <w:color w:val="000000"/>
          <w:sz w:val="24"/>
        </w:rPr>
      </w:pPr>
      <w:r>
        <w:rPr>
          <w:rFonts w:ascii="宋体" w:hint="eastAsia"/>
          <w:color w:val="000000"/>
          <w:sz w:val="24"/>
        </w:rPr>
        <w:t>联系人：金晨</w:t>
      </w:r>
    </w:p>
    <w:p w:rsidR="00BC36F9" w:rsidRDefault="0030070B">
      <w:pPr>
        <w:spacing w:line="360" w:lineRule="auto"/>
        <w:ind w:firstLineChars="200" w:firstLine="480"/>
        <w:rPr>
          <w:rFonts w:ascii="宋体"/>
          <w:bCs/>
          <w:color w:val="000000"/>
          <w:sz w:val="24"/>
        </w:rPr>
      </w:pPr>
      <w:r>
        <w:rPr>
          <w:rFonts w:ascii="宋体" w:hint="eastAsia"/>
          <w:bCs/>
          <w:color w:val="000000"/>
          <w:sz w:val="24"/>
        </w:rPr>
        <w:t>5</w:t>
      </w:r>
      <w:r>
        <w:rPr>
          <w:rFonts w:ascii="宋体" w:hint="eastAsia"/>
          <w:bCs/>
          <w:color w:val="000000"/>
          <w:sz w:val="24"/>
        </w:rPr>
        <w:t>、</w:t>
      </w:r>
      <w:r>
        <w:rPr>
          <w:rFonts w:ascii="宋体"/>
          <w:bCs/>
          <w:color w:val="000000"/>
          <w:sz w:val="24"/>
        </w:rPr>
        <w:t>出具法律意见书的律师事务所</w:t>
      </w:r>
    </w:p>
    <w:p w:rsidR="00BC36F9" w:rsidRDefault="0030070B">
      <w:pPr>
        <w:spacing w:line="360" w:lineRule="auto"/>
        <w:ind w:firstLineChars="200" w:firstLine="480"/>
        <w:rPr>
          <w:rFonts w:ascii="宋体"/>
          <w:bCs/>
          <w:sz w:val="24"/>
        </w:rPr>
      </w:pPr>
      <w:r>
        <w:rPr>
          <w:rFonts w:ascii="宋体"/>
          <w:bCs/>
          <w:sz w:val="24"/>
        </w:rPr>
        <w:t>名称：</w:t>
      </w:r>
      <w:r>
        <w:rPr>
          <w:rFonts w:ascii="宋体" w:hint="eastAsia"/>
          <w:bCs/>
          <w:sz w:val="24"/>
        </w:rPr>
        <w:t>上海市</w:t>
      </w:r>
      <w:r>
        <w:rPr>
          <w:rFonts w:ascii="宋体"/>
          <w:bCs/>
          <w:sz w:val="24"/>
        </w:rPr>
        <w:t>通力律师事务所</w:t>
      </w:r>
    </w:p>
    <w:p w:rsidR="00BC36F9" w:rsidRDefault="0030070B">
      <w:pPr>
        <w:spacing w:line="360" w:lineRule="auto"/>
        <w:ind w:firstLineChars="200" w:firstLine="480"/>
        <w:rPr>
          <w:rFonts w:ascii="宋体"/>
          <w:bCs/>
          <w:sz w:val="24"/>
        </w:rPr>
      </w:pPr>
      <w:r>
        <w:rPr>
          <w:rFonts w:ascii="宋体"/>
          <w:bCs/>
          <w:sz w:val="24"/>
        </w:rPr>
        <w:t>住所：上海市银城中路</w:t>
      </w:r>
      <w:r>
        <w:rPr>
          <w:rFonts w:ascii="宋体"/>
          <w:bCs/>
          <w:sz w:val="24"/>
        </w:rPr>
        <w:t>68</w:t>
      </w:r>
      <w:r>
        <w:rPr>
          <w:rFonts w:ascii="宋体"/>
          <w:bCs/>
          <w:sz w:val="24"/>
        </w:rPr>
        <w:t>号时代金融中心</w:t>
      </w:r>
      <w:r>
        <w:rPr>
          <w:rFonts w:ascii="宋体"/>
          <w:bCs/>
          <w:sz w:val="24"/>
        </w:rPr>
        <w:t>19</w:t>
      </w:r>
      <w:r>
        <w:rPr>
          <w:rFonts w:ascii="宋体"/>
          <w:bCs/>
          <w:sz w:val="24"/>
        </w:rPr>
        <w:t>楼</w:t>
      </w:r>
    </w:p>
    <w:p w:rsidR="00BC36F9" w:rsidRDefault="0030070B">
      <w:pPr>
        <w:spacing w:line="360" w:lineRule="auto"/>
        <w:ind w:firstLineChars="200" w:firstLine="480"/>
        <w:rPr>
          <w:rFonts w:ascii="宋体"/>
          <w:bCs/>
          <w:sz w:val="24"/>
        </w:rPr>
      </w:pPr>
      <w:r>
        <w:rPr>
          <w:rFonts w:ascii="宋体"/>
          <w:bCs/>
          <w:sz w:val="24"/>
        </w:rPr>
        <w:t>办公场所：上海市银城中路</w:t>
      </w:r>
      <w:r>
        <w:rPr>
          <w:rFonts w:ascii="宋体"/>
          <w:bCs/>
          <w:sz w:val="24"/>
        </w:rPr>
        <w:t>68</w:t>
      </w:r>
      <w:r>
        <w:rPr>
          <w:rFonts w:ascii="宋体"/>
          <w:bCs/>
          <w:sz w:val="24"/>
        </w:rPr>
        <w:t>号时代金融中心</w:t>
      </w:r>
      <w:r>
        <w:rPr>
          <w:rFonts w:ascii="宋体"/>
          <w:bCs/>
          <w:sz w:val="24"/>
        </w:rPr>
        <w:t>19</w:t>
      </w:r>
      <w:r>
        <w:rPr>
          <w:rFonts w:ascii="宋体"/>
          <w:bCs/>
          <w:sz w:val="24"/>
        </w:rPr>
        <w:t>楼</w:t>
      </w:r>
    </w:p>
    <w:p w:rsidR="00BC36F9" w:rsidRDefault="0030070B">
      <w:pPr>
        <w:spacing w:line="360" w:lineRule="auto"/>
        <w:ind w:firstLineChars="200" w:firstLine="480"/>
        <w:rPr>
          <w:rFonts w:ascii="宋体"/>
          <w:bCs/>
          <w:sz w:val="24"/>
        </w:rPr>
      </w:pPr>
      <w:r>
        <w:rPr>
          <w:rFonts w:ascii="宋体"/>
          <w:bCs/>
          <w:sz w:val="24"/>
        </w:rPr>
        <w:t>负责人：</w:t>
      </w:r>
      <w:r>
        <w:rPr>
          <w:rFonts w:ascii="宋体" w:hint="eastAsia"/>
          <w:bCs/>
          <w:sz w:val="24"/>
        </w:rPr>
        <w:t>韩炯</w:t>
      </w:r>
    </w:p>
    <w:p w:rsidR="00BC36F9" w:rsidRDefault="0030070B">
      <w:pPr>
        <w:spacing w:line="360" w:lineRule="auto"/>
        <w:ind w:firstLineChars="200" w:firstLine="480"/>
        <w:rPr>
          <w:rFonts w:ascii="宋体"/>
          <w:bCs/>
          <w:sz w:val="24"/>
        </w:rPr>
      </w:pPr>
      <w:r>
        <w:rPr>
          <w:rFonts w:ascii="宋体"/>
          <w:bCs/>
          <w:sz w:val="24"/>
        </w:rPr>
        <w:t>电话：</w:t>
      </w:r>
      <w:r>
        <w:rPr>
          <w:rFonts w:ascii="宋体"/>
          <w:bCs/>
          <w:kern w:val="0"/>
          <w:sz w:val="24"/>
        </w:rPr>
        <w:t>021-31358666</w:t>
      </w:r>
    </w:p>
    <w:p w:rsidR="00BC36F9" w:rsidRDefault="0030070B">
      <w:pPr>
        <w:spacing w:line="360" w:lineRule="auto"/>
        <w:ind w:firstLineChars="200" w:firstLine="480"/>
        <w:rPr>
          <w:rFonts w:ascii="宋体"/>
          <w:bCs/>
          <w:sz w:val="24"/>
        </w:rPr>
      </w:pPr>
      <w:r>
        <w:rPr>
          <w:rFonts w:ascii="宋体"/>
          <w:bCs/>
          <w:sz w:val="24"/>
        </w:rPr>
        <w:t>传真：</w:t>
      </w:r>
      <w:r>
        <w:rPr>
          <w:rFonts w:ascii="宋体"/>
          <w:bCs/>
          <w:kern w:val="0"/>
          <w:sz w:val="24"/>
        </w:rPr>
        <w:t>021-31358600</w:t>
      </w:r>
    </w:p>
    <w:p w:rsidR="00BC36F9" w:rsidRDefault="0030070B">
      <w:pPr>
        <w:spacing w:line="360" w:lineRule="auto"/>
        <w:ind w:firstLineChars="200" w:firstLine="480"/>
        <w:rPr>
          <w:rFonts w:ascii="宋体"/>
          <w:bCs/>
          <w:sz w:val="24"/>
        </w:rPr>
      </w:pPr>
      <w:r>
        <w:rPr>
          <w:rFonts w:ascii="宋体"/>
          <w:bCs/>
          <w:sz w:val="24"/>
        </w:rPr>
        <w:t>联系人：</w:t>
      </w:r>
      <w:r>
        <w:rPr>
          <w:rFonts w:ascii="宋体" w:hint="eastAsia"/>
          <w:bCs/>
          <w:sz w:val="24"/>
        </w:rPr>
        <w:t>陈颖华</w:t>
      </w:r>
    </w:p>
    <w:p w:rsidR="00BC36F9" w:rsidRDefault="0030070B">
      <w:pPr>
        <w:spacing w:line="360" w:lineRule="auto"/>
        <w:ind w:firstLineChars="200" w:firstLine="480"/>
        <w:rPr>
          <w:rFonts w:ascii="宋体"/>
          <w:bCs/>
          <w:sz w:val="24"/>
        </w:rPr>
      </w:pPr>
      <w:r>
        <w:rPr>
          <w:rFonts w:ascii="宋体"/>
          <w:bCs/>
          <w:sz w:val="24"/>
        </w:rPr>
        <w:t>经办律师：</w:t>
      </w:r>
      <w:r>
        <w:rPr>
          <w:rFonts w:ascii="宋体" w:hint="eastAsia"/>
          <w:kern w:val="0"/>
          <w:sz w:val="24"/>
        </w:rPr>
        <w:t>黎明、陈颖华</w:t>
      </w:r>
    </w:p>
    <w:p w:rsidR="00BC36F9" w:rsidRDefault="0030070B">
      <w:pPr>
        <w:spacing w:line="360" w:lineRule="auto"/>
        <w:ind w:firstLineChars="200" w:firstLine="480"/>
        <w:rPr>
          <w:rFonts w:ascii="宋体"/>
          <w:bCs/>
          <w:color w:val="000000"/>
          <w:sz w:val="24"/>
        </w:rPr>
      </w:pPr>
      <w:r>
        <w:rPr>
          <w:rFonts w:ascii="宋体" w:hint="eastAsia"/>
          <w:bCs/>
          <w:color w:val="000000"/>
          <w:sz w:val="24"/>
        </w:rPr>
        <w:t>6</w:t>
      </w:r>
      <w:r>
        <w:rPr>
          <w:rFonts w:ascii="宋体" w:hint="eastAsia"/>
          <w:bCs/>
          <w:color w:val="000000"/>
          <w:sz w:val="24"/>
        </w:rPr>
        <w:t>、</w:t>
      </w:r>
      <w:r>
        <w:rPr>
          <w:rFonts w:ascii="宋体"/>
          <w:bCs/>
          <w:color w:val="000000"/>
          <w:sz w:val="24"/>
        </w:rPr>
        <w:t>审计基金财产的会计师事务所</w:t>
      </w:r>
    </w:p>
    <w:p w:rsidR="00BC36F9" w:rsidRDefault="0030070B">
      <w:pPr>
        <w:spacing w:line="360" w:lineRule="auto"/>
        <w:ind w:firstLineChars="200" w:firstLine="480"/>
        <w:rPr>
          <w:rFonts w:ascii="宋体"/>
          <w:bCs/>
          <w:sz w:val="24"/>
        </w:rPr>
      </w:pPr>
      <w:r>
        <w:rPr>
          <w:rFonts w:ascii="宋体" w:hint="eastAsia"/>
          <w:bCs/>
          <w:sz w:val="24"/>
        </w:rPr>
        <w:t>名称：德勤华永会计师事务所（特殊普通合伙）</w:t>
      </w:r>
    </w:p>
    <w:p w:rsidR="00BC36F9" w:rsidRDefault="0030070B">
      <w:pPr>
        <w:spacing w:line="360" w:lineRule="auto"/>
        <w:ind w:firstLineChars="200" w:firstLine="480"/>
        <w:rPr>
          <w:rFonts w:ascii="宋体"/>
          <w:bCs/>
          <w:sz w:val="24"/>
        </w:rPr>
      </w:pPr>
      <w:r>
        <w:rPr>
          <w:rFonts w:ascii="宋体" w:hint="eastAsia"/>
          <w:bCs/>
          <w:sz w:val="24"/>
        </w:rPr>
        <w:t>主要经营场所：上海市延安东路</w:t>
      </w:r>
      <w:r>
        <w:rPr>
          <w:rFonts w:ascii="宋体" w:hint="eastAsia"/>
          <w:bCs/>
          <w:sz w:val="24"/>
        </w:rPr>
        <w:t>222</w:t>
      </w:r>
      <w:r>
        <w:rPr>
          <w:rFonts w:ascii="宋体" w:hint="eastAsia"/>
          <w:bCs/>
          <w:sz w:val="24"/>
        </w:rPr>
        <w:t>号外滩中心</w:t>
      </w:r>
      <w:r>
        <w:rPr>
          <w:rFonts w:ascii="宋体" w:hint="eastAsia"/>
          <w:bCs/>
          <w:sz w:val="24"/>
        </w:rPr>
        <w:t>30</w:t>
      </w:r>
      <w:r>
        <w:rPr>
          <w:rFonts w:ascii="宋体" w:hint="eastAsia"/>
          <w:bCs/>
          <w:sz w:val="24"/>
        </w:rPr>
        <w:t>楼</w:t>
      </w:r>
    </w:p>
    <w:p w:rsidR="00BC36F9" w:rsidRDefault="0030070B">
      <w:pPr>
        <w:spacing w:line="360" w:lineRule="auto"/>
        <w:ind w:firstLineChars="200" w:firstLine="480"/>
        <w:rPr>
          <w:rFonts w:ascii="宋体"/>
          <w:bCs/>
          <w:sz w:val="24"/>
        </w:rPr>
      </w:pPr>
      <w:r>
        <w:rPr>
          <w:rFonts w:ascii="宋体" w:hint="eastAsia"/>
          <w:bCs/>
          <w:sz w:val="24"/>
        </w:rPr>
        <w:t>执行事务合伙人：</w:t>
      </w:r>
      <w:r>
        <w:rPr>
          <w:rFonts w:ascii="宋体" w:hint="eastAsia"/>
          <w:sz w:val="24"/>
        </w:rPr>
        <w:t>付建超</w:t>
      </w:r>
    </w:p>
    <w:p w:rsidR="00BC36F9" w:rsidRDefault="0030070B">
      <w:pPr>
        <w:spacing w:line="360" w:lineRule="auto"/>
        <w:ind w:firstLineChars="200" w:firstLine="480"/>
        <w:rPr>
          <w:rFonts w:ascii="宋体"/>
          <w:bCs/>
          <w:sz w:val="24"/>
        </w:rPr>
      </w:pPr>
      <w:r>
        <w:rPr>
          <w:rFonts w:ascii="宋体" w:hint="eastAsia"/>
          <w:bCs/>
          <w:sz w:val="24"/>
        </w:rPr>
        <w:t>电话：</w:t>
      </w:r>
      <w:r>
        <w:rPr>
          <w:rFonts w:ascii="宋体" w:hint="eastAsia"/>
          <w:bCs/>
          <w:sz w:val="24"/>
        </w:rPr>
        <w:t>021-6141 8888</w:t>
      </w:r>
    </w:p>
    <w:p w:rsidR="00BC36F9" w:rsidRDefault="0030070B">
      <w:pPr>
        <w:spacing w:line="360" w:lineRule="auto"/>
        <w:ind w:firstLineChars="200" w:firstLine="480"/>
        <w:rPr>
          <w:rFonts w:ascii="宋体"/>
          <w:bCs/>
          <w:sz w:val="24"/>
        </w:rPr>
      </w:pPr>
      <w:r>
        <w:rPr>
          <w:rFonts w:ascii="宋体" w:hint="eastAsia"/>
          <w:bCs/>
          <w:sz w:val="24"/>
        </w:rPr>
        <w:t>传真：</w:t>
      </w:r>
      <w:r>
        <w:rPr>
          <w:rFonts w:ascii="宋体" w:hint="eastAsia"/>
          <w:bCs/>
          <w:sz w:val="24"/>
        </w:rPr>
        <w:t>021-6335 0003</w:t>
      </w:r>
    </w:p>
    <w:p w:rsidR="00BC36F9" w:rsidRDefault="0030070B">
      <w:pPr>
        <w:spacing w:line="360" w:lineRule="auto"/>
        <w:ind w:firstLineChars="200" w:firstLine="480"/>
        <w:rPr>
          <w:rFonts w:ascii="宋体"/>
          <w:bCs/>
          <w:sz w:val="24"/>
        </w:rPr>
      </w:pPr>
      <w:r>
        <w:rPr>
          <w:rFonts w:ascii="宋体" w:hint="eastAsia"/>
          <w:bCs/>
          <w:sz w:val="24"/>
        </w:rPr>
        <w:t>联系人：</w:t>
      </w:r>
      <w:r>
        <w:rPr>
          <w:rFonts w:ascii="宋体" w:hint="eastAsia"/>
          <w:sz w:val="24"/>
        </w:rPr>
        <w:t>汪芳</w:t>
      </w:r>
    </w:p>
    <w:p w:rsidR="00BC36F9" w:rsidRDefault="0030070B">
      <w:pPr>
        <w:spacing w:line="360" w:lineRule="auto"/>
        <w:ind w:firstLine="480"/>
        <w:rPr>
          <w:rFonts w:ascii="宋体"/>
          <w:sz w:val="24"/>
        </w:rPr>
      </w:pPr>
      <w:r>
        <w:rPr>
          <w:rFonts w:ascii="宋体" w:hint="eastAsia"/>
          <w:bCs/>
          <w:sz w:val="24"/>
        </w:rPr>
        <w:t>经办注册会计师：</w:t>
      </w:r>
      <w:r>
        <w:rPr>
          <w:rFonts w:ascii="宋体" w:hint="eastAsia"/>
          <w:sz w:val="24"/>
        </w:rPr>
        <w:t>汪芳，王硕</w:t>
      </w:r>
    </w:p>
    <w:p w:rsidR="00BC36F9" w:rsidRDefault="00BC36F9">
      <w:pPr>
        <w:spacing w:line="360" w:lineRule="auto"/>
        <w:rPr>
          <w:rFonts w:ascii="宋体"/>
          <w:bCs/>
          <w:color w:val="000000"/>
          <w:sz w:val="24"/>
        </w:rPr>
      </w:pPr>
    </w:p>
    <w:p w:rsidR="00BC36F9" w:rsidRDefault="0030070B">
      <w:pPr>
        <w:spacing w:line="360" w:lineRule="auto"/>
        <w:ind w:right="840" w:firstLineChars="200" w:firstLine="480"/>
        <w:jc w:val="right"/>
        <w:rPr>
          <w:rFonts w:ascii="宋体"/>
          <w:color w:val="000000"/>
          <w:sz w:val="24"/>
        </w:rPr>
      </w:pPr>
      <w:r>
        <w:rPr>
          <w:rFonts w:ascii="宋体" w:hint="eastAsia"/>
          <w:color w:val="000000"/>
          <w:sz w:val="24"/>
        </w:rPr>
        <w:t>兴业基金管理有限公司</w:t>
      </w:r>
    </w:p>
    <w:p w:rsidR="00BC36F9" w:rsidRDefault="0030070B">
      <w:pPr>
        <w:spacing w:line="360" w:lineRule="auto"/>
        <w:ind w:firstLineChars="200" w:firstLine="480"/>
        <w:rPr>
          <w:rFonts w:ascii="宋体"/>
          <w:color w:val="000000"/>
          <w:sz w:val="24"/>
        </w:rPr>
      </w:pPr>
      <w:r>
        <w:rPr>
          <w:rFonts w:ascii="宋体" w:hint="eastAsia"/>
          <w:color w:val="000000"/>
          <w:sz w:val="24"/>
        </w:rPr>
        <w:t xml:space="preserve">                                       </w:t>
      </w:r>
      <w:r>
        <w:rPr>
          <w:rFonts w:ascii="宋体"/>
          <w:color w:val="000000"/>
          <w:sz w:val="24"/>
        </w:rPr>
        <w:t>2024</w:t>
      </w:r>
      <w:r>
        <w:rPr>
          <w:rFonts w:ascii="宋体" w:hint="eastAsia"/>
          <w:color w:val="000000"/>
          <w:sz w:val="24"/>
        </w:rPr>
        <w:t>年</w:t>
      </w:r>
      <w:r>
        <w:rPr>
          <w:rFonts w:ascii="宋体"/>
          <w:color w:val="000000"/>
          <w:sz w:val="24"/>
        </w:rPr>
        <w:t>11</w:t>
      </w:r>
      <w:r>
        <w:rPr>
          <w:rFonts w:ascii="宋体" w:hint="eastAsia"/>
          <w:color w:val="000000"/>
          <w:sz w:val="24"/>
        </w:rPr>
        <w:t>月</w:t>
      </w:r>
      <w:r>
        <w:rPr>
          <w:rFonts w:ascii="宋体"/>
          <w:color w:val="000000"/>
          <w:sz w:val="24"/>
        </w:rPr>
        <w:t>5</w:t>
      </w:r>
      <w:r>
        <w:rPr>
          <w:rFonts w:ascii="宋体" w:hint="eastAsia"/>
          <w:color w:val="000000"/>
          <w:sz w:val="24"/>
        </w:rPr>
        <w:t>日</w:t>
      </w:r>
    </w:p>
    <w:p w:rsidR="00BC36F9" w:rsidRDefault="00BC36F9">
      <w:bookmarkStart w:id="28" w:name="_GoBack"/>
      <w:bookmarkEnd w:id="28"/>
    </w:p>
    <w:sectPr w:rsidR="00BC36F9" w:rsidSect="00BC36F9">
      <w:type w:val="continuous"/>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6F9" w:rsidRDefault="00BC36F9" w:rsidP="00BC36F9">
      <w:r>
        <w:separator/>
      </w:r>
    </w:p>
  </w:endnote>
  <w:endnote w:type="continuationSeparator" w:id="0">
    <w:p w:rsidR="00BC36F9" w:rsidRDefault="00BC36F9" w:rsidP="00BC36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Luxi Sans">
    <w:altName w:val="KouzanBrushFontGyousyo"/>
    <w:charset w:val="00"/>
    <w:family w:val="roman"/>
    <w:pitch w:val="default"/>
    <w:sig w:usb0="00000000" w:usb1="00000000" w:usb2="00000000" w:usb3="00000000" w:csb0="00000000" w:csb1="00000000"/>
  </w:font>
  <w:font w:name="黑体">
    <w:altName w:val="SimHei"/>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楷体_GB2312">
    <w:altName w:val="楷体"/>
    <w:panose1 w:val="02010609030101010101"/>
    <w:charset w:val="86"/>
    <w:family w:val="modern"/>
    <w:pitch w:val="fixed"/>
    <w:sig w:usb0="00000001" w:usb1="080E0000" w:usb2="00000010" w:usb3="00000000" w:csb0="00040000" w:csb1="00000000"/>
  </w:font>
  <w:font w:name="Meiryo UI">
    <w:altName w:val="KouzanBrushFontGyousyo"/>
    <w:charset w:val="80"/>
    <w:family w:val="swiss"/>
    <w:pitch w:val="default"/>
    <w:sig w:usb0="00000000" w:usb1="00000000" w:usb2="08000012" w:usb3="00000000" w:csb0="0002009F" w:csb1="00000000"/>
  </w:font>
  <w:font w:name="仿宋_GB2312">
    <w:panose1 w:val="02010609030101010101"/>
    <w:charset w:val="86"/>
    <w:family w:val="modern"/>
    <w:pitch w:val="default"/>
    <w:sig w:usb0="00000001" w:usb1="080E0000" w:usb2="00000000" w:usb3="00000000" w:csb0="00040000"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6F9" w:rsidRDefault="00BC36F9">
    <w:pPr>
      <w:pStyle w:val="aa"/>
      <w:jc w:val="center"/>
    </w:pPr>
    <w:r w:rsidRPr="00BC36F9">
      <w:fldChar w:fldCharType="begin"/>
    </w:r>
    <w:r w:rsidR="0030070B">
      <w:instrText xml:space="preserve"> PAGE   \* MERGEFORMAT </w:instrText>
    </w:r>
    <w:r w:rsidRPr="00BC36F9">
      <w:fldChar w:fldCharType="separate"/>
    </w:r>
    <w:r w:rsidR="0030070B" w:rsidRPr="0030070B">
      <w:rPr>
        <w:noProof/>
        <w:lang w:val="zh-CN"/>
      </w:rPr>
      <w:t>1</w:t>
    </w:r>
    <w:r>
      <w:rPr>
        <w:lang w:val="zh-CN"/>
      </w:rPr>
      <w:fldChar w:fldCharType="end"/>
    </w:r>
  </w:p>
  <w:p w:rsidR="00BC36F9" w:rsidRDefault="00BC36F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6F9" w:rsidRDefault="00BC36F9" w:rsidP="00BC36F9">
      <w:r>
        <w:separator/>
      </w:r>
    </w:p>
  </w:footnote>
  <w:footnote w:type="continuationSeparator" w:id="0">
    <w:p w:rsidR="00BC36F9" w:rsidRDefault="00BC36F9" w:rsidP="00BC36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6F9" w:rsidRDefault="0030070B">
    <w:pPr>
      <w:pStyle w:val="ab"/>
      <w:tabs>
        <w:tab w:val="clear" w:pos="8306"/>
      </w:tabs>
      <w:jc w:val="left"/>
    </w:pPr>
    <w:r>
      <w:rPr>
        <w:rFonts w:hint="eastAsia"/>
      </w:rPr>
      <w:t>兴业聚享</w:t>
    </w:r>
    <w:r>
      <w:rPr>
        <w:rFonts w:hint="eastAsia"/>
      </w:rPr>
      <w:t>6</w:t>
    </w:r>
    <w:r>
      <w:rPr>
        <w:rFonts w:hint="eastAsia"/>
      </w:rPr>
      <w:t>个月持有期混合型证券投资基金基金份额发售公告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40BC7"/>
    <w:multiLevelType w:val="multilevel"/>
    <w:tmpl w:val="16C40BC7"/>
    <w:lvl w:ilvl="0">
      <w:start w:val="1"/>
      <w:numFmt w:val="japaneseCounting"/>
      <w:lvlText w:val="%1、"/>
      <w:legacy w:legacy="1" w:legacySpace="0" w:legacyIndent="720"/>
      <w:lvlJc w:val="left"/>
      <w:pPr>
        <w:ind w:left="1170" w:hanging="720"/>
      </w:pPr>
      <w:rPr>
        <w:rFonts w:hint="default"/>
      </w:rPr>
    </w:lvl>
    <w:lvl w:ilvl="1">
      <w:start w:val="1"/>
      <w:numFmt w:val="lowerLetter"/>
      <w:lvlText w:val="%2)"/>
      <w:legacy w:legacy="1" w:legacySpace="0" w:legacyIndent="420"/>
      <w:lvlJc w:val="left"/>
      <w:pPr>
        <w:ind w:left="1290" w:hanging="420"/>
      </w:pPr>
    </w:lvl>
    <w:lvl w:ilvl="2">
      <w:start w:val="1"/>
      <w:numFmt w:val="lowerRoman"/>
      <w:lvlText w:val="%3."/>
      <w:legacy w:legacy="1" w:legacySpace="0" w:legacyIndent="420"/>
      <w:lvlJc w:val="right"/>
      <w:pPr>
        <w:ind w:left="1710" w:hanging="420"/>
      </w:pPr>
    </w:lvl>
    <w:lvl w:ilvl="3">
      <w:start w:val="1"/>
      <w:numFmt w:val="decimal"/>
      <w:lvlText w:val="%4."/>
      <w:legacy w:legacy="1" w:legacySpace="0" w:legacyIndent="420"/>
      <w:lvlJc w:val="left"/>
      <w:pPr>
        <w:ind w:left="2130" w:hanging="420"/>
      </w:pPr>
    </w:lvl>
    <w:lvl w:ilvl="4">
      <w:start w:val="1"/>
      <w:numFmt w:val="lowerLetter"/>
      <w:lvlText w:val="%5)"/>
      <w:legacy w:legacy="1" w:legacySpace="0" w:legacyIndent="420"/>
      <w:lvlJc w:val="left"/>
      <w:pPr>
        <w:ind w:left="2550" w:hanging="420"/>
      </w:pPr>
    </w:lvl>
    <w:lvl w:ilvl="5">
      <w:start w:val="1"/>
      <w:numFmt w:val="lowerRoman"/>
      <w:lvlText w:val="%6."/>
      <w:legacy w:legacy="1" w:legacySpace="0" w:legacyIndent="420"/>
      <w:lvlJc w:val="right"/>
      <w:pPr>
        <w:ind w:left="2970" w:hanging="420"/>
      </w:pPr>
    </w:lvl>
    <w:lvl w:ilvl="6">
      <w:start w:val="1"/>
      <w:numFmt w:val="decimal"/>
      <w:lvlText w:val="%7."/>
      <w:legacy w:legacy="1" w:legacySpace="0" w:legacyIndent="420"/>
      <w:lvlJc w:val="left"/>
      <w:pPr>
        <w:ind w:left="3390" w:hanging="420"/>
      </w:pPr>
    </w:lvl>
    <w:lvl w:ilvl="7">
      <w:start w:val="1"/>
      <w:numFmt w:val="lowerLetter"/>
      <w:lvlText w:val="%8)"/>
      <w:legacy w:legacy="1" w:legacySpace="0" w:legacyIndent="420"/>
      <w:lvlJc w:val="left"/>
      <w:pPr>
        <w:ind w:left="3810" w:hanging="420"/>
      </w:pPr>
    </w:lvl>
    <w:lvl w:ilvl="8">
      <w:start w:val="1"/>
      <w:numFmt w:val="lowerRoman"/>
      <w:lvlText w:val="%9."/>
      <w:legacy w:legacy="1" w:legacySpace="0" w:legacyIndent="420"/>
      <w:lvlJc w:val="right"/>
      <w:pPr>
        <w:ind w:left="423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
  <w:docVars>
    <w:docVar w:name="commondata" w:val="eyJoZGlkIjoiZjc5OGM4OWFmOGZjNDdhYmE3NjNiZjQyNjQ5MWNkMmIifQ=="/>
  </w:docVars>
  <w:rsids>
    <w:rsidRoot w:val="00674AB0"/>
    <w:rsid w:val="002C290E"/>
    <w:rsid w:val="002E35CE"/>
    <w:rsid w:val="0030070B"/>
    <w:rsid w:val="00674AB0"/>
    <w:rsid w:val="0079266A"/>
    <w:rsid w:val="007E556D"/>
    <w:rsid w:val="00BC36F9"/>
    <w:rsid w:val="00E509BC"/>
    <w:rsid w:val="00EE481F"/>
    <w:rsid w:val="00F805C2"/>
    <w:rsid w:val="3E6A08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semiHidden="0" w:uiPriority="0" w:unhideWhenUsed="0"/>
    <w:lsdException w:name="heading 3" w:semiHidden="0" w:uiPriority="0"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uiPriority="39"/>
    <w:lsdException w:name="toc 7" w:uiPriority="39"/>
    <w:lsdException w:name="toc 8" w:uiPriority="39"/>
    <w:lsdException w:name="toc 9" w:uiPriority="39"/>
    <w:lsdException w:name="Normal Inden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caption" w:semiHidden="0" w:uiPriority="0" w:unhideWhenUsed="0"/>
    <w:lsdException w:name="annotation reference" w:semiHidden="0" w:uiPriority="0" w:unhideWhenUsed="0"/>
    <w:lsdException w:name="Title" w:semiHidden="0" w:uiPriority="0" w:unhideWhenUsed="0"/>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Document Map" w:semiHidden="0" w:uiPriority="0" w:unhideWhenUsed="0"/>
    <w:lsdException w:name="Plain Text" w:semiHidden="0" w:uiPriority="0" w:unhideWhenUsed="0" w:qFormat="1"/>
    <w:lsdException w:name="Normal (Web)" w:semiHidden="0" w:uiPriority="0" w:unhideWhenUsed="0"/>
    <w:lsdException w:name="annotation subject" w:semiHidden="0" w:uiPriority="0" w:unhideWhenUsed="0"/>
    <w:lsdException w:name="Balloon Text" w:semiHidden="0" w:uiPriority="0" w:unhideWhenUsed="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C36F9"/>
    <w:pPr>
      <w:widowControl w:val="0"/>
      <w:jc w:val="both"/>
    </w:pPr>
    <w:rPr>
      <w:kern w:val="2"/>
      <w:sz w:val="21"/>
      <w:szCs w:val="24"/>
    </w:rPr>
  </w:style>
  <w:style w:type="paragraph" w:styleId="1">
    <w:name w:val="heading 1"/>
    <w:basedOn w:val="a"/>
    <w:next w:val="a"/>
    <w:rsid w:val="00BC36F9"/>
    <w:pPr>
      <w:keepNext/>
      <w:keepLines/>
      <w:spacing w:before="340" w:after="330" w:line="578" w:lineRule="auto"/>
      <w:outlineLvl w:val="0"/>
    </w:pPr>
    <w:rPr>
      <w:b/>
      <w:bCs/>
      <w:kern w:val="44"/>
      <w:sz w:val="44"/>
    </w:rPr>
  </w:style>
  <w:style w:type="paragraph" w:styleId="2">
    <w:name w:val="heading 2"/>
    <w:basedOn w:val="a"/>
    <w:next w:val="a"/>
    <w:rsid w:val="00BC36F9"/>
    <w:pPr>
      <w:keepNext/>
      <w:keepLines/>
      <w:spacing w:before="260" w:after="260" w:line="415" w:lineRule="auto"/>
      <w:outlineLvl w:val="1"/>
    </w:pPr>
    <w:rPr>
      <w:rFonts w:ascii="Luxi Sans" w:eastAsia="黑体" w:hAnsi="Luxi Sans"/>
      <w:b/>
      <w:sz w:val="32"/>
    </w:rPr>
  </w:style>
  <w:style w:type="paragraph" w:styleId="3">
    <w:name w:val="heading 3"/>
    <w:basedOn w:val="a"/>
    <w:next w:val="a"/>
    <w:rsid w:val="00BC36F9"/>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BC36F9"/>
    <w:pPr>
      <w:spacing w:line="360" w:lineRule="auto"/>
      <w:jc w:val="left"/>
    </w:pPr>
    <w:rPr>
      <w:rFonts w:ascii="宋体"/>
      <w:szCs w:val="20"/>
    </w:rPr>
  </w:style>
  <w:style w:type="paragraph" w:styleId="a4">
    <w:name w:val="caption"/>
    <w:basedOn w:val="a"/>
    <w:next w:val="a"/>
    <w:rsid w:val="00BC36F9"/>
    <w:rPr>
      <w:rFonts w:ascii="Arial" w:eastAsia="黑体" w:hAnsi="Arial" w:cs="Arial"/>
      <w:sz w:val="20"/>
      <w:szCs w:val="20"/>
    </w:rPr>
  </w:style>
  <w:style w:type="paragraph" w:styleId="a5">
    <w:name w:val="Document Map"/>
    <w:basedOn w:val="a"/>
    <w:rsid w:val="00BC36F9"/>
    <w:rPr>
      <w:rFonts w:ascii="宋体"/>
      <w:sz w:val="18"/>
      <w:szCs w:val="18"/>
    </w:rPr>
  </w:style>
  <w:style w:type="paragraph" w:styleId="a6">
    <w:name w:val="annotation text"/>
    <w:basedOn w:val="a"/>
    <w:rsid w:val="00BC36F9"/>
    <w:pPr>
      <w:jc w:val="left"/>
    </w:pPr>
  </w:style>
  <w:style w:type="paragraph" w:styleId="a7">
    <w:name w:val="Body Text"/>
    <w:basedOn w:val="a"/>
    <w:rsid w:val="00BC36F9"/>
    <w:pPr>
      <w:widowControl/>
      <w:jc w:val="left"/>
    </w:pPr>
    <w:rPr>
      <w:rFonts w:ascii="宋体"/>
      <w:kern w:val="0"/>
      <w:sz w:val="24"/>
    </w:rPr>
  </w:style>
  <w:style w:type="paragraph" w:styleId="5">
    <w:name w:val="toc 5"/>
    <w:basedOn w:val="a"/>
    <w:next w:val="a"/>
    <w:rsid w:val="00BC36F9"/>
    <w:pPr>
      <w:ind w:left="1680"/>
    </w:pPr>
  </w:style>
  <w:style w:type="paragraph" w:styleId="30">
    <w:name w:val="toc 3"/>
    <w:basedOn w:val="a"/>
    <w:next w:val="a"/>
    <w:rsid w:val="00BC36F9"/>
    <w:pPr>
      <w:ind w:left="840"/>
    </w:pPr>
  </w:style>
  <w:style w:type="paragraph" w:styleId="a8">
    <w:name w:val="Plain Text"/>
    <w:basedOn w:val="a"/>
    <w:link w:val="Char"/>
    <w:qFormat/>
    <w:rsid w:val="00BC36F9"/>
    <w:pPr>
      <w:adjustRightInd w:val="0"/>
      <w:spacing w:line="312" w:lineRule="atLeast"/>
    </w:pPr>
    <w:rPr>
      <w:rFonts w:ascii="宋体"/>
      <w:kern w:val="0"/>
      <w:szCs w:val="21"/>
    </w:rPr>
  </w:style>
  <w:style w:type="paragraph" w:styleId="a9">
    <w:name w:val="Balloon Text"/>
    <w:basedOn w:val="a"/>
    <w:rsid w:val="00BC36F9"/>
    <w:rPr>
      <w:sz w:val="18"/>
      <w:szCs w:val="18"/>
    </w:rPr>
  </w:style>
  <w:style w:type="paragraph" w:styleId="aa">
    <w:name w:val="footer"/>
    <w:basedOn w:val="a"/>
    <w:rsid w:val="00BC36F9"/>
    <w:pPr>
      <w:tabs>
        <w:tab w:val="center" w:pos="4153"/>
        <w:tab w:val="right" w:pos="8306"/>
      </w:tabs>
      <w:snapToGrid w:val="0"/>
      <w:jc w:val="left"/>
    </w:pPr>
    <w:rPr>
      <w:rFonts w:ascii="Calibri" w:hAnsi="Calibri"/>
      <w:kern w:val="0"/>
      <w:sz w:val="18"/>
      <w:szCs w:val="18"/>
    </w:rPr>
  </w:style>
  <w:style w:type="paragraph" w:styleId="ab">
    <w:name w:val="header"/>
    <w:basedOn w:val="a"/>
    <w:rsid w:val="00BC36F9"/>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rsid w:val="00BC36F9"/>
  </w:style>
  <w:style w:type="paragraph" w:styleId="4">
    <w:name w:val="toc 4"/>
    <w:basedOn w:val="a"/>
    <w:next w:val="a"/>
    <w:rsid w:val="00BC36F9"/>
    <w:pPr>
      <w:ind w:left="1260"/>
    </w:pPr>
  </w:style>
  <w:style w:type="paragraph" w:styleId="20">
    <w:name w:val="toc 2"/>
    <w:basedOn w:val="a"/>
    <w:next w:val="a"/>
    <w:rsid w:val="00BC36F9"/>
    <w:pPr>
      <w:ind w:left="420"/>
    </w:pPr>
  </w:style>
  <w:style w:type="paragraph" w:styleId="ac">
    <w:name w:val="Normal (Web)"/>
    <w:basedOn w:val="a"/>
    <w:rsid w:val="00BC36F9"/>
    <w:pPr>
      <w:widowControl/>
      <w:spacing w:before="100" w:beforeAutospacing="1" w:after="100" w:afterAutospacing="1"/>
      <w:jc w:val="left"/>
    </w:pPr>
    <w:rPr>
      <w:rFonts w:ascii="宋体" w:cs="宋体"/>
      <w:kern w:val="0"/>
      <w:sz w:val="24"/>
    </w:rPr>
  </w:style>
  <w:style w:type="paragraph" w:styleId="ad">
    <w:name w:val="Title"/>
    <w:basedOn w:val="a"/>
    <w:rsid w:val="00BC36F9"/>
    <w:pPr>
      <w:autoSpaceDE w:val="0"/>
      <w:autoSpaceDN w:val="0"/>
      <w:adjustRightInd w:val="0"/>
      <w:spacing w:before="240" w:after="60" w:line="360" w:lineRule="auto"/>
      <w:ind w:firstLine="454"/>
      <w:jc w:val="center"/>
      <w:textAlignment w:val="baseline"/>
      <w:outlineLvl w:val="0"/>
    </w:pPr>
    <w:rPr>
      <w:rFonts w:ascii="宋体" w:eastAsia="楷体_GB2312" w:hAnsi="宋体"/>
      <w:b/>
      <w:color w:val="000000"/>
      <w:kern w:val="0"/>
      <w:sz w:val="52"/>
      <w:szCs w:val="20"/>
    </w:rPr>
  </w:style>
  <w:style w:type="paragraph" w:styleId="ae">
    <w:name w:val="annotation subject"/>
    <w:basedOn w:val="a6"/>
    <w:next w:val="a6"/>
    <w:rsid w:val="00BC36F9"/>
    <w:rPr>
      <w:b/>
      <w:bCs/>
    </w:rPr>
  </w:style>
  <w:style w:type="character" w:styleId="af">
    <w:name w:val="FollowedHyperlink"/>
    <w:rsid w:val="00BC36F9"/>
    <w:rPr>
      <w:rFonts w:ascii="黑体" w:eastAsia="黑体"/>
      <w:color w:val="800080"/>
      <w:kern w:val="2"/>
      <w:sz w:val="24"/>
      <w:szCs w:val="24"/>
      <w:u w:val="single"/>
      <w:lang w:val="en-US" w:eastAsia="zh-CN" w:bidi="ar-SA"/>
    </w:rPr>
  </w:style>
  <w:style w:type="character" w:styleId="af0">
    <w:name w:val="Hyperlink"/>
    <w:basedOn w:val="a0"/>
    <w:rsid w:val="00BC36F9"/>
    <w:rPr>
      <w:color w:val="0000FF"/>
      <w:u w:val="single"/>
    </w:rPr>
  </w:style>
  <w:style w:type="character" w:styleId="af1">
    <w:name w:val="annotation reference"/>
    <w:rsid w:val="00BC36F9"/>
    <w:rPr>
      <w:sz w:val="21"/>
      <w:szCs w:val="21"/>
    </w:rPr>
  </w:style>
  <w:style w:type="paragraph" w:styleId="af2">
    <w:name w:val="List Paragraph"/>
    <w:basedOn w:val="a"/>
    <w:rsid w:val="00BC36F9"/>
    <w:pPr>
      <w:ind w:firstLineChars="200" w:firstLine="200"/>
    </w:pPr>
  </w:style>
  <w:style w:type="paragraph" w:customStyle="1" w:styleId="Default">
    <w:name w:val="Default"/>
    <w:rsid w:val="00BC36F9"/>
    <w:pPr>
      <w:widowControl w:val="0"/>
      <w:autoSpaceDE w:val="0"/>
      <w:autoSpaceDN w:val="0"/>
      <w:adjustRightInd w:val="0"/>
    </w:pPr>
    <w:rPr>
      <w:rFonts w:ascii="宋体" w:cs="宋体"/>
      <w:color w:val="000000"/>
      <w:sz w:val="24"/>
      <w:szCs w:val="24"/>
    </w:rPr>
  </w:style>
  <w:style w:type="paragraph" w:customStyle="1" w:styleId="21">
    <w:name w:val="！正文缩进2字符"/>
    <w:basedOn w:val="a"/>
    <w:rsid w:val="00BC36F9"/>
    <w:pPr>
      <w:spacing w:line="360" w:lineRule="auto"/>
      <w:ind w:firstLineChars="200" w:firstLine="200"/>
    </w:pPr>
    <w:rPr>
      <w:sz w:val="24"/>
      <w:szCs w:val="20"/>
    </w:rPr>
  </w:style>
  <w:style w:type="paragraph" w:customStyle="1" w:styleId="CharCharChar">
    <w:name w:val="Char Char Char"/>
    <w:basedOn w:val="a"/>
    <w:rsid w:val="00BC36F9"/>
    <w:pPr>
      <w:tabs>
        <w:tab w:val="left" w:pos="425"/>
      </w:tabs>
      <w:ind w:left="425" w:hanging="425"/>
    </w:pPr>
    <w:rPr>
      <w:rFonts w:ascii="宋体"/>
      <w:color w:val="000000"/>
      <w:sz w:val="24"/>
    </w:rPr>
  </w:style>
  <w:style w:type="character" w:customStyle="1" w:styleId="big1">
    <w:name w:val="big1"/>
    <w:basedOn w:val="a0"/>
    <w:rsid w:val="00BC36F9"/>
  </w:style>
  <w:style w:type="paragraph" w:customStyle="1" w:styleId="11">
    <w:name w:val="修订1"/>
    <w:rsid w:val="00BC36F9"/>
    <w:rPr>
      <w:kern w:val="2"/>
      <w:sz w:val="21"/>
      <w:szCs w:val="24"/>
    </w:rPr>
  </w:style>
  <w:style w:type="paragraph" w:customStyle="1" w:styleId="p0">
    <w:name w:val="p0"/>
    <w:basedOn w:val="a"/>
    <w:rsid w:val="00BC36F9"/>
    <w:pPr>
      <w:widowControl/>
    </w:pPr>
    <w:rPr>
      <w:kern w:val="0"/>
      <w:szCs w:val="20"/>
    </w:rPr>
  </w:style>
  <w:style w:type="paragraph" w:customStyle="1" w:styleId="22">
    <w:name w:val="修订2"/>
    <w:rsid w:val="00BC36F9"/>
    <w:rPr>
      <w:kern w:val="2"/>
      <w:sz w:val="21"/>
      <w:szCs w:val="24"/>
    </w:rPr>
  </w:style>
  <w:style w:type="character" w:customStyle="1" w:styleId="text-only">
    <w:name w:val="text-only"/>
    <w:basedOn w:val="a0"/>
    <w:rsid w:val="00BC36F9"/>
  </w:style>
  <w:style w:type="paragraph" w:customStyle="1" w:styleId="31">
    <w:name w:val="修订3"/>
    <w:rsid w:val="00BC36F9"/>
    <w:rPr>
      <w:kern w:val="2"/>
      <w:sz w:val="21"/>
      <w:szCs w:val="24"/>
    </w:rPr>
  </w:style>
  <w:style w:type="paragraph" w:customStyle="1" w:styleId="40">
    <w:name w:val="修订4"/>
    <w:rsid w:val="00BC36F9"/>
    <w:rPr>
      <w:kern w:val="2"/>
      <w:sz w:val="21"/>
      <w:szCs w:val="24"/>
    </w:rPr>
  </w:style>
  <w:style w:type="paragraph" w:customStyle="1" w:styleId="50">
    <w:name w:val="修订5"/>
    <w:hidden/>
    <w:uiPriority w:val="99"/>
    <w:semiHidden/>
    <w:rsid w:val="00BC36F9"/>
    <w:rPr>
      <w:kern w:val="2"/>
      <w:sz w:val="21"/>
      <w:szCs w:val="24"/>
    </w:rPr>
  </w:style>
  <w:style w:type="character" w:customStyle="1" w:styleId="Char">
    <w:name w:val="纯文本 Char"/>
    <w:basedOn w:val="a0"/>
    <w:link w:val="a8"/>
    <w:rsid w:val="00BC36F9"/>
    <w:rPr>
      <w:rFonts w:ascii="宋体"/>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trade.cib-fund.com.cn/etrad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b-fund.com.cn"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CFB226-52A1-4F77-960E-B349A78B1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2245</Words>
  <Characters>12802</Characters>
  <Application>Microsoft Office Word</Application>
  <DocSecurity>4</DocSecurity>
  <Lines>106</Lines>
  <Paragraphs>30</Paragraphs>
  <ScaleCrop>false</ScaleCrop>
  <Company>Microsoft</Company>
  <LinksUpToDate>false</LinksUpToDate>
  <CharactersWithSpaces>15017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李麦琪</dc:creator>
  <cp:lastModifiedBy>ZHONGM</cp:lastModifiedBy>
  <cp:revision>2</cp:revision>
  <cp:lastPrinted>2020-04-13T08:12:00Z</cp:lastPrinted>
  <dcterms:created xsi:type="dcterms:W3CDTF">2024-11-04T16:02:00Z</dcterms:created>
  <dcterms:modified xsi:type="dcterms:W3CDTF">2024-11-04T16:02:00Z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58B3FD15D5644A9EADCC88EA2CE7013D</vt:lpwstr>
  </property>
</Properties>
</file>