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AE" w:rsidRDefault="00E85933">
      <w:pPr>
        <w:spacing w:before="151" w:line="219" w:lineRule="auto"/>
        <w:ind w:left="368"/>
        <w:jc w:val="center"/>
        <w:outlineLvl w:val="0"/>
        <w:rPr>
          <w:rFonts w:ascii="黑体" w:eastAsia="黑体" w:hAnsi="黑体" w:cs="黑体"/>
          <w:sz w:val="30"/>
          <w:szCs w:val="30"/>
        </w:rPr>
      </w:pPr>
      <w:r>
        <w:rPr>
          <w:rFonts w:ascii="黑体" w:eastAsia="黑体" w:hAnsi="黑体" w:cs="黑体" w:hint="eastAsia"/>
          <w:b/>
          <w:bCs/>
          <w:spacing w:val="1"/>
          <w:sz w:val="30"/>
          <w:szCs w:val="30"/>
          <w:lang w:eastAsia="zh-CN"/>
        </w:rPr>
        <w:t>长城</w:t>
      </w:r>
      <w:r>
        <w:rPr>
          <w:rFonts w:ascii="黑体" w:eastAsia="黑体" w:hAnsi="黑体" w:cs="黑体"/>
          <w:b/>
          <w:bCs/>
          <w:spacing w:val="1"/>
          <w:sz w:val="30"/>
          <w:szCs w:val="30"/>
        </w:rPr>
        <w:t>基金管理有限公司关于旗下基金关联交易事项的公告</w:t>
      </w:r>
    </w:p>
    <w:p w:rsidR="00E97EAE" w:rsidRDefault="00E97EAE"/>
    <w:p w:rsidR="00E97EAE" w:rsidRDefault="00E97EAE"/>
    <w:p w:rsidR="00E97EAE" w:rsidRDefault="00E97EAE"/>
    <w:p w:rsidR="00E97EAE" w:rsidRDefault="00E85933">
      <w:pPr>
        <w:spacing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根据《中华人民共和国证券投资基金法》《公开募集证券投资基金运作管理办法》《公开募集证券投资基金信息披露管理办法》等有关规定，在履行规定审批程序并经基金托管人同意后，长城基金管理有限公司（以下简称“本公司”）旗下部分基金参加了上海保隆汽车科技股份有限公司可转换公司债券（债券简称“保隆转债”）的优先配售，本次发行的主承销商长城证券股份有限公司为</w:t>
      </w:r>
      <w:r>
        <w:rPr>
          <w:rFonts w:ascii="仿宋" w:eastAsia="仿宋" w:hAnsi="仿宋" w:cs="仿宋" w:hint="eastAsia"/>
          <w:sz w:val="28"/>
          <w:szCs w:val="28"/>
          <w:lang w:eastAsia="zh-CN"/>
        </w:rPr>
        <w:t>管理人</w:t>
      </w:r>
      <w:r>
        <w:rPr>
          <w:rFonts w:ascii="仿宋" w:eastAsia="仿宋" w:hAnsi="仿宋" w:cs="仿宋" w:hint="eastAsia"/>
          <w:sz w:val="28"/>
          <w:szCs w:val="28"/>
        </w:rPr>
        <w:t>关联方。本次发行的可转债每张面值为人民币</w:t>
      </w:r>
      <w:r>
        <w:rPr>
          <w:rFonts w:ascii="仿宋" w:eastAsia="仿宋" w:hAnsi="仿宋" w:cs="仿宋" w:hint="eastAsia"/>
          <w:sz w:val="28"/>
          <w:szCs w:val="28"/>
        </w:rPr>
        <w:t>100</w:t>
      </w:r>
      <w:r>
        <w:rPr>
          <w:rFonts w:ascii="仿宋" w:eastAsia="仿宋" w:hAnsi="仿宋" w:cs="仿宋" w:hint="eastAsia"/>
          <w:sz w:val="28"/>
          <w:szCs w:val="28"/>
        </w:rPr>
        <w:t>元，按票面价格发行。</w:t>
      </w:r>
    </w:p>
    <w:p w:rsidR="00E97EAE" w:rsidRDefault="00E85933">
      <w:pPr>
        <w:spacing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现将获配结果披露如下：</w:t>
      </w:r>
    </w:p>
    <w:tbl>
      <w:tblPr>
        <w:tblW w:w="5157" w:type="pct"/>
        <w:tblLook w:val="04A0"/>
      </w:tblPr>
      <w:tblGrid>
        <w:gridCol w:w="1070"/>
        <w:gridCol w:w="3972"/>
        <w:gridCol w:w="1305"/>
        <w:gridCol w:w="1244"/>
        <w:gridCol w:w="1199"/>
      </w:tblGrid>
      <w:tr w:rsidR="00E97EAE">
        <w:trPr>
          <w:trHeight w:val="570"/>
        </w:trPr>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E97EAE" w:rsidRDefault="00E85933">
            <w:pPr>
              <w:jc w:val="center"/>
              <w:textAlignment w:val="center"/>
              <w:rPr>
                <w:rFonts w:ascii="仿宋" w:eastAsia="仿宋" w:hAnsi="仿宋" w:cs="仿宋"/>
                <w:sz w:val="24"/>
                <w:szCs w:val="24"/>
              </w:rPr>
            </w:pPr>
            <w:r>
              <w:rPr>
                <w:rFonts w:ascii="仿宋" w:eastAsia="仿宋" w:hAnsi="仿宋" w:cs="仿宋" w:hint="eastAsia"/>
                <w:sz w:val="24"/>
                <w:szCs w:val="24"/>
                <w:lang w:eastAsia="zh-CN"/>
              </w:rPr>
              <w:t>基金主代码</w:t>
            </w:r>
          </w:p>
        </w:tc>
        <w:tc>
          <w:tcPr>
            <w:tcW w:w="2258" w:type="pct"/>
            <w:tcBorders>
              <w:top w:val="single" w:sz="4" w:space="0" w:color="auto"/>
              <w:left w:val="nil"/>
              <w:bottom w:val="single" w:sz="4" w:space="0" w:color="auto"/>
              <w:right w:val="single" w:sz="4" w:space="0" w:color="auto"/>
            </w:tcBorders>
            <w:shd w:val="clear" w:color="auto" w:fill="auto"/>
            <w:vAlign w:val="center"/>
          </w:tcPr>
          <w:p w:rsidR="00E97EAE" w:rsidRDefault="00E85933">
            <w:pPr>
              <w:jc w:val="center"/>
              <w:textAlignment w:val="center"/>
              <w:rPr>
                <w:rFonts w:ascii="仿宋" w:eastAsia="仿宋" w:hAnsi="仿宋" w:cs="仿宋"/>
                <w:sz w:val="24"/>
                <w:szCs w:val="24"/>
              </w:rPr>
            </w:pPr>
            <w:r>
              <w:rPr>
                <w:rFonts w:ascii="仿宋" w:eastAsia="仿宋" w:hAnsi="仿宋" w:cs="仿宋" w:hint="eastAsia"/>
                <w:sz w:val="24"/>
                <w:szCs w:val="24"/>
                <w:lang w:eastAsia="zh-CN"/>
              </w:rPr>
              <w:t>基金名称</w:t>
            </w:r>
          </w:p>
        </w:tc>
        <w:tc>
          <w:tcPr>
            <w:tcW w:w="742" w:type="pct"/>
            <w:tcBorders>
              <w:top w:val="single" w:sz="4" w:space="0" w:color="auto"/>
              <w:left w:val="nil"/>
              <w:bottom w:val="single" w:sz="4" w:space="0" w:color="auto"/>
              <w:right w:val="single" w:sz="4" w:space="0" w:color="auto"/>
            </w:tcBorders>
            <w:shd w:val="clear" w:color="auto" w:fill="auto"/>
            <w:vAlign w:val="center"/>
          </w:tcPr>
          <w:p w:rsidR="00E97EAE" w:rsidRDefault="00E85933">
            <w:pPr>
              <w:jc w:val="center"/>
              <w:textAlignment w:val="center"/>
              <w:rPr>
                <w:rFonts w:ascii="仿宋" w:eastAsia="仿宋" w:hAnsi="仿宋" w:cs="仿宋"/>
                <w:sz w:val="24"/>
                <w:szCs w:val="24"/>
              </w:rPr>
            </w:pPr>
            <w:r>
              <w:rPr>
                <w:rFonts w:ascii="仿宋" w:eastAsia="仿宋" w:hAnsi="仿宋" w:cs="仿宋" w:hint="eastAsia"/>
                <w:sz w:val="24"/>
                <w:szCs w:val="24"/>
                <w:lang w:eastAsia="zh-CN"/>
              </w:rPr>
              <w:t>获配证券名称</w:t>
            </w:r>
          </w:p>
        </w:tc>
        <w:tc>
          <w:tcPr>
            <w:tcW w:w="707" w:type="pct"/>
            <w:tcBorders>
              <w:top w:val="single" w:sz="4" w:space="0" w:color="auto"/>
              <w:left w:val="nil"/>
              <w:bottom w:val="single" w:sz="4" w:space="0" w:color="auto"/>
              <w:right w:val="single" w:sz="4" w:space="0" w:color="auto"/>
            </w:tcBorders>
            <w:shd w:val="clear" w:color="auto" w:fill="auto"/>
            <w:vAlign w:val="center"/>
          </w:tcPr>
          <w:p w:rsidR="00E97EAE" w:rsidRDefault="00E85933">
            <w:pPr>
              <w:jc w:val="center"/>
              <w:textAlignment w:val="center"/>
              <w:rPr>
                <w:rFonts w:ascii="仿宋" w:eastAsia="仿宋" w:hAnsi="仿宋" w:cs="仿宋"/>
                <w:sz w:val="24"/>
                <w:szCs w:val="24"/>
                <w:lang w:eastAsia="zh-CN"/>
              </w:rPr>
            </w:pPr>
            <w:r>
              <w:rPr>
                <w:rFonts w:ascii="仿宋" w:eastAsia="仿宋" w:hAnsi="仿宋" w:cs="仿宋" w:hint="eastAsia"/>
                <w:sz w:val="24"/>
                <w:szCs w:val="24"/>
                <w:lang w:eastAsia="zh-CN"/>
              </w:rPr>
              <w:t>获配数量</w:t>
            </w:r>
          </w:p>
          <w:p w:rsidR="00E97EAE" w:rsidRDefault="00E85933">
            <w:pPr>
              <w:jc w:val="center"/>
              <w:textAlignment w:val="center"/>
              <w:rPr>
                <w:rFonts w:ascii="仿宋" w:eastAsia="仿宋" w:hAnsi="仿宋" w:cs="仿宋"/>
                <w:sz w:val="24"/>
                <w:szCs w:val="24"/>
              </w:rPr>
            </w:pPr>
            <w:r>
              <w:rPr>
                <w:rFonts w:ascii="仿宋" w:eastAsia="仿宋" w:hAnsi="仿宋" w:cs="仿宋" w:hint="eastAsia"/>
                <w:sz w:val="24"/>
                <w:szCs w:val="24"/>
                <w:lang w:eastAsia="zh-CN"/>
              </w:rPr>
              <w:t>（张）</w:t>
            </w:r>
          </w:p>
        </w:tc>
        <w:tc>
          <w:tcPr>
            <w:tcW w:w="682" w:type="pct"/>
            <w:tcBorders>
              <w:top w:val="single" w:sz="4" w:space="0" w:color="auto"/>
              <w:left w:val="nil"/>
              <w:bottom w:val="single" w:sz="4" w:space="0" w:color="auto"/>
              <w:right w:val="single" w:sz="4" w:space="0" w:color="auto"/>
            </w:tcBorders>
            <w:shd w:val="clear" w:color="auto" w:fill="auto"/>
            <w:vAlign w:val="center"/>
          </w:tcPr>
          <w:p w:rsidR="00E97EAE" w:rsidRDefault="00E85933">
            <w:pPr>
              <w:jc w:val="center"/>
              <w:textAlignment w:val="center"/>
              <w:rPr>
                <w:rFonts w:ascii="仿宋" w:eastAsia="仿宋" w:hAnsi="仿宋" w:cs="仿宋"/>
                <w:sz w:val="24"/>
                <w:szCs w:val="24"/>
                <w:lang w:eastAsia="zh-CN"/>
              </w:rPr>
            </w:pPr>
            <w:r>
              <w:rPr>
                <w:rFonts w:ascii="仿宋" w:eastAsia="仿宋" w:hAnsi="仿宋" w:cs="仿宋" w:hint="eastAsia"/>
                <w:sz w:val="24"/>
                <w:szCs w:val="24"/>
                <w:lang w:eastAsia="zh-CN"/>
              </w:rPr>
              <w:t>获配金额</w:t>
            </w:r>
          </w:p>
          <w:p w:rsidR="00E97EAE" w:rsidRDefault="00E85933">
            <w:pPr>
              <w:jc w:val="center"/>
              <w:textAlignment w:val="center"/>
              <w:rPr>
                <w:rFonts w:ascii="仿宋" w:eastAsia="仿宋" w:hAnsi="仿宋" w:cs="仿宋"/>
                <w:sz w:val="24"/>
                <w:szCs w:val="24"/>
              </w:rPr>
            </w:pPr>
            <w:r>
              <w:rPr>
                <w:rFonts w:ascii="仿宋" w:eastAsia="仿宋" w:hAnsi="仿宋" w:cs="仿宋" w:hint="eastAsia"/>
                <w:sz w:val="24"/>
                <w:szCs w:val="24"/>
                <w:lang w:eastAsia="zh-CN"/>
              </w:rPr>
              <w:t>（元）</w:t>
            </w:r>
          </w:p>
        </w:tc>
      </w:tr>
      <w:tr w:rsidR="00E97EAE">
        <w:trPr>
          <w:trHeight w:val="855"/>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000977</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长城环保主题灵活配置混合型证券投资基金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15300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1530000</w:t>
            </w:r>
          </w:p>
        </w:tc>
      </w:tr>
      <w:tr w:rsidR="00E97EAE">
        <w:trPr>
          <w:trHeight w:val="855"/>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011455</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长城竞争优势六个月持有期混合型证券投资基金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7120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712000</w:t>
            </w:r>
          </w:p>
        </w:tc>
      </w:tr>
      <w:tr w:rsidR="00E97EAE">
        <w:trPr>
          <w:trHeight w:val="570"/>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016592</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长城远见成长混合型证券投资基金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12460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1246000</w:t>
            </w:r>
          </w:p>
        </w:tc>
      </w:tr>
      <w:tr w:rsidR="00E97EAE">
        <w:trPr>
          <w:trHeight w:val="570"/>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002542</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长城久鼎灵活配置混合型证券投资基金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5430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543000</w:t>
            </w:r>
          </w:p>
        </w:tc>
      </w:tr>
      <w:tr w:rsidR="00E97EAE">
        <w:trPr>
          <w:trHeight w:val="570"/>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010049</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长城成长先锋混合型证券投资基金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9580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958000</w:t>
            </w:r>
          </w:p>
        </w:tc>
      </w:tr>
      <w:tr w:rsidR="00E97EAE">
        <w:trPr>
          <w:trHeight w:val="570"/>
        </w:trPr>
        <w:tc>
          <w:tcPr>
            <w:tcW w:w="608" w:type="pct"/>
            <w:tcBorders>
              <w:top w:val="nil"/>
              <w:left w:val="single" w:sz="4" w:space="0" w:color="auto"/>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019367</w:t>
            </w:r>
          </w:p>
        </w:tc>
        <w:tc>
          <w:tcPr>
            <w:tcW w:w="2258"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长城均衡成长混合型证券投资基金</w:t>
            </w:r>
          </w:p>
        </w:tc>
        <w:tc>
          <w:tcPr>
            <w:tcW w:w="742" w:type="pct"/>
            <w:tcBorders>
              <w:top w:val="nil"/>
              <w:left w:val="nil"/>
              <w:bottom w:val="single" w:sz="4" w:space="0" w:color="auto"/>
              <w:right w:val="single" w:sz="4" w:space="0" w:color="auto"/>
            </w:tcBorders>
            <w:shd w:val="clear" w:color="auto" w:fill="auto"/>
            <w:vAlign w:val="center"/>
          </w:tcPr>
          <w:p w:rsidR="00E97EAE" w:rsidRDefault="00E85933">
            <w:pPr>
              <w:textAlignment w:val="center"/>
              <w:rPr>
                <w:rFonts w:ascii="仿宋" w:eastAsia="仿宋" w:hAnsi="仿宋" w:cs="仿宋"/>
                <w:sz w:val="24"/>
                <w:szCs w:val="24"/>
              </w:rPr>
            </w:pPr>
            <w:r>
              <w:rPr>
                <w:rFonts w:ascii="仿宋" w:eastAsia="仿宋" w:hAnsi="仿宋" w:cs="仿宋" w:hint="eastAsia"/>
                <w:sz w:val="24"/>
                <w:szCs w:val="24"/>
                <w:lang w:eastAsia="zh-CN"/>
              </w:rPr>
              <w:t>保隆转债</w:t>
            </w:r>
          </w:p>
        </w:tc>
        <w:tc>
          <w:tcPr>
            <w:tcW w:w="707"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1540</w:t>
            </w:r>
          </w:p>
        </w:tc>
        <w:tc>
          <w:tcPr>
            <w:tcW w:w="682" w:type="pct"/>
            <w:tcBorders>
              <w:top w:val="nil"/>
              <w:left w:val="nil"/>
              <w:bottom w:val="single" w:sz="4" w:space="0" w:color="auto"/>
              <w:right w:val="single" w:sz="4" w:space="0" w:color="auto"/>
            </w:tcBorders>
            <w:shd w:val="clear" w:color="auto" w:fill="auto"/>
            <w:vAlign w:val="center"/>
          </w:tcPr>
          <w:p w:rsidR="00E97EAE" w:rsidRDefault="00E85933">
            <w:pPr>
              <w:jc w:val="right"/>
              <w:textAlignment w:val="center"/>
              <w:rPr>
                <w:rFonts w:ascii="仿宋" w:eastAsia="仿宋" w:hAnsi="仿宋" w:cs="仿宋"/>
                <w:sz w:val="24"/>
                <w:szCs w:val="24"/>
              </w:rPr>
            </w:pPr>
            <w:r>
              <w:rPr>
                <w:rFonts w:ascii="仿宋" w:eastAsia="仿宋" w:hAnsi="仿宋" w:cs="仿宋" w:hint="eastAsia"/>
                <w:sz w:val="24"/>
                <w:szCs w:val="24"/>
                <w:lang w:eastAsia="zh-CN"/>
              </w:rPr>
              <w:t>154000</w:t>
            </w:r>
          </w:p>
        </w:tc>
      </w:tr>
    </w:tbl>
    <w:p w:rsidR="00E97EAE" w:rsidRDefault="00E97EAE">
      <w:pPr>
        <w:spacing w:line="360" w:lineRule="auto"/>
        <w:rPr>
          <w:rFonts w:ascii="仿宋" w:eastAsia="仿宋" w:hAnsi="仿宋" w:cs="仿宋"/>
          <w:sz w:val="28"/>
          <w:szCs w:val="28"/>
        </w:rPr>
      </w:pPr>
    </w:p>
    <w:p w:rsidR="00E97EAE" w:rsidRDefault="00E85933">
      <w:pPr>
        <w:pStyle w:val="a3"/>
        <w:spacing w:before="112" w:line="360" w:lineRule="auto"/>
        <w:ind w:left="37" w:right="122" w:firstLine="472"/>
        <w:jc w:val="both"/>
        <w:rPr>
          <w:sz w:val="28"/>
          <w:szCs w:val="28"/>
        </w:rPr>
      </w:pPr>
      <w:r>
        <w:rPr>
          <w:sz w:val="28"/>
          <w:szCs w:val="28"/>
        </w:rPr>
        <w:lastRenderedPageBreak/>
        <w:t>投资者可登录我公司官方网站（</w:t>
      </w:r>
      <w:r>
        <w:rPr>
          <w:rFonts w:hint="eastAsia"/>
          <w:sz w:val="28"/>
          <w:szCs w:val="28"/>
          <w:lang w:eastAsia="zh-CN"/>
        </w:rPr>
        <w:t>www.</w:t>
      </w:r>
      <w:r>
        <w:rPr>
          <w:rFonts w:hint="eastAsia"/>
          <w:sz w:val="28"/>
          <w:szCs w:val="28"/>
        </w:rPr>
        <w:t>ccfund.com.cn</w:t>
      </w:r>
      <w:r>
        <w:rPr>
          <w:sz w:val="28"/>
          <w:szCs w:val="28"/>
        </w:rPr>
        <w:t>）或拨打</w:t>
      </w:r>
      <w:r>
        <w:rPr>
          <w:spacing w:val="-1"/>
          <w:sz w:val="28"/>
          <w:szCs w:val="28"/>
        </w:rPr>
        <w:t>我公司客户服</w:t>
      </w:r>
      <w:r>
        <w:rPr>
          <w:spacing w:val="-3"/>
          <w:sz w:val="28"/>
          <w:szCs w:val="28"/>
        </w:rPr>
        <w:t>务热线（</w:t>
      </w:r>
      <w:r>
        <w:rPr>
          <w:rFonts w:hint="eastAsia"/>
          <w:spacing w:val="-3"/>
          <w:sz w:val="28"/>
          <w:szCs w:val="28"/>
        </w:rPr>
        <w:t>400-8868-666</w:t>
      </w:r>
      <w:r>
        <w:rPr>
          <w:spacing w:val="-3"/>
          <w:sz w:val="28"/>
          <w:szCs w:val="28"/>
        </w:rPr>
        <w:t>）了解本基金的相关事宜。</w:t>
      </w:r>
    </w:p>
    <w:p w:rsidR="00E97EAE" w:rsidRDefault="00E97EAE">
      <w:pPr>
        <w:spacing w:line="360" w:lineRule="auto"/>
        <w:jc w:val="both"/>
        <w:rPr>
          <w:sz w:val="28"/>
          <w:szCs w:val="28"/>
        </w:rPr>
      </w:pPr>
    </w:p>
    <w:p w:rsidR="00E97EAE" w:rsidRDefault="00E85933">
      <w:pPr>
        <w:pStyle w:val="a3"/>
        <w:spacing w:before="79" w:line="360" w:lineRule="auto"/>
        <w:ind w:left="512"/>
        <w:jc w:val="both"/>
        <w:rPr>
          <w:sz w:val="28"/>
          <w:szCs w:val="28"/>
        </w:rPr>
      </w:pPr>
      <w:r>
        <w:rPr>
          <w:spacing w:val="-4"/>
          <w:sz w:val="28"/>
          <w:szCs w:val="28"/>
        </w:rPr>
        <w:t>风险提示</w:t>
      </w:r>
      <w:bookmarkStart w:id="0" w:name="_GoBack"/>
      <w:bookmarkEnd w:id="0"/>
    </w:p>
    <w:p w:rsidR="00E97EAE" w:rsidRDefault="00E85933">
      <w:pPr>
        <w:pStyle w:val="a3"/>
        <w:kinsoku/>
        <w:spacing w:before="184" w:line="360" w:lineRule="auto"/>
        <w:ind w:left="28" w:right="108" w:firstLine="482"/>
        <w:rPr>
          <w:sz w:val="28"/>
          <w:szCs w:val="28"/>
        </w:rPr>
      </w:pPr>
      <w:r>
        <w:rPr>
          <w:spacing w:val="-6"/>
          <w:sz w:val="28"/>
          <w:szCs w:val="28"/>
        </w:rPr>
        <w:t>基金管理人承诺以诚实信用、勤勉尽责的原则管理和运用基金资产，但不保</w:t>
      </w:r>
      <w:r>
        <w:rPr>
          <w:spacing w:val="-3"/>
          <w:sz w:val="28"/>
          <w:szCs w:val="28"/>
        </w:rPr>
        <w:t>证基金一定盈利，也不保证最低收益。投资者投资于本基金时</w:t>
      </w:r>
      <w:r>
        <w:rPr>
          <w:spacing w:val="-4"/>
          <w:sz w:val="28"/>
          <w:szCs w:val="28"/>
        </w:rPr>
        <w:t>应认真阅读本基金</w:t>
      </w:r>
      <w:r>
        <w:rPr>
          <w:spacing w:val="-2"/>
          <w:sz w:val="28"/>
          <w:szCs w:val="28"/>
        </w:rPr>
        <w:t>的《基金合同》和《招募说明书》等相关法律文件。</w:t>
      </w:r>
    </w:p>
    <w:p w:rsidR="00E97EAE" w:rsidRDefault="00E97EAE">
      <w:pPr>
        <w:spacing w:line="360" w:lineRule="auto"/>
        <w:jc w:val="both"/>
        <w:rPr>
          <w:sz w:val="28"/>
          <w:szCs w:val="28"/>
        </w:rPr>
      </w:pPr>
    </w:p>
    <w:p w:rsidR="00E97EAE" w:rsidRDefault="00E85933">
      <w:pPr>
        <w:pStyle w:val="a3"/>
        <w:spacing w:before="78" w:line="360" w:lineRule="auto"/>
        <w:ind w:left="509"/>
        <w:jc w:val="both"/>
        <w:rPr>
          <w:sz w:val="28"/>
          <w:szCs w:val="28"/>
        </w:rPr>
      </w:pPr>
      <w:r>
        <w:rPr>
          <w:spacing w:val="-8"/>
          <w:sz w:val="28"/>
          <w:szCs w:val="28"/>
        </w:rPr>
        <w:t>特此公告。</w:t>
      </w:r>
    </w:p>
    <w:p w:rsidR="00E97EAE" w:rsidRDefault="00E97EAE">
      <w:pPr>
        <w:spacing w:line="360" w:lineRule="auto"/>
        <w:rPr>
          <w:sz w:val="28"/>
          <w:szCs w:val="28"/>
        </w:rPr>
      </w:pPr>
    </w:p>
    <w:p w:rsidR="00E97EAE" w:rsidRDefault="00E97EAE">
      <w:pPr>
        <w:spacing w:line="360" w:lineRule="auto"/>
        <w:rPr>
          <w:sz w:val="28"/>
          <w:szCs w:val="28"/>
        </w:rPr>
      </w:pPr>
    </w:p>
    <w:p w:rsidR="00E97EAE" w:rsidRDefault="00E97EAE">
      <w:pPr>
        <w:spacing w:line="360" w:lineRule="auto"/>
        <w:rPr>
          <w:rFonts w:eastAsia="宋体"/>
          <w:sz w:val="28"/>
          <w:szCs w:val="28"/>
          <w:lang w:eastAsia="zh-CN"/>
        </w:rPr>
      </w:pPr>
    </w:p>
    <w:p w:rsidR="00E97EAE" w:rsidRDefault="00E85933">
      <w:pPr>
        <w:pStyle w:val="a3"/>
        <w:spacing w:before="78" w:line="360" w:lineRule="auto"/>
        <w:jc w:val="right"/>
        <w:outlineLvl w:val="0"/>
        <w:rPr>
          <w:spacing w:val="-2"/>
          <w:sz w:val="28"/>
          <w:szCs w:val="28"/>
          <w:lang w:eastAsia="zh-CN"/>
        </w:rPr>
      </w:pPr>
      <w:r>
        <w:rPr>
          <w:rFonts w:hint="eastAsia"/>
          <w:spacing w:val="-2"/>
          <w:sz w:val="28"/>
          <w:szCs w:val="28"/>
          <w:lang w:eastAsia="zh-CN"/>
        </w:rPr>
        <w:t>长城基金管理有限公司</w:t>
      </w:r>
    </w:p>
    <w:p w:rsidR="00E97EAE" w:rsidRDefault="00E85933">
      <w:pPr>
        <w:pStyle w:val="a3"/>
        <w:spacing w:before="78" w:line="360" w:lineRule="auto"/>
        <w:jc w:val="right"/>
        <w:outlineLvl w:val="0"/>
        <w:rPr>
          <w:sz w:val="28"/>
          <w:szCs w:val="28"/>
        </w:rPr>
      </w:pPr>
      <w:r>
        <w:rPr>
          <w:spacing w:val="-2"/>
          <w:sz w:val="28"/>
          <w:szCs w:val="28"/>
        </w:rPr>
        <w:t>二〇二四年十</w:t>
      </w:r>
      <w:r>
        <w:rPr>
          <w:rFonts w:hint="eastAsia"/>
          <w:spacing w:val="-2"/>
          <w:sz w:val="28"/>
          <w:szCs w:val="28"/>
          <w:lang w:eastAsia="zh-CN"/>
        </w:rPr>
        <w:t>一</w:t>
      </w:r>
      <w:r>
        <w:rPr>
          <w:spacing w:val="-2"/>
          <w:sz w:val="28"/>
          <w:szCs w:val="28"/>
        </w:rPr>
        <w:t>月</w:t>
      </w:r>
      <w:r>
        <w:rPr>
          <w:rFonts w:hint="eastAsia"/>
          <w:spacing w:val="-2"/>
          <w:sz w:val="28"/>
          <w:szCs w:val="28"/>
          <w:lang w:eastAsia="zh-CN"/>
        </w:rPr>
        <w:t>二</w:t>
      </w:r>
      <w:r>
        <w:rPr>
          <w:spacing w:val="-2"/>
          <w:sz w:val="28"/>
          <w:szCs w:val="28"/>
        </w:rPr>
        <w:t>日</w:t>
      </w:r>
    </w:p>
    <w:p w:rsidR="00E97EAE" w:rsidRDefault="00E97EAE">
      <w:pPr>
        <w:spacing w:line="360" w:lineRule="auto"/>
        <w:rPr>
          <w:rFonts w:ascii="仿宋" w:eastAsia="仿宋" w:hAnsi="仿宋" w:cs="仿宋"/>
          <w:sz w:val="28"/>
          <w:szCs w:val="28"/>
        </w:rPr>
      </w:pPr>
    </w:p>
    <w:sectPr w:rsidR="00E97EAE" w:rsidSect="00E97E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EAE" w:rsidRDefault="00E85933">
      <w:r>
        <w:separator/>
      </w:r>
    </w:p>
  </w:endnote>
  <w:endnote w:type="continuationSeparator" w:id="0">
    <w:p w:rsidR="00E97EAE" w:rsidRDefault="00E859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EAE" w:rsidRDefault="00E85933">
      <w:r>
        <w:separator/>
      </w:r>
    </w:p>
  </w:footnote>
  <w:footnote w:type="continuationSeparator" w:id="0">
    <w:p w:rsidR="00E97EAE" w:rsidRDefault="00E85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Q3MTk3NTFiNDE5YzgzZjhkOGVmZGQ0Yjc5NGJjMTkifQ=="/>
  </w:docVars>
  <w:rsids>
    <w:rsidRoot w:val="67EA70D7"/>
    <w:rsid w:val="00E85933"/>
    <w:rsid w:val="00E97EAE"/>
    <w:rsid w:val="2BD8717A"/>
    <w:rsid w:val="57E85D00"/>
    <w:rsid w:val="67EA70D7"/>
    <w:rsid w:val="6B8E7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E97EAE"/>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E97EAE"/>
    <w:rPr>
      <w:rFonts w:ascii="仿宋" w:eastAsia="仿宋" w:hAnsi="仿宋" w:cs="仿宋"/>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4</DocSecurity>
  <Lines>5</Lines>
  <Paragraphs>1</Paragraphs>
  <ScaleCrop>false</ScaleCrop>
  <Company>CNSTOCK</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SummerTsing</dc:creator>
  <cp:lastModifiedBy>ZHONGM</cp:lastModifiedBy>
  <cp:revision>2</cp:revision>
  <dcterms:created xsi:type="dcterms:W3CDTF">2024-11-01T16:02:00Z</dcterms:created>
  <dcterms:modified xsi:type="dcterms:W3CDTF">2024-11-01T16:02:00Z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0F89A753FB9B4FDDB538A01660DC30A3_13</vt:lpwstr>
  </property>
</Properties>
</file>