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95" w:rsidRPr="00EB6795" w:rsidRDefault="00EB6795" w:rsidP="00EB6795">
      <w:pPr>
        <w:pStyle w:val="a3"/>
        <w:shd w:val="clear" w:color="auto" w:fill="FFFFFF"/>
        <w:adjustRightInd w:val="0"/>
        <w:snapToGrid w:val="0"/>
        <w:spacing w:before="240" w:beforeAutospacing="0" w:after="0" w:afterAutospacing="0" w:line="360" w:lineRule="auto"/>
        <w:ind w:firstLineChars="400" w:firstLine="883"/>
        <w:rPr>
          <w:rFonts w:asciiTheme="minorEastAsia" w:eastAsiaTheme="minorEastAsia" w:hAnsiTheme="minorEastAsia"/>
          <w:b/>
          <w:bCs/>
          <w:color w:val="333333"/>
          <w:sz w:val="21"/>
          <w:szCs w:val="21"/>
        </w:rPr>
      </w:pPr>
      <w:bookmarkStart w:id="0" w:name="_GoBack"/>
      <w:r w:rsidRPr="00941AD4">
        <w:rPr>
          <w:rFonts w:asciiTheme="minorEastAsia" w:eastAsiaTheme="minorEastAsia" w:hAnsiTheme="minorEastAsia" w:hint="eastAsia"/>
          <w:b/>
          <w:bCs/>
          <w:color w:val="333333"/>
          <w:sz w:val="22"/>
          <w:szCs w:val="21"/>
        </w:rPr>
        <w:t>关于</w:t>
      </w:r>
      <w:r w:rsidR="009948DD" w:rsidRPr="00941AD4">
        <w:rPr>
          <w:rFonts w:asciiTheme="minorEastAsia" w:eastAsiaTheme="minorEastAsia" w:hAnsiTheme="minorEastAsia" w:hint="eastAsia"/>
          <w:b/>
          <w:bCs/>
          <w:color w:val="333333"/>
          <w:sz w:val="22"/>
          <w:szCs w:val="21"/>
        </w:rPr>
        <w:t>招商北证50成份指数型发起式证券投资基金</w:t>
      </w:r>
      <w:r w:rsidRPr="00941AD4">
        <w:rPr>
          <w:rFonts w:asciiTheme="minorEastAsia" w:eastAsiaTheme="minorEastAsia" w:hAnsiTheme="minorEastAsia" w:hint="eastAsia"/>
          <w:b/>
          <w:bCs/>
          <w:color w:val="333333"/>
          <w:sz w:val="22"/>
          <w:szCs w:val="21"/>
        </w:rPr>
        <w:t>规模控制的公告</w:t>
      </w:r>
      <w:bookmarkEnd w:id="0"/>
    </w:p>
    <w:p w:rsidR="00EB6795" w:rsidRDefault="00EB6795" w:rsidP="00EB6795">
      <w:pPr>
        <w:adjustRightInd w:val="0"/>
        <w:snapToGrid w:val="0"/>
        <w:spacing w:line="360" w:lineRule="auto"/>
        <w:ind w:firstLineChars="200" w:firstLine="420"/>
        <w:rPr>
          <w:rFonts w:asciiTheme="minorEastAsia" w:hAnsiTheme="minorEastAsia"/>
        </w:rPr>
      </w:pPr>
    </w:p>
    <w:p w:rsidR="00EB6795" w:rsidRPr="00EB6795" w:rsidRDefault="00F6256A" w:rsidP="00F6256A">
      <w:pPr>
        <w:adjustRightInd w:val="0"/>
        <w:snapToGrid w:val="0"/>
        <w:spacing w:line="360" w:lineRule="auto"/>
        <w:ind w:firstLineChars="200" w:firstLine="420"/>
        <w:rPr>
          <w:rFonts w:asciiTheme="minorEastAsia" w:hAnsiTheme="minorEastAsia"/>
        </w:rPr>
      </w:pPr>
      <w:r>
        <w:rPr>
          <w:rFonts w:asciiTheme="minorEastAsia" w:hAnsiTheme="minorEastAsia" w:hint="eastAsia"/>
        </w:rPr>
        <w:t>根据《</w:t>
      </w:r>
      <w:r>
        <w:t>招商北证</w:t>
      </w:r>
      <w:r>
        <w:t>50</w:t>
      </w:r>
      <w:r>
        <w:t>成份指数型发起式证券投资基金</w:t>
      </w:r>
      <w:r w:rsidR="00A21E8D">
        <w:rPr>
          <w:rFonts w:hint="eastAsia"/>
        </w:rPr>
        <w:t>基金合同</w:t>
      </w:r>
      <w:r>
        <w:rPr>
          <w:rFonts w:asciiTheme="minorEastAsia" w:hAnsiTheme="minorEastAsia" w:hint="eastAsia"/>
        </w:rPr>
        <w:t>》的</w:t>
      </w:r>
      <w:r w:rsidR="0011482D">
        <w:rPr>
          <w:rFonts w:asciiTheme="minorEastAsia" w:hAnsiTheme="minorEastAsia" w:hint="eastAsia"/>
        </w:rPr>
        <w:t>有关</w:t>
      </w:r>
      <w:r>
        <w:rPr>
          <w:rFonts w:asciiTheme="minorEastAsia" w:hAnsiTheme="minorEastAsia" w:hint="eastAsia"/>
        </w:rPr>
        <w:t>规定，</w:t>
      </w:r>
      <w:r w:rsidRPr="00F6256A">
        <w:rPr>
          <w:rFonts w:asciiTheme="minorEastAsia" w:hAnsiTheme="minorEastAsia" w:hint="eastAsia"/>
        </w:rPr>
        <w:t>基金管理人基于投资运作与风险控制的需要</w:t>
      </w:r>
      <w:r>
        <w:t>，可采取措施对基金规模予以控制</w:t>
      </w:r>
      <w:r>
        <w:rPr>
          <w:rFonts w:hint="eastAsia"/>
        </w:rPr>
        <w:t>。</w:t>
      </w:r>
      <w:r w:rsidR="00EB6795" w:rsidRPr="00EB6795">
        <w:rPr>
          <w:rFonts w:asciiTheme="minorEastAsia" w:hAnsiTheme="minorEastAsia" w:hint="eastAsia"/>
        </w:rPr>
        <w:t>为更好的维护基金份额持有人的利益，本基金将</w:t>
      </w:r>
      <w:r w:rsidR="008E6EB9">
        <w:rPr>
          <w:rFonts w:asciiTheme="minorEastAsia" w:hAnsiTheme="minorEastAsia" w:hint="eastAsia"/>
        </w:rPr>
        <w:t>自</w:t>
      </w:r>
      <w:r w:rsidR="00C455DD">
        <w:rPr>
          <w:rFonts w:asciiTheme="minorEastAsia" w:hAnsiTheme="minorEastAsia"/>
        </w:rPr>
        <w:t>2024</w:t>
      </w:r>
      <w:r w:rsidR="00C455DD">
        <w:rPr>
          <w:rFonts w:asciiTheme="minorEastAsia" w:hAnsiTheme="minorEastAsia" w:hint="eastAsia"/>
        </w:rPr>
        <w:t>年1</w:t>
      </w:r>
      <w:r w:rsidR="00C455DD">
        <w:rPr>
          <w:rFonts w:asciiTheme="minorEastAsia" w:hAnsiTheme="minorEastAsia"/>
        </w:rPr>
        <w:t>1</w:t>
      </w:r>
      <w:r w:rsidR="00C455DD">
        <w:rPr>
          <w:rFonts w:asciiTheme="minorEastAsia" w:hAnsiTheme="minorEastAsia" w:hint="eastAsia"/>
        </w:rPr>
        <w:t>月</w:t>
      </w:r>
      <w:r w:rsidR="00C455DD">
        <w:rPr>
          <w:rFonts w:asciiTheme="minorEastAsia" w:hAnsiTheme="minorEastAsia"/>
        </w:rPr>
        <w:t>4</w:t>
      </w:r>
      <w:r w:rsidR="005444A9">
        <w:rPr>
          <w:rFonts w:asciiTheme="minorEastAsia" w:hAnsiTheme="minorEastAsia" w:hint="eastAsia"/>
        </w:rPr>
        <w:t>日起</w:t>
      </w:r>
      <w:r w:rsidR="00F35A6E">
        <w:rPr>
          <w:rFonts w:asciiTheme="minorEastAsia" w:hAnsiTheme="minorEastAsia" w:hint="eastAsia"/>
        </w:rPr>
        <w:t>执行</w:t>
      </w:r>
      <w:r w:rsidR="00C455DD">
        <w:rPr>
          <w:rFonts w:asciiTheme="minorEastAsia" w:hAnsiTheme="minorEastAsia" w:hint="eastAsia"/>
        </w:rPr>
        <w:t>如下</w:t>
      </w:r>
      <w:r w:rsidR="00EB6795" w:rsidRPr="00EB6795">
        <w:rPr>
          <w:rFonts w:asciiTheme="minorEastAsia" w:hAnsiTheme="minorEastAsia" w:hint="eastAsia"/>
        </w:rPr>
        <w:t>基金规模控制</w:t>
      </w:r>
      <w:r w:rsidR="00941AD4">
        <w:rPr>
          <w:rFonts w:asciiTheme="minorEastAsia" w:hAnsiTheme="minorEastAsia" w:hint="eastAsia"/>
        </w:rPr>
        <w:t>方案</w:t>
      </w:r>
      <w:r w:rsidR="00EB6795" w:rsidRPr="00EB6795">
        <w:rPr>
          <w:rFonts w:asciiTheme="minorEastAsia" w:hAnsiTheme="minorEastAsia" w:hint="eastAsia"/>
        </w:rPr>
        <w:t>：</w:t>
      </w:r>
    </w:p>
    <w:p w:rsidR="00EB6795" w:rsidRPr="00EB6795" w:rsidRDefault="00C455DD" w:rsidP="00EB6795">
      <w:pPr>
        <w:adjustRightInd w:val="0"/>
        <w:snapToGrid w:val="0"/>
        <w:spacing w:line="360" w:lineRule="auto"/>
        <w:ind w:firstLineChars="200" w:firstLine="420"/>
        <w:rPr>
          <w:rFonts w:asciiTheme="minorEastAsia" w:hAnsiTheme="minorEastAsia"/>
        </w:rPr>
      </w:pPr>
      <w:r>
        <w:rPr>
          <w:rFonts w:asciiTheme="minorEastAsia" w:hAnsiTheme="minorEastAsia" w:hint="eastAsia"/>
        </w:rPr>
        <w:t>1、</w:t>
      </w:r>
      <w:r w:rsidR="00EB6795" w:rsidRPr="00EB6795">
        <w:rPr>
          <w:rFonts w:asciiTheme="minorEastAsia" w:hAnsiTheme="minorEastAsia" w:hint="eastAsia"/>
        </w:rPr>
        <w:t>本基金设置可申购</w:t>
      </w:r>
      <w:r w:rsidR="00662C45">
        <w:rPr>
          <w:rFonts w:asciiTheme="minorEastAsia" w:hAnsiTheme="minorEastAsia" w:hint="eastAsia"/>
        </w:rPr>
        <w:t>份额</w:t>
      </w:r>
      <w:r w:rsidR="00EB6795" w:rsidRPr="00EB6795">
        <w:rPr>
          <w:rFonts w:asciiTheme="minorEastAsia" w:hAnsiTheme="minorEastAsia" w:hint="eastAsia"/>
        </w:rPr>
        <w:t>上限，并采用</w:t>
      </w:r>
      <w:r w:rsidR="00EB6795" w:rsidRPr="00A03B4B">
        <w:rPr>
          <w:rFonts w:asciiTheme="minorEastAsia" w:hAnsiTheme="minorEastAsia" w:hint="eastAsia"/>
        </w:rPr>
        <w:t>“比例确认”的原则</w:t>
      </w:r>
      <w:r w:rsidR="00EB6795" w:rsidRPr="00EB6795">
        <w:rPr>
          <w:rFonts w:asciiTheme="minorEastAsia" w:hAnsiTheme="minorEastAsia" w:hint="eastAsia"/>
        </w:rPr>
        <w:t>对本基金的总规模进行控制。</w:t>
      </w:r>
    </w:p>
    <w:p w:rsidR="00EB6795" w:rsidRPr="00EB6795" w:rsidRDefault="00C455DD" w:rsidP="00912458">
      <w:pPr>
        <w:adjustRightInd w:val="0"/>
        <w:snapToGrid w:val="0"/>
        <w:spacing w:line="360" w:lineRule="auto"/>
        <w:ind w:firstLineChars="200" w:firstLine="420"/>
        <w:rPr>
          <w:rFonts w:asciiTheme="minorEastAsia" w:hAnsiTheme="minorEastAsia"/>
        </w:rPr>
      </w:pPr>
      <w:r>
        <w:rPr>
          <w:rFonts w:asciiTheme="minorEastAsia" w:hAnsiTheme="minorEastAsia"/>
        </w:rPr>
        <w:t>2</w:t>
      </w:r>
      <w:r w:rsidR="00EB6795" w:rsidRPr="00EB6795">
        <w:rPr>
          <w:rFonts w:asciiTheme="minorEastAsia" w:hAnsiTheme="minorEastAsia" w:hint="eastAsia"/>
        </w:rPr>
        <w:t>、本基金总规模上限为</w:t>
      </w:r>
      <w:r w:rsidR="009948DD">
        <w:rPr>
          <w:rFonts w:asciiTheme="minorEastAsia" w:hAnsiTheme="minorEastAsia"/>
        </w:rPr>
        <w:t>5</w:t>
      </w:r>
      <w:r w:rsidR="00EB6795" w:rsidRPr="00EB6795">
        <w:rPr>
          <w:rFonts w:asciiTheme="minorEastAsia" w:hAnsiTheme="minorEastAsia" w:hint="eastAsia"/>
        </w:rPr>
        <w:t>亿</w:t>
      </w:r>
      <w:r w:rsidR="00662C45">
        <w:rPr>
          <w:rFonts w:asciiTheme="minorEastAsia" w:hAnsiTheme="minorEastAsia" w:hint="eastAsia"/>
        </w:rPr>
        <w:t>份</w:t>
      </w:r>
      <w:r w:rsidR="00EB6795" w:rsidRPr="00EB6795">
        <w:rPr>
          <w:rFonts w:asciiTheme="minorEastAsia" w:hAnsiTheme="minorEastAsia" w:hint="eastAsia"/>
        </w:rPr>
        <w:t>。</w:t>
      </w:r>
      <w:r w:rsidR="0031533C" w:rsidRPr="0031533C">
        <w:rPr>
          <w:rFonts w:hint="eastAsia"/>
        </w:rPr>
        <w:t>本基金管理人未来有权调整本基金在存续过程中的基金份额上限，具体以本基金管理人届时相关公告为准。</w:t>
      </w:r>
    </w:p>
    <w:p w:rsidR="00A460DF" w:rsidRPr="00EB6795" w:rsidRDefault="00C455DD" w:rsidP="00A460DF">
      <w:pPr>
        <w:adjustRightInd w:val="0"/>
        <w:snapToGrid w:val="0"/>
        <w:spacing w:line="360" w:lineRule="auto"/>
        <w:ind w:firstLineChars="200" w:firstLine="420"/>
        <w:rPr>
          <w:rFonts w:asciiTheme="minorEastAsia" w:hAnsiTheme="minorEastAsia"/>
        </w:rPr>
      </w:pPr>
      <w:r>
        <w:rPr>
          <w:rFonts w:asciiTheme="minorEastAsia" w:hAnsiTheme="minorEastAsia"/>
        </w:rPr>
        <w:t>3</w:t>
      </w:r>
      <w:r w:rsidR="00EB6795" w:rsidRPr="00EB6795">
        <w:rPr>
          <w:rFonts w:asciiTheme="minorEastAsia" w:hAnsiTheme="minorEastAsia" w:hint="eastAsia"/>
        </w:rPr>
        <w:t>、</w:t>
      </w:r>
      <w:r w:rsidR="00A460DF" w:rsidRPr="00EB6795">
        <w:rPr>
          <w:rFonts w:asciiTheme="minorEastAsia" w:hAnsiTheme="minorEastAsia" w:hint="eastAsia"/>
        </w:rPr>
        <w:t>若T日的</w:t>
      </w:r>
      <w:r w:rsidR="00A460DF" w:rsidRPr="00682BED">
        <w:rPr>
          <w:rFonts w:asciiTheme="minorEastAsia" w:hAnsiTheme="minorEastAsia" w:hint="eastAsia"/>
        </w:rPr>
        <w:t>各类基金份额有效申购</w:t>
      </w:r>
      <w:r w:rsidR="00A460DF" w:rsidRPr="007E238B">
        <w:rPr>
          <w:rFonts w:asciiTheme="minorEastAsia" w:hAnsiTheme="minorEastAsia" w:hint="eastAsia"/>
        </w:rPr>
        <w:t>（含</w:t>
      </w:r>
      <w:r w:rsidR="003C42D8" w:rsidRPr="007E238B">
        <w:rPr>
          <w:rFonts w:asciiTheme="minorEastAsia" w:hAnsiTheme="minorEastAsia" w:hint="eastAsia"/>
        </w:rPr>
        <w:t>定期定额投资</w:t>
      </w:r>
      <w:r w:rsidR="003C42D8">
        <w:rPr>
          <w:rFonts w:asciiTheme="minorEastAsia" w:hAnsiTheme="minorEastAsia" w:hint="eastAsia"/>
        </w:rPr>
        <w:t>和</w:t>
      </w:r>
      <w:r w:rsidR="003C42D8" w:rsidRPr="007E238B">
        <w:rPr>
          <w:rFonts w:asciiTheme="minorEastAsia" w:hAnsiTheme="minorEastAsia" w:hint="eastAsia"/>
        </w:rPr>
        <w:t>转换转入</w:t>
      </w:r>
      <w:r w:rsidR="00A460DF" w:rsidRPr="007E238B">
        <w:rPr>
          <w:rFonts w:asciiTheme="minorEastAsia" w:hAnsiTheme="minorEastAsia" w:hint="eastAsia"/>
        </w:rPr>
        <w:t>，下同）</w:t>
      </w:r>
      <w:r w:rsidR="00A460DF" w:rsidRPr="00682BED">
        <w:rPr>
          <w:rFonts w:asciiTheme="minorEastAsia" w:hAnsiTheme="minorEastAsia" w:hint="eastAsia"/>
        </w:rPr>
        <w:t>和赎回</w:t>
      </w:r>
      <w:r w:rsidR="00A460DF" w:rsidRPr="007E238B">
        <w:rPr>
          <w:rFonts w:asciiTheme="minorEastAsia" w:hAnsiTheme="minorEastAsia" w:hint="eastAsia"/>
        </w:rPr>
        <w:t>（含转换转出，下同）</w:t>
      </w:r>
      <w:r w:rsidR="00A460DF" w:rsidRPr="00682BED">
        <w:rPr>
          <w:rFonts w:asciiTheme="minorEastAsia" w:hAnsiTheme="minorEastAsia" w:hint="eastAsia"/>
        </w:rPr>
        <w:t>申请</w:t>
      </w:r>
      <w:r w:rsidR="00A460DF" w:rsidRPr="00EB6795">
        <w:rPr>
          <w:rFonts w:asciiTheme="minorEastAsia" w:hAnsiTheme="minorEastAsia" w:hint="eastAsia"/>
        </w:rPr>
        <w:t>全部确认后，基金的总规模不超过</w:t>
      </w:r>
      <w:r w:rsidR="00A460DF">
        <w:rPr>
          <w:rFonts w:asciiTheme="minorEastAsia" w:hAnsiTheme="minorEastAsia"/>
        </w:rPr>
        <w:t>5</w:t>
      </w:r>
      <w:r w:rsidR="00A460DF" w:rsidRPr="00EB6795">
        <w:rPr>
          <w:rFonts w:asciiTheme="minorEastAsia" w:hAnsiTheme="minorEastAsia" w:hint="eastAsia"/>
        </w:rPr>
        <w:t>亿</w:t>
      </w:r>
      <w:r w:rsidR="00A460DF">
        <w:rPr>
          <w:rFonts w:asciiTheme="minorEastAsia" w:hAnsiTheme="minorEastAsia" w:hint="eastAsia"/>
        </w:rPr>
        <w:t>份</w:t>
      </w:r>
      <w:r w:rsidR="00A460DF" w:rsidRPr="00B17C72">
        <w:rPr>
          <w:rFonts w:asciiTheme="minorEastAsia" w:hAnsiTheme="minorEastAsia" w:hint="eastAsia"/>
        </w:rPr>
        <w:t>（含</w:t>
      </w:r>
      <w:r w:rsidR="00A460DF">
        <w:rPr>
          <w:rFonts w:asciiTheme="minorEastAsia" w:hAnsiTheme="minorEastAsia"/>
        </w:rPr>
        <w:t>5</w:t>
      </w:r>
      <w:r w:rsidR="00A460DF" w:rsidRPr="00B17C72">
        <w:rPr>
          <w:rFonts w:asciiTheme="minorEastAsia" w:hAnsiTheme="minorEastAsia" w:hint="eastAsia"/>
        </w:rPr>
        <w:t>亿</w:t>
      </w:r>
      <w:r w:rsidR="00A460DF">
        <w:rPr>
          <w:rFonts w:asciiTheme="minorEastAsia" w:hAnsiTheme="minorEastAsia" w:hint="eastAsia"/>
        </w:rPr>
        <w:t>份</w:t>
      </w:r>
      <w:r w:rsidR="00A460DF" w:rsidRPr="00B17C72">
        <w:rPr>
          <w:rFonts w:asciiTheme="minorEastAsia" w:hAnsiTheme="minorEastAsia" w:hint="eastAsia"/>
        </w:rPr>
        <w:t>）</w:t>
      </w:r>
      <w:r w:rsidR="00A460DF" w:rsidRPr="00EB6795">
        <w:rPr>
          <w:rFonts w:asciiTheme="minorEastAsia" w:hAnsiTheme="minorEastAsia" w:hint="eastAsia"/>
        </w:rPr>
        <w:t>，则对</w:t>
      </w:r>
      <w:r w:rsidR="00A460DF">
        <w:rPr>
          <w:rFonts w:asciiTheme="minorEastAsia" w:hAnsiTheme="minorEastAsia" w:hint="eastAsia"/>
        </w:rPr>
        <w:t>T日</w:t>
      </w:r>
      <w:r w:rsidR="00A460DF" w:rsidRPr="00EB6795">
        <w:rPr>
          <w:rFonts w:asciiTheme="minorEastAsia" w:hAnsiTheme="minorEastAsia" w:hint="eastAsia"/>
        </w:rPr>
        <w:t>的有效申购申请全部予以确认。</w:t>
      </w:r>
    </w:p>
    <w:p w:rsidR="00EB6795" w:rsidRPr="00EB6795" w:rsidRDefault="00A460DF" w:rsidP="00A460DF">
      <w:pPr>
        <w:adjustRightInd w:val="0"/>
        <w:snapToGrid w:val="0"/>
        <w:spacing w:line="360" w:lineRule="auto"/>
        <w:ind w:firstLineChars="200" w:firstLine="420"/>
        <w:rPr>
          <w:rFonts w:asciiTheme="minorEastAsia" w:hAnsiTheme="minorEastAsia"/>
        </w:rPr>
      </w:pPr>
      <w:r w:rsidRPr="00EB6795">
        <w:rPr>
          <w:rFonts w:asciiTheme="minorEastAsia" w:hAnsiTheme="minorEastAsia" w:hint="eastAsia"/>
        </w:rPr>
        <w:t>若T日</w:t>
      </w:r>
      <w:r w:rsidRPr="00B40FD5">
        <w:rPr>
          <w:rFonts w:asciiTheme="minorEastAsia" w:hAnsiTheme="minorEastAsia" w:hint="eastAsia"/>
        </w:rPr>
        <w:t>的各类基金份额有效申购和赎回申请全部确认后，基金的总规模超过</w:t>
      </w:r>
      <w:r w:rsidRPr="00B40FD5">
        <w:rPr>
          <w:rFonts w:asciiTheme="minorEastAsia" w:hAnsiTheme="minorEastAsia"/>
        </w:rPr>
        <w:t>5</w:t>
      </w:r>
      <w:r w:rsidRPr="00B40FD5">
        <w:rPr>
          <w:rFonts w:asciiTheme="minorEastAsia" w:hAnsiTheme="minorEastAsia" w:hint="eastAsia"/>
        </w:rPr>
        <w:t>亿份，将对T日有效申购申请采用“</w:t>
      </w:r>
      <w:r w:rsidR="00C455DD" w:rsidRPr="00B40FD5">
        <w:rPr>
          <w:rFonts w:asciiTheme="minorEastAsia" w:hAnsiTheme="minorEastAsia" w:hint="eastAsia"/>
        </w:rPr>
        <w:t>比例确认</w:t>
      </w:r>
      <w:r w:rsidRPr="00B40FD5">
        <w:rPr>
          <w:rFonts w:asciiTheme="minorEastAsia" w:hAnsiTheme="minorEastAsia" w:hint="eastAsia"/>
        </w:rPr>
        <w:t>”的原则给予部分确认，未确认部分的申购款项将</w:t>
      </w:r>
      <w:r w:rsidR="00A03B4B" w:rsidRPr="00B40FD5">
        <w:rPr>
          <w:rFonts w:asciiTheme="minorEastAsia" w:hAnsiTheme="minorEastAsia" w:hint="eastAsia"/>
        </w:rPr>
        <w:t>依据</w:t>
      </w:r>
      <w:r w:rsidRPr="00B40FD5">
        <w:rPr>
          <w:rFonts w:asciiTheme="minorEastAsia" w:hAnsiTheme="minorEastAsia" w:hint="eastAsia"/>
        </w:rPr>
        <w:t>业务规则退还给投资者，由此产生的利息等损失由投资者自行承担，请投资者留意资金到账情况。因计算精度等原因，最终确认的本基金总规模可能会略微超过或低于</w:t>
      </w:r>
      <w:r w:rsidRPr="00B40FD5">
        <w:rPr>
          <w:rFonts w:asciiTheme="minorEastAsia" w:hAnsiTheme="minorEastAsia"/>
        </w:rPr>
        <w:t>5亿份，最终申购申请确认结果以本基金登记机构计算并确认的结果为准</w:t>
      </w:r>
      <w:r w:rsidRPr="00B40FD5">
        <w:rPr>
          <w:rFonts w:asciiTheme="minorEastAsia" w:hAnsiTheme="minorEastAsia" w:hint="eastAsia"/>
        </w:rPr>
        <w:t>。</w:t>
      </w:r>
      <w:r w:rsidRPr="00B40FD5">
        <w:rPr>
          <w:rFonts w:asciiTheme="minorEastAsia" w:hAnsiTheme="minorEastAsia"/>
        </w:rPr>
        <w:cr/>
        <w:t xml:space="preserve">    </w:t>
      </w:r>
      <w:r w:rsidRPr="00B40FD5">
        <w:t>因控制基金总份额上限，基金管理人有权拒绝投资者</w:t>
      </w:r>
      <w:r>
        <w:t>全部或部分交易申请或进行比例确认，具体以本基金登记机构确认为准。</w:t>
      </w:r>
    </w:p>
    <w:p w:rsidR="00EB6795" w:rsidRPr="00EB6795" w:rsidRDefault="00C455DD" w:rsidP="00EB6795">
      <w:pPr>
        <w:adjustRightInd w:val="0"/>
        <w:snapToGrid w:val="0"/>
        <w:spacing w:line="360" w:lineRule="auto"/>
        <w:ind w:firstLineChars="200" w:firstLine="420"/>
        <w:rPr>
          <w:rFonts w:asciiTheme="minorEastAsia" w:hAnsiTheme="minorEastAsia"/>
        </w:rPr>
      </w:pPr>
      <w:r>
        <w:rPr>
          <w:rFonts w:asciiTheme="minorEastAsia" w:hAnsiTheme="minorEastAsia"/>
        </w:rPr>
        <w:t>4</w:t>
      </w:r>
      <w:r w:rsidR="00EB6795" w:rsidRPr="00EB6795">
        <w:rPr>
          <w:rFonts w:asciiTheme="minorEastAsia" w:hAnsiTheme="minorEastAsia" w:hint="eastAsia"/>
        </w:rPr>
        <w:t>、申购申请确认比例的计算方法如下：</w:t>
      </w:r>
    </w:p>
    <w:p w:rsidR="00662C45" w:rsidRPr="00662C45" w:rsidRDefault="00662C45" w:rsidP="00662C45">
      <w:pPr>
        <w:adjustRightInd w:val="0"/>
        <w:snapToGrid w:val="0"/>
        <w:spacing w:line="360" w:lineRule="auto"/>
        <w:ind w:firstLineChars="200" w:firstLine="420"/>
        <w:rPr>
          <w:rFonts w:asciiTheme="minorEastAsia" w:hAnsiTheme="minorEastAsia"/>
        </w:rPr>
      </w:pPr>
      <w:r w:rsidRPr="00662C45">
        <w:rPr>
          <w:rFonts w:asciiTheme="minorEastAsia" w:hAnsiTheme="minorEastAsia" w:hint="eastAsia"/>
        </w:rPr>
        <w:t>T日申购申请确认比例 = Max（0，5亿份－T日各类基金份额总和+T日各类基金份额有效赎回申请的确认份额（如有））/∑（T日各类基金份额的有效申购申请金额/T日对应类别基金份额的单位净值）</w:t>
      </w:r>
    </w:p>
    <w:p w:rsidR="00662C45" w:rsidRPr="00662C45" w:rsidRDefault="00662C45" w:rsidP="00662C45">
      <w:pPr>
        <w:adjustRightInd w:val="0"/>
        <w:snapToGrid w:val="0"/>
        <w:spacing w:line="360" w:lineRule="auto"/>
        <w:ind w:firstLineChars="200" w:firstLine="420"/>
        <w:rPr>
          <w:rFonts w:asciiTheme="minorEastAsia" w:hAnsiTheme="minorEastAsia"/>
        </w:rPr>
      </w:pPr>
      <w:r w:rsidRPr="00662C45">
        <w:rPr>
          <w:rFonts w:asciiTheme="minorEastAsia" w:hAnsiTheme="minorEastAsia" w:hint="eastAsia"/>
        </w:rPr>
        <w:t>投资者申购申请确认金额=投资者T日提交的有效申购申请金额×T日申购申请确认比例</w:t>
      </w:r>
    </w:p>
    <w:p w:rsidR="00662C45" w:rsidRPr="00662C45" w:rsidRDefault="00662C45" w:rsidP="00662C45">
      <w:pPr>
        <w:adjustRightInd w:val="0"/>
        <w:snapToGrid w:val="0"/>
        <w:spacing w:line="360" w:lineRule="auto"/>
        <w:ind w:firstLineChars="200" w:firstLine="420"/>
        <w:rPr>
          <w:rFonts w:asciiTheme="minorEastAsia" w:hAnsiTheme="minorEastAsia"/>
        </w:rPr>
      </w:pPr>
      <w:r w:rsidRPr="00662C45">
        <w:rPr>
          <w:rFonts w:asciiTheme="minorEastAsia" w:hAnsiTheme="minorEastAsia" w:hint="eastAsia"/>
        </w:rPr>
        <w:t>注：确认金额的计算结果</w:t>
      </w:r>
      <w:r w:rsidR="00CD2614" w:rsidRPr="00D972CF">
        <w:rPr>
          <w:rFonts w:asciiTheme="minorEastAsia" w:hAnsiTheme="minorEastAsia" w:hint="eastAsia"/>
        </w:rPr>
        <w:t>按舍去尾数</w:t>
      </w:r>
      <w:r w:rsidRPr="00662C45">
        <w:rPr>
          <w:rFonts w:asciiTheme="minorEastAsia" w:hAnsiTheme="minorEastAsia" w:hint="eastAsia"/>
        </w:rPr>
        <w:t>的方法保留到小数点后两位。</w:t>
      </w:r>
    </w:p>
    <w:p w:rsidR="00662C45" w:rsidRPr="00662C45" w:rsidRDefault="00662C45" w:rsidP="00662C45">
      <w:pPr>
        <w:adjustRightInd w:val="0"/>
        <w:snapToGrid w:val="0"/>
        <w:spacing w:line="360" w:lineRule="auto"/>
        <w:ind w:firstLineChars="200" w:firstLine="420"/>
        <w:rPr>
          <w:rFonts w:asciiTheme="minorEastAsia" w:hAnsiTheme="minorEastAsia"/>
        </w:rPr>
      </w:pPr>
      <w:r w:rsidRPr="00662C45">
        <w:rPr>
          <w:rFonts w:asciiTheme="minorEastAsia" w:hAnsiTheme="minorEastAsia" w:hint="eastAsia"/>
        </w:rPr>
        <w:t>T日提交的有效申购申请，计算申购费用适用的申购费率为比例确认后的确认金额所对应的申购费率。该部分申购申请确认金额不受申购最低限额的限制。</w:t>
      </w:r>
    </w:p>
    <w:p w:rsidR="00EB6795" w:rsidRPr="00EB6795" w:rsidRDefault="00662C45" w:rsidP="00662C45">
      <w:pPr>
        <w:adjustRightInd w:val="0"/>
        <w:snapToGrid w:val="0"/>
        <w:spacing w:line="360" w:lineRule="auto"/>
        <w:ind w:firstLineChars="200" w:firstLine="420"/>
        <w:rPr>
          <w:rFonts w:asciiTheme="minorEastAsia" w:hAnsiTheme="minorEastAsia"/>
        </w:rPr>
      </w:pPr>
      <w:r>
        <w:rPr>
          <w:rFonts w:asciiTheme="minorEastAsia" w:hAnsiTheme="minorEastAsia" w:hint="eastAsia"/>
        </w:rPr>
        <w:t>最终申购申请确认结果以本基金登记机构计算并确认的结果为准</w:t>
      </w:r>
      <w:r w:rsidR="00912848" w:rsidRPr="00912848">
        <w:rPr>
          <w:rFonts w:asciiTheme="minorEastAsia" w:hAnsiTheme="minorEastAsia" w:hint="eastAsia"/>
        </w:rPr>
        <w:t>。</w:t>
      </w:r>
      <w:r w:rsidR="00A460DF" w:rsidRPr="00A460DF">
        <w:rPr>
          <w:rFonts w:asciiTheme="minorEastAsia" w:hAnsiTheme="minorEastAsia" w:hint="eastAsia"/>
        </w:rPr>
        <w:t>对于每日确认比例，本基金管理人不再另行公告</w:t>
      </w:r>
      <w:r w:rsidR="00B40FD5">
        <w:rPr>
          <w:rFonts w:asciiTheme="minorEastAsia" w:hAnsiTheme="minorEastAsia" w:hint="eastAsia"/>
        </w:rPr>
        <w:t>，投资者可通过本公司网站了解本基金确认比例信息</w:t>
      </w:r>
      <w:r w:rsidR="00A460DF" w:rsidRPr="00A460DF">
        <w:rPr>
          <w:rFonts w:asciiTheme="minorEastAsia" w:hAnsiTheme="minorEastAsia" w:hint="eastAsia"/>
        </w:rPr>
        <w:t>。</w:t>
      </w:r>
    </w:p>
    <w:p w:rsidR="00891FEB" w:rsidRDefault="00891FEB" w:rsidP="00EB6795">
      <w:pPr>
        <w:adjustRightInd w:val="0"/>
        <w:snapToGrid w:val="0"/>
        <w:spacing w:line="360" w:lineRule="auto"/>
        <w:ind w:firstLineChars="200" w:firstLine="420"/>
        <w:rPr>
          <w:rFonts w:asciiTheme="minorEastAsia" w:hAnsiTheme="minorEastAsia"/>
        </w:rPr>
      </w:pPr>
      <w:r>
        <w:rPr>
          <w:rFonts w:asciiTheme="minorEastAsia" w:hAnsiTheme="minorEastAsia" w:hint="eastAsia"/>
        </w:rPr>
        <w:t>本基金</w:t>
      </w:r>
      <w:r w:rsidR="002C58A2">
        <w:rPr>
          <w:rFonts w:asciiTheme="minorEastAsia" w:hAnsiTheme="minorEastAsia" w:hint="eastAsia"/>
        </w:rPr>
        <w:t>之前的</w:t>
      </w:r>
      <w:r>
        <w:rPr>
          <w:rFonts w:asciiTheme="minorEastAsia" w:hAnsiTheme="minorEastAsia" w:hint="eastAsia"/>
        </w:rPr>
        <w:t>规模控制方案</w:t>
      </w:r>
      <w:r w:rsidR="002C58A2">
        <w:rPr>
          <w:rFonts w:asciiTheme="minorEastAsia" w:hAnsiTheme="minorEastAsia" w:hint="eastAsia"/>
        </w:rPr>
        <w:t>与</w:t>
      </w:r>
      <w:r>
        <w:rPr>
          <w:rFonts w:asciiTheme="minorEastAsia" w:hAnsiTheme="minorEastAsia" w:hint="eastAsia"/>
        </w:rPr>
        <w:t>本公告</w:t>
      </w:r>
      <w:r w:rsidR="002C58A2">
        <w:rPr>
          <w:rFonts w:asciiTheme="minorEastAsia" w:hAnsiTheme="minorEastAsia" w:hint="eastAsia"/>
        </w:rPr>
        <w:t>不一致的，以本公告为准。</w:t>
      </w:r>
      <w:r>
        <w:t>基金管理人未来可根据基金运作情况对本基金的规模控制</w:t>
      </w:r>
      <w:r>
        <w:rPr>
          <w:rFonts w:hint="eastAsia"/>
        </w:rPr>
        <w:t>方案</w:t>
      </w:r>
      <w:r w:rsidR="002C58A2">
        <w:t>进行调整，具体以</w:t>
      </w:r>
      <w:r>
        <w:t>届时发布的相关公告为准。</w:t>
      </w:r>
    </w:p>
    <w:p w:rsidR="00EB6795" w:rsidRPr="00EB6795" w:rsidRDefault="00EB6795" w:rsidP="00EB6795">
      <w:pPr>
        <w:adjustRightInd w:val="0"/>
        <w:snapToGrid w:val="0"/>
        <w:spacing w:line="360" w:lineRule="auto"/>
        <w:ind w:firstLineChars="200" w:firstLine="420"/>
        <w:rPr>
          <w:rFonts w:asciiTheme="minorEastAsia" w:hAnsiTheme="minorEastAsia"/>
        </w:rPr>
      </w:pPr>
      <w:r w:rsidRPr="00EB6795">
        <w:rPr>
          <w:rFonts w:asciiTheme="minorEastAsia" w:hAnsiTheme="minorEastAsia" w:hint="eastAsia"/>
        </w:rPr>
        <w:t>投资者可以</w:t>
      </w:r>
      <w:r w:rsidR="006D16FC">
        <w:rPr>
          <w:rFonts w:asciiTheme="minorEastAsia" w:hAnsiTheme="minorEastAsia" w:hint="eastAsia"/>
        </w:rPr>
        <w:t>访问本</w:t>
      </w:r>
      <w:r w:rsidRPr="00EB6795">
        <w:rPr>
          <w:rFonts w:asciiTheme="minorEastAsia" w:hAnsiTheme="minorEastAsia" w:hint="eastAsia"/>
        </w:rPr>
        <w:t>公司网站</w:t>
      </w:r>
      <w:r w:rsidR="006D16FC">
        <w:rPr>
          <w:rFonts w:asciiTheme="minorEastAsia" w:hAnsiTheme="minorEastAsia" w:hint="eastAsia"/>
        </w:rPr>
        <w:t>（</w:t>
      </w:r>
      <w:r w:rsidR="00E8457D" w:rsidRPr="00E8457D">
        <w:rPr>
          <w:rFonts w:asciiTheme="minorEastAsia" w:hAnsiTheme="minorEastAsia"/>
        </w:rPr>
        <w:t>www.cmfchina.com</w:t>
      </w:r>
      <w:r w:rsidR="006D16FC">
        <w:rPr>
          <w:rFonts w:asciiTheme="minorEastAsia" w:hAnsiTheme="minorEastAsia" w:hint="eastAsia"/>
        </w:rPr>
        <w:t>）</w:t>
      </w:r>
      <w:r w:rsidRPr="00EB6795">
        <w:rPr>
          <w:rFonts w:asciiTheme="minorEastAsia" w:hAnsiTheme="minorEastAsia" w:hint="eastAsia"/>
        </w:rPr>
        <w:t>或拨打</w:t>
      </w:r>
      <w:r w:rsidR="00E8457D" w:rsidRPr="00E8457D">
        <w:rPr>
          <w:rFonts w:asciiTheme="minorEastAsia" w:hAnsiTheme="minorEastAsia" w:hint="eastAsia"/>
        </w:rPr>
        <w:t>本公司的客户服务电话</w:t>
      </w:r>
      <w:r w:rsidR="00E8457D" w:rsidRPr="00E8457D">
        <w:rPr>
          <w:rFonts w:asciiTheme="minorEastAsia" w:hAnsiTheme="minorEastAsia" w:hint="eastAsia"/>
        </w:rPr>
        <w:lastRenderedPageBreak/>
        <w:t>（400-887-9555（免长途费））</w:t>
      </w:r>
      <w:r w:rsidRPr="00EB6795">
        <w:rPr>
          <w:rFonts w:asciiTheme="minorEastAsia" w:hAnsiTheme="minorEastAsia" w:hint="eastAsia"/>
        </w:rPr>
        <w:t>进行相关咨询。</w:t>
      </w:r>
    </w:p>
    <w:p w:rsidR="00872AA9" w:rsidRDefault="00872AA9" w:rsidP="00EB6795">
      <w:pPr>
        <w:adjustRightInd w:val="0"/>
        <w:snapToGrid w:val="0"/>
        <w:spacing w:line="360" w:lineRule="auto"/>
        <w:ind w:firstLineChars="200" w:firstLine="420"/>
        <w:rPr>
          <w:rFonts w:asciiTheme="minorEastAsia" w:hAnsiTheme="minorEastAsia"/>
        </w:rPr>
      </w:pPr>
    </w:p>
    <w:p w:rsidR="00EB6795" w:rsidRDefault="00EB6795" w:rsidP="00EB6795">
      <w:pPr>
        <w:adjustRightInd w:val="0"/>
        <w:snapToGrid w:val="0"/>
        <w:spacing w:line="360" w:lineRule="auto"/>
        <w:ind w:firstLineChars="200" w:firstLine="420"/>
        <w:rPr>
          <w:rFonts w:asciiTheme="minorEastAsia" w:hAnsiTheme="minorEastAsia"/>
        </w:rPr>
      </w:pPr>
      <w:r w:rsidRPr="00EB6795">
        <w:rPr>
          <w:rFonts w:asciiTheme="minorEastAsia" w:hAnsiTheme="minorEastAsia" w:hint="eastAsia"/>
        </w:rPr>
        <w:t>风险提示：基金管理人承诺以诚实信用、勤勉尽责的原则管理和运用基金资产，但不保证基金一定盈利，也不保证最低收益。</w:t>
      </w:r>
      <w:r w:rsidR="00E8457D" w:rsidRPr="00E8457D">
        <w:rPr>
          <w:rFonts w:asciiTheme="minorEastAsia" w:hAnsiTheme="minorEastAsia" w:hint="eastAsia"/>
        </w:rPr>
        <w:t>投资者投资于本公司上述基金时应认真阅读相关基金基金合同、招募说明书（更新）、基金产品资料概要（更新）等文件，并根据自身风险承受能力选择适合自己的基金产品。</w:t>
      </w:r>
      <w:r w:rsidR="00A460DF" w:rsidRPr="00E8457D">
        <w:rPr>
          <w:rFonts w:asciiTheme="minorEastAsia" w:hAnsiTheme="minorEastAsia" w:hint="eastAsia"/>
        </w:rPr>
        <w:t>因本基金每日规模和赎回</w:t>
      </w:r>
      <w:r w:rsidR="00CF493F">
        <w:rPr>
          <w:rFonts w:asciiTheme="minorEastAsia" w:hAnsiTheme="minorEastAsia" w:hint="eastAsia"/>
        </w:rPr>
        <w:t>情况</w:t>
      </w:r>
      <w:r w:rsidR="00A460DF" w:rsidRPr="00E8457D">
        <w:rPr>
          <w:rFonts w:asciiTheme="minorEastAsia" w:hAnsiTheme="minorEastAsia" w:hint="eastAsia"/>
        </w:rPr>
        <w:t>不同，每个开放日的可申购额度以及投资者申购申请确认比例可能存在较大不确定性，不同开放日的申购申请确认比例也可能存在较大差异。</w:t>
      </w:r>
      <w:r w:rsidR="00E8457D" w:rsidRPr="00E8457D">
        <w:rPr>
          <w:rFonts w:asciiTheme="minorEastAsia" w:hAnsiTheme="minorEastAsia" w:hint="eastAsia"/>
        </w:rPr>
        <w:t>敬请投资者注意投资风险</w:t>
      </w:r>
      <w:r w:rsidRPr="00EB6795">
        <w:rPr>
          <w:rFonts w:asciiTheme="minorEastAsia" w:hAnsiTheme="minorEastAsia" w:hint="eastAsia"/>
        </w:rPr>
        <w:t>。</w:t>
      </w:r>
    </w:p>
    <w:p w:rsidR="00C443DA" w:rsidRDefault="00C443DA" w:rsidP="00EB6795">
      <w:pPr>
        <w:adjustRightInd w:val="0"/>
        <w:snapToGrid w:val="0"/>
        <w:spacing w:line="360" w:lineRule="auto"/>
        <w:ind w:firstLineChars="200" w:firstLine="420"/>
        <w:rPr>
          <w:rFonts w:asciiTheme="minorEastAsia" w:hAnsiTheme="minorEastAsia"/>
        </w:rPr>
      </w:pPr>
    </w:p>
    <w:p w:rsidR="00C443DA" w:rsidRPr="00EB6795" w:rsidRDefault="00C443DA" w:rsidP="00EB6795">
      <w:pPr>
        <w:adjustRightInd w:val="0"/>
        <w:snapToGrid w:val="0"/>
        <w:spacing w:line="360" w:lineRule="auto"/>
        <w:ind w:firstLineChars="200" w:firstLine="420"/>
        <w:rPr>
          <w:rFonts w:asciiTheme="minorEastAsia" w:hAnsiTheme="minorEastAsia"/>
        </w:rPr>
      </w:pPr>
    </w:p>
    <w:p w:rsidR="00EB6795" w:rsidRPr="00EB6795" w:rsidRDefault="00E8457D" w:rsidP="00E8457D">
      <w:pPr>
        <w:adjustRightInd w:val="0"/>
        <w:snapToGrid w:val="0"/>
        <w:spacing w:line="360" w:lineRule="auto"/>
        <w:ind w:firstLineChars="200" w:firstLine="420"/>
        <w:jc w:val="right"/>
        <w:rPr>
          <w:rFonts w:asciiTheme="minorEastAsia" w:hAnsiTheme="minorEastAsia"/>
        </w:rPr>
      </w:pPr>
      <w:r>
        <w:rPr>
          <w:rFonts w:asciiTheme="minorEastAsia" w:hAnsiTheme="minorEastAsia" w:hint="eastAsia"/>
        </w:rPr>
        <w:t>招商</w:t>
      </w:r>
      <w:r w:rsidR="00EB6795" w:rsidRPr="00EB6795">
        <w:rPr>
          <w:rFonts w:asciiTheme="minorEastAsia" w:hAnsiTheme="minorEastAsia" w:hint="eastAsia"/>
        </w:rPr>
        <w:t>基金管理有限公司</w:t>
      </w:r>
    </w:p>
    <w:p w:rsidR="00EB6795" w:rsidRPr="00EB6795" w:rsidRDefault="00EB6795" w:rsidP="00E8457D">
      <w:pPr>
        <w:adjustRightInd w:val="0"/>
        <w:snapToGrid w:val="0"/>
        <w:spacing w:line="360" w:lineRule="auto"/>
        <w:ind w:firstLineChars="200" w:firstLine="420"/>
        <w:jc w:val="right"/>
        <w:rPr>
          <w:rFonts w:asciiTheme="minorEastAsia" w:hAnsiTheme="minorEastAsia"/>
        </w:rPr>
      </w:pPr>
      <w:r w:rsidRPr="00EB6795">
        <w:rPr>
          <w:rFonts w:asciiTheme="minorEastAsia" w:hAnsiTheme="minorEastAsia" w:hint="eastAsia"/>
        </w:rPr>
        <w:t>202</w:t>
      </w:r>
      <w:r w:rsidR="00662C45">
        <w:rPr>
          <w:rFonts w:asciiTheme="minorEastAsia" w:hAnsiTheme="minorEastAsia"/>
        </w:rPr>
        <w:t>4</w:t>
      </w:r>
      <w:r w:rsidRPr="00EB6795">
        <w:rPr>
          <w:rFonts w:asciiTheme="minorEastAsia" w:hAnsiTheme="minorEastAsia" w:hint="eastAsia"/>
        </w:rPr>
        <w:t>年</w:t>
      </w:r>
      <w:r w:rsidR="005444A9">
        <w:rPr>
          <w:rFonts w:asciiTheme="minorEastAsia" w:hAnsiTheme="minorEastAsia"/>
        </w:rPr>
        <w:t>11</w:t>
      </w:r>
      <w:r w:rsidRPr="00EB6795">
        <w:rPr>
          <w:rFonts w:asciiTheme="minorEastAsia" w:hAnsiTheme="minorEastAsia" w:hint="eastAsia"/>
        </w:rPr>
        <w:t>月</w:t>
      </w:r>
      <w:r w:rsidR="005444A9">
        <w:rPr>
          <w:rFonts w:asciiTheme="minorEastAsia" w:hAnsiTheme="minorEastAsia"/>
        </w:rPr>
        <w:t>2</w:t>
      </w:r>
      <w:r w:rsidRPr="00EB6795">
        <w:rPr>
          <w:rFonts w:asciiTheme="minorEastAsia" w:hAnsiTheme="minorEastAsia" w:hint="eastAsia"/>
        </w:rPr>
        <w:t>日</w:t>
      </w:r>
    </w:p>
    <w:p w:rsidR="00090830" w:rsidRPr="00EB6795" w:rsidRDefault="00ED5D41" w:rsidP="00EB6795">
      <w:pPr>
        <w:adjustRightInd w:val="0"/>
        <w:snapToGrid w:val="0"/>
        <w:spacing w:line="360" w:lineRule="auto"/>
        <w:ind w:firstLineChars="200" w:firstLine="420"/>
        <w:rPr>
          <w:rFonts w:asciiTheme="minorEastAsia" w:hAnsiTheme="minorEastAsia"/>
          <w:szCs w:val="21"/>
        </w:rPr>
      </w:pPr>
    </w:p>
    <w:sectPr w:rsidR="00090830" w:rsidRPr="00EB6795" w:rsidSect="00735C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971" w:rsidRDefault="00256971" w:rsidP="006D16FC">
      <w:r>
        <w:separator/>
      </w:r>
    </w:p>
  </w:endnote>
  <w:endnote w:type="continuationSeparator" w:id="0">
    <w:p w:rsidR="00256971" w:rsidRDefault="00256971" w:rsidP="006D16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971" w:rsidRDefault="00256971" w:rsidP="006D16FC">
      <w:r>
        <w:separator/>
      </w:r>
    </w:p>
  </w:footnote>
  <w:footnote w:type="continuationSeparator" w:id="0">
    <w:p w:rsidR="00256971" w:rsidRDefault="00256971" w:rsidP="006D16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4000"/>
    <w:rsid w:val="000C1EEB"/>
    <w:rsid w:val="000D2397"/>
    <w:rsid w:val="000E5F28"/>
    <w:rsid w:val="001114DA"/>
    <w:rsid w:val="0011482D"/>
    <w:rsid w:val="0012749C"/>
    <w:rsid w:val="00182BC0"/>
    <w:rsid w:val="002474FB"/>
    <w:rsid w:val="00256971"/>
    <w:rsid w:val="002C58A2"/>
    <w:rsid w:val="003068E9"/>
    <w:rsid w:val="0031533C"/>
    <w:rsid w:val="00343F4B"/>
    <w:rsid w:val="00356C7B"/>
    <w:rsid w:val="00381C57"/>
    <w:rsid w:val="003A289B"/>
    <w:rsid w:val="003A501B"/>
    <w:rsid w:val="003C42D8"/>
    <w:rsid w:val="003D138B"/>
    <w:rsid w:val="003D18BF"/>
    <w:rsid w:val="004019B4"/>
    <w:rsid w:val="00416D79"/>
    <w:rsid w:val="00467CB5"/>
    <w:rsid w:val="004937E9"/>
    <w:rsid w:val="004E0D09"/>
    <w:rsid w:val="004F62A5"/>
    <w:rsid w:val="005064A2"/>
    <w:rsid w:val="00512E13"/>
    <w:rsid w:val="005444A9"/>
    <w:rsid w:val="005D0D7C"/>
    <w:rsid w:val="005D62B8"/>
    <w:rsid w:val="00602C5F"/>
    <w:rsid w:val="0064628A"/>
    <w:rsid w:val="00662C45"/>
    <w:rsid w:val="00675A24"/>
    <w:rsid w:val="006807E2"/>
    <w:rsid w:val="006817AB"/>
    <w:rsid w:val="00696C4D"/>
    <w:rsid w:val="006D16FC"/>
    <w:rsid w:val="00735CE8"/>
    <w:rsid w:val="0077380F"/>
    <w:rsid w:val="00807B42"/>
    <w:rsid w:val="008303C7"/>
    <w:rsid w:val="00872AA9"/>
    <w:rsid w:val="00887F4A"/>
    <w:rsid w:val="00891FEB"/>
    <w:rsid w:val="008A134B"/>
    <w:rsid w:val="008E6EB9"/>
    <w:rsid w:val="00912458"/>
    <w:rsid w:val="00912848"/>
    <w:rsid w:val="00941AD4"/>
    <w:rsid w:val="009655C3"/>
    <w:rsid w:val="009948DD"/>
    <w:rsid w:val="009F61BC"/>
    <w:rsid w:val="00A03B4B"/>
    <w:rsid w:val="00A21E8D"/>
    <w:rsid w:val="00A460DF"/>
    <w:rsid w:val="00AF762E"/>
    <w:rsid w:val="00AF7BE8"/>
    <w:rsid w:val="00B17C72"/>
    <w:rsid w:val="00B275D3"/>
    <w:rsid w:val="00B40FD5"/>
    <w:rsid w:val="00B555C5"/>
    <w:rsid w:val="00B8484E"/>
    <w:rsid w:val="00B928F1"/>
    <w:rsid w:val="00BC13D6"/>
    <w:rsid w:val="00BE2B7C"/>
    <w:rsid w:val="00C13491"/>
    <w:rsid w:val="00C15536"/>
    <w:rsid w:val="00C443DA"/>
    <w:rsid w:val="00C455DD"/>
    <w:rsid w:val="00C549D9"/>
    <w:rsid w:val="00CA689C"/>
    <w:rsid w:val="00CD2614"/>
    <w:rsid w:val="00CF493F"/>
    <w:rsid w:val="00D2265D"/>
    <w:rsid w:val="00DF19D8"/>
    <w:rsid w:val="00E8457D"/>
    <w:rsid w:val="00EB6795"/>
    <w:rsid w:val="00EC5CAB"/>
    <w:rsid w:val="00ED5D41"/>
    <w:rsid w:val="00F24CA5"/>
    <w:rsid w:val="00F35A6E"/>
    <w:rsid w:val="00F6256A"/>
    <w:rsid w:val="00F8767A"/>
    <w:rsid w:val="00FF4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C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795"/>
    <w:pPr>
      <w:widowControl/>
      <w:spacing w:before="100" w:beforeAutospacing="1" w:after="100" w:afterAutospacing="1"/>
      <w:jc w:val="left"/>
    </w:pPr>
    <w:rPr>
      <w:rFonts w:ascii="宋体" w:eastAsia="宋体" w:hAnsi="宋体" w:cs="宋体"/>
      <w:kern w:val="0"/>
      <w:sz w:val="24"/>
      <w:szCs w:val="24"/>
    </w:rPr>
  </w:style>
  <w:style w:type="character" w:styleId="a4">
    <w:name w:val="annotation reference"/>
    <w:basedOn w:val="a0"/>
    <w:uiPriority w:val="99"/>
    <w:semiHidden/>
    <w:unhideWhenUsed/>
    <w:rsid w:val="00F24CA5"/>
    <w:rPr>
      <w:sz w:val="21"/>
      <w:szCs w:val="21"/>
    </w:rPr>
  </w:style>
  <w:style w:type="paragraph" w:styleId="a5">
    <w:name w:val="annotation text"/>
    <w:basedOn w:val="a"/>
    <w:link w:val="Char"/>
    <w:uiPriority w:val="99"/>
    <w:semiHidden/>
    <w:unhideWhenUsed/>
    <w:rsid w:val="00F24CA5"/>
    <w:pPr>
      <w:jc w:val="left"/>
    </w:pPr>
  </w:style>
  <w:style w:type="character" w:customStyle="1" w:styleId="Char">
    <w:name w:val="批注文字 Char"/>
    <w:basedOn w:val="a0"/>
    <w:link w:val="a5"/>
    <w:uiPriority w:val="99"/>
    <w:semiHidden/>
    <w:rsid w:val="00F24CA5"/>
  </w:style>
  <w:style w:type="paragraph" w:styleId="a6">
    <w:name w:val="annotation subject"/>
    <w:basedOn w:val="a5"/>
    <w:next w:val="a5"/>
    <w:link w:val="Char0"/>
    <w:uiPriority w:val="99"/>
    <w:semiHidden/>
    <w:unhideWhenUsed/>
    <w:rsid w:val="00F24CA5"/>
    <w:rPr>
      <w:b/>
      <w:bCs/>
    </w:rPr>
  </w:style>
  <w:style w:type="character" w:customStyle="1" w:styleId="Char0">
    <w:name w:val="批注主题 Char"/>
    <w:basedOn w:val="Char"/>
    <w:link w:val="a6"/>
    <w:uiPriority w:val="99"/>
    <w:semiHidden/>
    <w:rsid w:val="00F24CA5"/>
    <w:rPr>
      <w:b/>
      <w:bCs/>
    </w:rPr>
  </w:style>
  <w:style w:type="paragraph" w:styleId="a7">
    <w:name w:val="Balloon Text"/>
    <w:basedOn w:val="a"/>
    <w:link w:val="Char1"/>
    <w:uiPriority w:val="99"/>
    <w:semiHidden/>
    <w:unhideWhenUsed/>
    <w:rsid w:val="00F24CA5"/>
    <w:rPr>
      <w:sz w:val="18"/>
      <w:szCs w:val="18"/>
    </w:rPr>
  </w:style>
  <w:style w:type="character" w:customStyle="1" w:styleId="Char1">
    <w:name w:val="批注框文本 Char"/>
    <w:basedOn w:val="a0"/>
    <w:link w:val="a7"/>
    <w:uiPriority w:val="99"/>
    <w:semiHidden/>
    <w:rsid w:val="00F24CA5"/>
    <w:rPr>
      <w:sz w:val="18"/>
      <w:szCs w:val="18"/>
    </w:rPr>
  </w:style>
  <w:style w:type="paragraph" w:styleId="a8">
    <w:name w:val="header"/>
    <w:basedOn w:val="a"/>
    <w:link w:val="Char2"/>
    <w:uiPriority w:val="99"/>
    <w:unhideWhenUsed/>
    <w:rsid w:val="006D16F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6D16FC"/>
    <w:rPr>
      <w:sz w:val="18"/>
      <w:szCs w:val="18"/>
    </w:rPr>
  </w:style>
  <w:style w:type="paragraph" w:styleId="a9">
    <w:name w:val="footer"/>
    <w:basedOn w:val="a"/>
    <w:link w:val="Char3"/>
    <w:uiPriority w:val="99"/>
    <w:unhideWhenUsed/>
    <w:rsid w:val="006D16FC"/>
    <w:pPr>
      <w:tabs>
        <w:tab w:val="center" w:pos="4153"/>
        <w:tab w:val="right" w:pos="8306"/>
      </w:tabs>
      <w:snapToGrid w:val="0"/>
      <w:jc w:val="left"/>
    </w:pPr>
    <w:rPr>
      <w:sz w:val="18"/>
      <w:szCs w:val="18"/>
    </w:rPr>
  </w:style>
  <w:style w:type="character" w:customStyle="1" w:styleId="Char3">
    <w:name w:val="页脚 Char"/>
    <w:basedOn w:val="a0"/>
    <w:link w:val="a9"/>
    <w:uiPriority w:val="99"/>
    <w:rsid w:val="006D16FC"/>
    <w:rPr>
      <w:sz w:val="18"/>
      <w:szCs w:val="18"/>
    </w:rPr>
  </w:style>
</w:styles>
</file>

<file path=word/webSettings.xml><?xml version="1.0" encoding="utf-8"?>
<w:webSettings xmlns:r="http://schemas.openxmlformats.org/officeDocument/2006/relationships" xmlns:w="http://schemas.openxmlformats.org/wordprocessingml/2006/main">
  <w:divs>
    <w:div w:id="7846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1115</Characters>
  <Application>Microsoft Office Word</Application>
  <DocSecurity>4</DocSecurity>
  <Lines>9</Lines>
  <Paragraphs>2</Paragraphs>
  <ScaleCrop>false</ScaleCrop>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冯迪20220520</dc:creator>
  <cp:keywords/>
  <dc:description/>
  <cp:lastModifiedBy>ZHONGM</cp:lastModifiedBy>
  <cp:revision>2</cp:revision>
  <dcterms:created xsi:type="dcterms:W3CDTF">2024-11-01T16:01:00Z</dcterms:created>
  <dcterms:modified xsi:type="dcterms:W3CDTF">2024-11-01T16:01:00Z</dcterms:modified>
</cp:coreProperties>
</file>