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63" w:rsidRPr="00A770D6" w:rsidRDefault="000B107C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/>
          <w:sz w:val="28"/>
        </w:rPr>
      </w:pPr>
      <w:r w:rsidRPr="00A770D6">
        <w:rPr>
          <w:rFonts w:ascii="宋体" w:eastAsia="宋体" w:hAnsi="宋体" w:cs="微软雅黑"/>
          <w:b/>
          <w:bCs/>
          <w:color w:val="333333"/>
          <w:sz w:val="28"/>
        </w:rPr>
        <w:t>鹏华基金管理有限公司旗下部分基金改聘会计师事务所的公告</w:t>
      </w:r>
    </w:p>
    <w:p w:rsidR="00EB1363" w:rsidRDefault="000B107C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 w:cs="微软雅黑"/>
          <w:b/>
          <w:bCs/>
          <w:color w:val="333333"/>
          <w:sz w:val="28"/>
        </w:rPr>
      </w:pPr>
      <w:r w:rsidRPr="00A770D6">
        <w:rPr>
          <w:rFonts w:ascii="宋体" w:eastAsia="宋体" w:hAnsi="宋体" w:cs="微软雅黑"/>
          <w:b/>
          <w:bCs/>
          <w:color w:val="333333"/>
          <w:sz w:val="28"/>
        </w:rPr>
        <w:t>公告送出日期：</w:t>
      </w:r>
      <w:r w:rsidR="0092565D">
        <w:rPr>
          <w:rFonts w:ascii="宋体" w:eastAsia="宋体" w:hAnsi="宋体" w:cs="微软雅黑"/>
          <w:b/>
          <w:bCs/>
          <w:color w:val="333333"/>
          <w:sz w:val="28"/>
        </w:rPr>
        <w:t>2024年11月</w:t>
      </w:r>
      <w:r w:rsidRPr="00A770D6">
        <w:rPr>
          <w:rFonts w:ascii="宋体" w:eastAsia="宋体" w:hAnsi="宋体" w:cs="微软雅黑"/>
          <w:b/>
          <w:bCs/>
          <w:color w:val="333333"/>
          <w:sz w:val="28"/>
        </w:rPr>
        <w:t>02</w:t>
      </w:r>
      <w:r w:rsidR="0092565D">
        <w:rPr>
          <w:rFonts w:ascii="宋体" w:eastAsia="宋体" w:hAnsi="宋体" w:cs="微软雅黑"/>
          <w:b/>
          <w:bCs/>
          <w:color w:val="333333"/>
          <w:sz w:val="28"/>
        </w:rPr>
        <w:t>日</w:t>
      </w:r>
    </w:p>
    <w:p w:rsidR="00EF071A" w:rsidRPr="00EF071A" w:rsidRDefault="00EF071A">
      <w:pPr>
        <w:shd w:val="clear" w:color="auto" w:fill="FFFFFF"/>
        <w:spacing w:line="420" w:lineRule="atLeast"/>
        <w:ind w:firstLine="420"/>
        <w:jc w:val="center"/>
        <w:rPr>
          <w:rFonts w:ascii="宋体" w:eastAsia="宋体" w:hAnsi="宋体"/>
          <w:sz w:val="28"/>
        </w:rPr>
      </w:pPr>
      <w:bookmarkStart w:id="0" w:name="_GoBack"/>
      <w:bookmarkEnd w:id="0"/>
    </w:p>
    <w:p w:rsidR="00EB1363" w:rsidRPr="00A770D6" w:rsidRDefault="000B107C">
      <w:pPr>
        <w:rPr>
          <w:rFonts w:ascii="宋体" w:eastAsia="宋体" w:hAnsi="宋体"/>
          <w:sz w:val="21"/>
          <w:szCs w:val="21"/>
        </w:rPr>
      </w:pPr>
      <w:r w:rsidRPr="00A770D6">
        <w:rPr>
          <w:rFonts w:ascii="宋体" w:eastAsia="宋体" w:hAnsi="宋体" w:cs="黑体"/>
          <w:b/>
          <w:bCs/>
          <w:sz w:val="21"/>
          <w:szCs w:val="21"/>
        </w:rPr>
        <w:t>1 公告基本信息</w:t>
      </w:r>
    </w:p>
    <w:tbl>
      <w:tblPr>
        <w:tblW w:w="4988" w:type="pct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941"/>
        <w:gridCol w:w="1261"/>
        <w:gridCol w:w="4202"/>
      </w:tblGrid>
      <w:tr w:rsidR="00EB1363" w:rsidRPr="00A770D6" w:rsidTr="000B107C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基金管理人名称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鹏华基金管理有限公司</w:t>
            </w:r>
          </w:p>
        </w:tc>
      </w:tr>
      <w:tr w:rsidR="00EB1363" w:rsidRPr="00A770D6" w:rsidTr="000B107C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公告依据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《公开募集证券投资基金信息披露管理办法》、相关基金基金合同、招募说明书等法律文件</w:t>
            </w:r>
          </w:p>
        </w:tc>
      </w:tr>
      <w:tr w:rsidR="00EB1363" w:rsidRPr="00A770D6" w:rsidTr="000B107C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改聘日期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2024年10月31日</w:t>
            </w:r>
          </w:p>
        </w:tc>
      </w:tr>
      <w:tr w:rsidR="00EB1363" w:rsidRPr="00A770D6" w:rsidTr="000B107C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改聘前会计师事务所名称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普华永道中天会计师事务所（特殊普通合伙）</w:t>
            </w:r>
          </w:p>
        </w:tc>
      </w:tr>
      <w:tr w:rsidR="00EB1363" w:rsidRPr="00A770D6" w:rsidTr="000B107C"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改聘后会计师事务所名称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安永华明会计师事务所（特殊普通合伙）</w:t>
            </w:r>
          </w:p>
        </w:tc>
      </w:tr>
      <w:tr w:rsidR="00EB1363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基金名称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基金简称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EB1363" w:rsidRPr="00A770D6" w:rsidRDefault="000B107C">
            <w:pPr>
              <w:spacing w:line="360" w:lineRule="auto"/>
              <w:rPr>
                <w:rFonts w:ascii="宋体" w:eastAsia="宋体" w:hAnsi="宋体" w:cs="黑体"/>
                <w:sz w:val="21"/>
                <w:szCs w:val="21"/>
              </w:rPr>
            </w:pPr>
            <w:r w:rsidRPr="00A770D6">
              <w:rPr>
                <w:rFonts w:ascii="宋体" w:eastAsia="宋体" w:hAnsi="宋体" w:cs="黑体"/>
                <w:sz w:val="21"/>
                <w:szCs w:val="21"/>
              </w:rPr>
              <w:t>基金主代码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鹏华双债增利债券型证券投资基金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鹏华双债增利债券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000054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鹏华丰泰定期开放债券型证券投资基金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鹏华丰泰定期开放债券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000289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鹏华全球高收益债债券型证券投资基金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鹏华全球高收益债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(QDII)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000290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鹏华可转债债券型证券投资基金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鹏华可转债债券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000297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鹏华双债保利债券型证券投资基金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鹏华双债保利债券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000338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鹏华丰融定期开放债券型证券投资基金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鹏华丰融定期开放债券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000345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鹏华品牌传承灵活配置混合型证券投资基金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鹏华品牌传承混合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000431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鹏华聚财通货币市场基金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鹏华聚财通货币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000548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鹏华增值宝货币市场基金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鹏华增值宝货币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000569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鹏华先进制造股票型证券投资基金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鹏华先进制造股票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000778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鹏华医疗保健股票型证券投资基金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鹏华医疗保健股票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000780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鹏华养老产业股票型证券投资基金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鹏华养老产业股票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000854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鹏华安盈宝货币市场基金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鹏华安盈宝货币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000905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鹏华弘利灵活配置混合型证券投资基金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鹏华弘利混合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001122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鹏华改革红利股票型证券投资基金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鹏华改革红利股票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001188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鹏华医药科技股票型证券投资基金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鹏华医药科技股票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001230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鹏华弘实灵活配置混合型证券投资基金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鹏华弘实混合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001329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鹏华添利宝货币市场基金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鹏华添利宝货币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001666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鹏华添利交易型货币市场基金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鹏华添利交易型货币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002318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鹏华永达中短债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鹏华永达中短债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个月定开债券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002504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鹏华安益增强混合型证券投资基金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鹏华安益增强混合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004100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鹏华盈余宝货币市场基金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鹏华盈余宝货币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004684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鹏华金元宝货币市场基金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鹏华金元宝货币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004776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鹏华兴鑫宝货币市场基金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鹏华兴鑫宝货币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004896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鹏华策略回报灵活配置混合型证券投资基金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鹏华策略回报混合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004986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鹏华研究精选灵活配置混合型证券投资基金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鹏华研究精选混合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005028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鹏华优势企业股票型证券投资基金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鹏华优势企业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005268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鹏华量化先锋混合型证券投资基金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鹏华量化先锋混合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005632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鹏华产业精选灵活配置混合型证券投资基金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鹏华产业精选混合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005812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鹏华尊悦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个月定期开放债券型发起式证券投资基金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鹏华尊悦发起式定开债券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005831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鹏华尊享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个月定期开放债券型发起式证券投资基金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鹏华尊享定期开放发起式债券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006029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鹏华永融一年定期开放债券型证券投资基金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鹏华永融一年定期开放债券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006958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鹏华核心优势混合型证券投资基金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鹏华核心优势混合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006976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年国开行债券指数证券投资基金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年国开行债券指数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007000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鹏华研究智选混合型证券投资基金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鹏华研究智选混合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007146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鹏华养老目标日期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2045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三年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持有期混合型发起式基金中基金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(FOF)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鹏华养老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lastRenderedPageBreak/>
              <w:t>2045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混合发起式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(FOF)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lastRenderedPageBreak/>
              <w:t>007271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鹏华金利债券型证券投资基金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鹏华金利债券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007321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鹏华尊诚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个月定期开放债券型发起式证券投资基金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鹏华尊诚定期开放发起式债券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007500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鹏华稳利短债债券型证券投资基金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鹏华稳利短债债券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007515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鹏华丰鑫债券型证券投资基金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鹏华丰鑫债券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007584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鹏华丰登债券型证券投资基金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鹏华丰登债券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007681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鹏华锦利两年定期开放债券型证券投资基金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鹏华锦利两年定期开放债券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007682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鹏华锦润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鹏华锦润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个月定开债券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007723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交易型开放式指数证券投资基金联接基金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500ETF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联接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007932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0-5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年利率债债券型发起式证券投资基金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0-5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年利率发起式债券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008040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鹏华价值驱动混合型证券投资基金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鹏华价值驱动混合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008132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鹏华优质回报两年定期开放混合型证券投资基金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鹏华优质回报两年定开混合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008716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鹏华科技创新混合型证券投资基金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鹏华科技创新混合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008811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鹏华丰诚债券型证券投资基金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鹏华丰诚债券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009021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鹏华稳健回报混合型证券投资基金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鹏华稳健回报混合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009023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鹏华价值共赢两年持有期混合型证券投资基金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鹏华价值共赢两年持有期混合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009086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鹏华安和混合型证券投资基金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鹏华安和混合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009230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鹏华成长价值混合型证券投资基金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鹏华成长价值混合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009330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鹏华匠心精选混合型证券投资基金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鹏华匠心精选混合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009570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鹏华安庆混合型证券投资基金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鹏华安庆混合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009667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年农发行债券指数证券投资基金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年农发行债券指数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009702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-0-3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AA+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优选信用债指数证券投资基金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鹏华中债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-0-3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AA+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优选信用债指数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009742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鹏华年年红一年持有期债券型证券投资基金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鹏华年年红一年持有期债券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009920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鹏华启航混合型证券投资基金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鹏华启航混合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009984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鹏华丰颐债券型证券投资基金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鹏华丰颐债券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010479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鹏华高质量增长混合型证券投资基金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鹏华高质量增长混合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010490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鹏华安享一年持有期混合型证券投资基金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鹏华安享一年持有期混合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010725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鹏华汇智优选混合型证券投资基金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鹏华汇智优选混合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010894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鹏华安悦一年持有期混合型证券投资基金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鹏华安悦一年持有期混合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011071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鹏华安润混合型证券投资基金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鹏华安润混合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011073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鹏华尊和一年定期开放债券型发起式证券投资基金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鹏华尊和一年定开发起式债券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011080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鹏华创新成长混合型证券投资基金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鹏华创新成长混合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011460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鹏华民丰盈和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鹏华民丰盈和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6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011552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鹏华安诚混合型证券投资基金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鹏华安诚混合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011576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鹏华稳泰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天滚动持有债券型证券投资基金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鹏华稳泰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天滚动持有债券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012648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鹏华国证半导体芯片交易型开放式指数证券投资基金联接基金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鹏华国证半导体芯片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联接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012969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鹏华上华一年持有期混合型证券投资基金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鹏华上华一年持有期混合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013353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鹏华沃鑫混合型证券投资基金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鹏华沃鑫混合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013534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鹏华稳华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90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天滚动持有债券型证券投资基金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鹏华稳华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90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天滚动持有债券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013536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3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个月定开债券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013538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鹏华双季享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180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天持有期债券型证券投资基金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鹏华双季享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180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天持有期债券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014315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指数增强型证券投资基金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指数增强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014344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鹏华中证同业存单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AAA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7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天持有期证券投资基金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鹏华中证同业存单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AAA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7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天持有期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014437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鹏华永鑫一年定期开放债券型证券投资基金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鹏华永鑫一年定开债券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015260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鹏华稳福中短债债券型证券投资基金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鹏华稳福中短债债券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015530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鹏华睿进一年持有期混合型证券投资基金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鹏华睿进一年持有期混合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016818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鹏华中证中药交易型开放式指数证券投资基金联接基金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鹏华中证中药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联接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016891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2000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指数增强型证券投资基金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2000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指数增强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017892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鹏华中证中药交易型开放式指数证券投资基金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中药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159647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鹏华中证传媒交易型开放式指数证券投资基金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传媒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159805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鹏华国证半导体芯片交易型开放式指数证券投资基金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芯片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159813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鹏华中证畜牧养殖交易型开放式指数证券投资基金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畜牧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159867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年期地方政府债交易型开放式指数证券投资基金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5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年地债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159972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159982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鹏华普天债券证券投资基金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鹏华普天债券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160602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鹏华普天收益证券投资基金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鹏华普天收益混合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160603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鹏华中国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开放式证券投资基金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鹏华中国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160605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鹏华货币市场证券投资基金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鹏华货币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160606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鹏华优质治理混合型证券投资基金（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鹏华优质治理混合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160611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鹏华盛世创新混合型证券投资基金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鹏华盛世创新混合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160613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指数证券投资基金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500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160616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鹏华丰润债券型证券投资基金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鹏华丰润债券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160617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鹏华丰泽债券型证券投资基金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鹏华丰泽债券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160618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鹏华丰利债券型证券投资基金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鹏华丰利债券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(LOF)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鹏华消费领先灵活配置混合型证券投资基金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鹏华消费领先混合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160624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证券保险指数型证券投资基金（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证券保险指数（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160625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鹏华中证信息技术指数型证券投资基金（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鹏华信息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鹏华策略优选灵活配置混合型证券投资基金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鹏华策略优选混合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地产指数型证券投资基金（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800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地产指数（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鹏华中证传媒指数型证券投资基金（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鹏华中证传媒指数（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160629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鹏华中证银行指数型证券投资基金（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鹏华银行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160631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鹏华中证一带一路主题指数型证券投资基金（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鹏华中证一带一路主题指数（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160638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鹏华精选成长混合型证券投资基金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鹏华精选成长混合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206002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鹏华消费优选混合型证券投资基金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鹏华消费优选混合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206007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鹏华丰盛稳固收益债券型证券投资基金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鹏华丰盛债券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206008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鹏华创新动力灵活配置混合型证券投资基金（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鹏华创新动力混合（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501076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鹏华国证钢铁行业指数型证券投资基金（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鹏华国证钢铁行业指数（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LOF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502023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鹏华中证酒交易型开放式指数证券投资基金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酒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5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512690</w:t>
            </w:r>
          </w:p>
        </w:tc>
      </w:tr>
      <w:tr w:rsidR="000B107C" w:rsidRPr="00A770D6" w:rsidTr="000B107C">
        <w:tc>
          <w:tcPr>
            <w:tcW w:w="1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8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鹏华恒生中国央企交易型开放式指数证券投资基金（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QDII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8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鹏华恒生中国央企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ETF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Pr="00A770D6">
              <w:rPr>
                <w:rFonts w:ascii="宋体" w:eastAsia="宋体" w:hAnsi="宋体"/>
                <w:sz w:val="21"/>
                <w:szCs w:val="21"/>
              </w:rPr>
              <w:t>QDII</w:t>
            </w:r>
            <w:r w:rsidRPr="00A770D6"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10" w:type="dxa"/>
              <w:left w:w="10" w:type="dxa"/>
              <w:bottom w:w="8" w:type="dxa"/>
              <w:right w:w="108" w:type="dxa"/>
            </w:tcMar>
          </w:tcPr>
          <w:p w:rsidR="000B107C" w:rsidRPr="00A770D6" w:rsidRDefault="000B107C" w:rsidP="000B107C">
            <w:pPr>
              <w:rPr>
                <w:rFonts w:ascii="宋体" w:eastAsia="宋体" w:hAnsi="宋体"/>
                <w:sz w:val="21"/>
                <w:szCs w:val="21"/>
              </w:rPr>
            </w:pPr>
            <w:r w:rsidRPr="00A770D6">
              <w:rPr>
                <w:rFonts w:ascii="宋体" w:eastAsia="宋体" w:hAnsi="宋体"/>
                <w:sz w:val="21"/>
                <w:szCs w:val="21"/>
              </w:rPr>
              <w:t>513170</w:t>
            </w:r>
          </w:p>
        </w:tc>
      </w:tr>
    </w:tbl>
    <w:p w:rsidR="00EB1363" w:rsidRPr="00A770D6" w:rsidRDefault="000B107C">
      <w:pPr>
        <w:rPr>
          <w:rFonts w:ascii="宋体" w:eastAsia="宋体" w:hAnsi="宋体"/>
          <w:sz w:val="21"/>
          <w:szCs w:val="21"/>
        </w:rPr>
      </w:pPr>
      <w:r w:rsidRPr="00A770D6">
        <w:rPr>
          <w:rFonts w:ascii="宋体" w:eastAsia="宋体" w:hAnsi="宋体" w:cs="黑体"/>
          <w:b/>
          <w:bCs/>
          <w:sz w:val="21"/>
          <w:szCs w:val="21"/>
        </w:rPr>
        <w:t>2 其他需要提示的事项</w:t>
      </w:r>
    </w:p>
    <w:p w:rsidR="00EB1363" w:rsidRPr="00A770D6" w:rsidRDefault="00EB1363">
      <w:pPr>
        <w:rPr>
          <w:rFonts w:ascii="宋体" w:eastAsia="宋体" w:hAnsi="宋体"/>
          <w:sz w:val="21"/>
          <w:szCs w:val="21"/>
        </w:rPr>
      </w:pPr>
    </w:p>
    <w:p w:rsidR="00EB1363" w:rsidRPr="00A770D6" w:rsidRDefault="000B107C">
      <w:pPr>
        <w:spacing w:line="360" w:lineRule="auto"/>
        <w:ind w:firstLine="440"/>
        <w:rPr>
          <w:rFonts w:ascii="宋体" w:eastAsia="宋体" w:hAnsi="宋体"/>
          <w:sz w:val="21"/>
          <w:szCs w:val="21"/>
        </w:rPr>
      </w:pPr>
      <w:r w:rsidRPr="00A770D6">
        <w:rPr>
          <w:rFonts w:ascii="宋体" w:eastAsia="宋体" w:hAnsi="宋体" w:cs="宋体"/>
          <w:sz w:val="21"/>
          <w:szCs w:val="21"/>
        </w:rPr>
        <w:t>上述变更事项，已由鹏华基金管理有限公司董事会审议通过，并已按照相关规定及基金合同约定通知基金托管人。</w:t>
      </w:r>
    </w:p>
    <w:p w:rsidR="00EB1363" w:rsidRPr="00A770D6" w:rsidRDefault="00EB1363">
      <w:pPr>
        <w:rPr>
          <w:rFonts w:ascii="宋体" w:eastAsia="宋体" w:hAnsi="宋体"/>
          <w:sz w:val="21"/>
          <w:szCs w:val="21"/>
        </w:rPr>
      </w:pPr>
    </w:p>
    <w:p w:rsidR="00EB1363" w:rsidRPr="00A770D6" w:rsidRDefault="00EB1363">
      <w:pPr>
        <w:rPr>
          <w:rFonts w:ascii="宋体" w:eastAsia="宋体" w:hAnsi="宋体"/>
          <w:sz w:val="21"/>
          <w:szCs w:val="21"/>
        </w:rPr>
      </w:pPr>
    </w:p>
    <w:p w:rsidR="00EB1363" w:rsidRPr="00A770D6" w:rsidRDefault="00EB1363">
      <w:pPr>
        <w:rPr>
          <w:rFonts w:ascii="宋体" w:eastAsia="宋体" w:hAnsi="宋体"/>
          <w:sz w:val="21"/>
          <w:szCs w:val="21"/>
        </w:rPr>
      </w:pPr>
    </w:p>
    <w:p w:rsidR="00EB1363" w:rsidRPr="00A770D6" w:rsidRDefault="000B107C">
      <w:pPr>
        <w:jc w:val="right"/>
        <w:rPr>
          <w:rFonts w:ascii="宋体" w:eastAsia="宋体" w:hAnsi="宋体"/>
          <w:sz w:val="21"/>
          <w:szCs w:val="21"/>
        </w:rPr>
      </w:pPr>
      <w:r w:rsidRPr="00A770D6">
        <w:rPr>
          <w:rFonts w:ascii="宋体" w:eastAsia="宋体" w:hAnsi="宋体" w:cs="黑体"/>
          <w:sz w:val="21"/>
          <w:szCs w:val="21"/>
        </w:rPr>
        <w:t>鹏华基金管理有限公司</w:t>
      </w:r>
    </w:p>
    <w:p w:rsidR="00EB1363" w:rsidRPr="00A770D6" w:rsidRDefault="00EB1363">
      <w:pPr>
        <w:jc w:val="right"/>
        <w:rPr>
          <w:rFonts w:ascii="宋体" w:eastAsia="宋体" w:hAnsi="宋体"/>
          <w:sz w:val="21"/>
          <w:szCs w:val="21"/>
        </w:rPr>
      </w:pPr>
    </w:p>
    <w:p w:rsidR="00EB1363" w:rsidRPr="00A770D6" w:rsidRDefault="00A770D6">
      <w:pPr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2024年11月</w:t>
      </w:r>
      <w:r w:rsidR="000B107C" w:rsidRPr="00A770D6">
        <w:rPr>
          <w:rFonts w:ascii="宋体" w:eastAsia="宋体" w:hAnsi="宋体"/>
          <w:sz w:val="21"/>
          <w:szCs w:val="21"/>
        </w:rPr>
        <w:t>02</w:t>
      </w:r>
      <w:r>
        <w:rPr>
          <w:rFonts w:ascii="宋体" w:eastAsia="宋体" w:hAnsi="宋体"/>
          <w:sz w:val="21"/>
          <w:szCs w:val="21"/>
        </w:rPr>
        <w:t>日</w:t>
      </w:r>
    </w:p>
    <w:p w:rsidR="00EB1363" w:rsidRPr="00A770D6" w:rsidRDefault="00EB1363">
      <w:pPr>
        <w:rPr>
          <w:rFonts w:ascii="宋体" w:eastAsia="宋体" w:hAnsi="宋体"/>
          <w:sz w:val="21"/>
          <w:szCs w:val="21"/>
        </w:rPr>
      </w:pPr>
    </w:p>
    <w:sectPr w:rsidR="00EB1363" w:rsidRPr="00A770D6" w:rsidSect="00431DE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9F" w:rsidRDefault="000B107C">
      <w:r>
        <w:separator/>
      </w:r>
    </w:p>
  </w:endnote>
  <w:endnote w:type="continuationSeparator" w:id="0">
    <w:p w:rsidR="002D439F" w:rsidRDefault="000B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3" w:rsidRDefault="00431DE1">
    <w:pPr>
      <w:jc w:val="center"/>
    </w:pPr>
    <w:r>
      <w:rPr>
        <w:rFonts w:ascii="宋体" w:eastAsia="宋体" w:hAnsi="宋体" w:cs="宋体"/>
        <w:sz w:val="18"/>
      </w:rPr>
      <w:fldChar w:fldCharType="begin"/>
    </w:r>
    <w:r w:rsidR="000B107C">
      <w:rPr>
        <w:rFonts w:ascii="宋体" w:eastAsia="宋体" w:hAnsi="宋体" w:cs="宋体"/>
        <w:sz w:val="18"/>
      </w:rPr>
      <w:instrText xml:space="preserve"> PAGE </w:instrText>
    </w:r>
    <w:r>
      <w:rPr>
        <w:rFonts w:ascii="宋体" w:eastAsia="宋体" w:hAnsi="宋体" w:cs="宋体"/>
        <w:sz w:val="18"/>
      </w:rPr>
      <w:fldChar w:fldCharType="separate"/>
    </w:r>
    <w:r w:rsidR="007C2445">
      <w:rPr>
        <w:rFonts w:ascii="宋体" w:eastAsia="宋体" w:hAnsi="宋体" w:cs="宋体"/>
        <w:noProof/>
        <w:sz w:val="18"/>
      </w:rPr>
      <w:t>1</w:t>
    </w:r>
    <w:r>
      <w:rPr>
        <w:rFonts w:ascii="宋体" w:eastAsia="宋体" w:hAnsi="宋体" w:cs="宋体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9F" w:rsidRDefault="000B107C">
      <w:r>
        <w:separator/>
      </w:r>
    </w:p>
  </w:footnote>
  <w:footnote w:type="continuationSeparator" w:id="0">
    <w:p w:rsidR="002D439F" w:rsidRDefault="000B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63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growAutofit/>
    <w:useFELayout/>
    <w:doNotUseIndentAsNumberingTabStop/>
    <w:useAltKinsokuLineBreakRules/>
    <w:doNotSuppressIndentation/>
    <w:autofitToFirstFixedWidthCell/>
    <w:splitPgBreakAndParaMark/>
    <w:doNotVertAlignCellWithSp/>
  </w:compat>
  <w:rsids>
    <w:rsidRoot w:val="00EB1363"/>
    <w:rsid w:val="000B107C"/>
    <w:rsid w:val="002D439F"/>
    <w:rsid w:val="00431DE1"/>
    <w:rsid w:val="007C2445"/>
    <w:rsid w:val="0092565D"/>
    <w:rsid w:val="00A770D6"/>
    <w:rsid w:val="00EB1363"/>
    <w:rsid w:val="00EF0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E1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431D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31DE1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31DE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31DE1"/>
    <w:rPr>
      <w:rFonts w:ascii="Times New Roman" w:eastAsia="Times New Roman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431DE1"/>
    <w:rPr>
      <w:rFonts w:ascii="Times New Roman" w:eastAsia="黑体" w:hAnsi="Times New Roman" w:cs="Times New Roman"/>
      <w:b/>
      <w:bCs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431DE1"/>
    <w:rPr>
      <w:rFonts w:ascii="Times New Roman" w:eastAsia="Times New Roman" w:hAnsi="Times New Roman" w:cs="Times New Roman"/>
      <w:b/>
      <w:bCs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qFormat/>
    <w:rsid w:val="00431DE1"/>
    <w:pPr>
      <w:spacing w:line="360" w:lineRule="auto"/>
    </w:pPr>
    <w:rPr>
      <w:rFonts w:ascii="宋体" w:eastAsia="宋体" w:hAnsi="宋体" w:cs="宋体"/>
      <w:b/>
      <w:sz w:val="21"/>
    </w:rPr>
  </w:style>
  <w:style w:type="paragraph" w:styleId="20">
    <w:name w:val="toc 2"/>
    <w:basedOn w:val="a"/>
    <w:next w:val="a"/>
    <w:autoRedefine/>
    <w:qFormat/>
    <w:rsid w:val="00431DE1"/>
    <w:pPr>
      <w:ind w:left="420"/>
    </w:pPr>
  </w:style>
  <w:style w:type="paragraph" w:styleId="30">
    <w:name w:val="toc 3"/>
    <w:basedOn w:val="a"/>
    <w:next w:val="a"/>
    <w:autoRedefine/>
    <w:qFormat/>
    <w:rsid w:val="00431DE1"/>
    <w:pPr>
      <w:ind w:left="840"/>
    </w:pPr>
  </w:style>
  <w:style w:type="paragraph" w:styleId="4">
    <w:name w:val="toc 4"/>
    <w:basedOn w:val="a"/>
    <w:next w:val="a"/>
    <w:autoRedefine/>
    <w:qFormat/>
    <w:rsid w:val="00431DE1"/>
    <w:pPr>
      <w:ind w:left="1260"/>
    </w:pPr>
  </w:style>
  <w:style w:type="paragraph" w:styleId="5">
    <w:name w:val="toc 5"/>
    <w:basedOn w:val="a"/>
    <w:next w:val="a"/>
    <w:autoRedefine/>
    <w:qFormat/>
    <w:rsid w:val="00431DE1"/>
    <w:pPr>
      <w:ind w:left="1680"/>
    </w:pPr>
  </w:style>
  <w:style w:type="paragraph" w:styleId="a3">
    <w:name w:val="header"/>
    <w:basedOn w:val="a"/>
    <w:qFormat/>
    <w:rsid w:val="00431DE1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431DE1"/>
    <w:pPr>
      <w:tabs>
        <w:tab w:val="center" w:pos="4153"/>
        <w:tab w:val="right" w:pos="8307"/>
      </w:tabs>
      <w:snapToGrid w:val="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5EF8C6A-A2F2-45F7-9208-BEB4D3CA842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3891</Characters>
  <Application>Microsoft Office Word</Application>
  <DocSecurity>4</DocSecurity>
  <Lines>32</Lines>
  <Paragraphs>9</Paragraphs>
  <ScaleCrop>false</ScaleCrop>
  <Company>PHFUND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2024-11-01T16:02:00Z</dcterms:created>
  <dcterms:modified xsi:type="dcterms:W3CDTF">2024-11-01T16:02:00Z</dcterms:modified>
</cp:coreProperties>
</file>