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D4" w:rsidRPr="00B23BF4" w:rsidRDefault="00507225" w:rsidP="00B23BF4">
      <w:pPr>
        <w:spacing w:line="360" w:lineRule="auto"/>
        <w:jc w:val="center"/>
        <w:rPr>
          <w:rFonts w:ascii="宋体" w:eastAsia="宋体" w:hAnsi="宋体" w:cs="宋体"/>
          <w:sz w:val="28"/>
          <w:szCs w:val="28"/>
          <w:lang w:eastAsia="zh-CN"/>
        </w:rPr>
      </w:pPr>
      <w:r w:rsidRPr="00B23BF4">
        <w:rPr>
          <w:rFonts w:ascii="宋体" w:eastAsia="宋体" w:hAnsi="宋体" w:cs="宋体"/>
          <w:b/>
          <w:bCs/>
          <w:sz w:val="28"/>
          <w:szCs w:val="28"/>
          <w:lang w:eastAsia="zh-CN"/>
        </w:rPr>
        <w:t>鹏华基金管理有限公司关于旗下部分基金参与上海浦东发展银行股份有限公司申购（含定期定额投资）费率优惠活动的公告</w:t>
      </w:r>
    </w:p>
    <w:p w:rsidR="001922D4" w:rsidRDefault="00507225" w:rsidP="00B23BF4">
      <w:pPr>
        <w:spacing w:line="360" w:lineRule="auto"/>
        <w:rPr>
          <w:lang w:eastAsia="zh-CN"/>
        </w:rPr>
      </w:pPr>
      <w:r>
        <w:rPr>
          <w:rFonts w:eastAsia="Times New Roman"/>
          <w:lang w:eastAsia="zh-CN"/>
        </w:rPr>
        <w:t> </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为了答谢广大投资者长期以来的信任和支持，经鹏华基金管理有限公司（以下简称“鹏华基金”或“本公司”）与上海浦东发展银行股份有限公司（以下简称“ 浦发银行 ”）协商一致，决定参加浦发银行申购（含定期定额投资）费率优惠活动。现将有关事项公告如下：</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1、适用投资者范围</w:t>
      </w:r>
    </w:p>
    <w:p w:rsidR="001922D4" w:rsidRDefault="00507225">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通过浦发银行申购（含定期定额投资）鹏华基金下述适用基金的投资者。</w:t>
      </w:r>
    </w:p>
    <w:p w:rsidR="001922D4" w:rsidRDefault="00507225">
      <w:pPr>
        <w:spacing w:line="360" w:lineRule="auto"/>
        <w:ind w:firstLine="420"/>
        <w:jc w:val="both"/>
        <w:rPr>
          <w:rFonts w:ascii="宋体" w:eastAsia="宋体" w:hAnsi="宋体" w:cs="宋体"/>
          <w:sz w:val="21"/>
          <w:szCs w:val="21"/>
        </w:rPr>
      </w:pPr>
      <w:r>
        <w:rPr>
          <w:rFonts w:ascii="宋体" w:eastAsia="宋体" w:hAnsi="宋体" w:cs="宋体"/>
          <w:b/>
          <w:bCs/>
          <w:sz w:val="21"/>
          <w:szCs w:val="21"/>
          <w:lang w:eastAsia="zh-CN"/>
        </w:rPr>
        <w:t>2、适用的基金范围</w:t>
      </w:r>
    </w:p>
    <w:tbl>
      <w:tblPr>
        <w:tblW w:w="878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50"/>
        <w:gridCol w:w="1560"/>
        <w:gridCol w:w="6378"/>
      </w:tblGrid>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b/>
                <w:bCs/>
                <w:sz w:val="21"/>
                <w:szCs w:val="21"/>
                <w:lang w:eastAsia="zh-CN"/>
              </w:rPr>
            </w:pPr>
            <w:r>
              <w:rPr>
                <w:rFonts w:ascii="宋体" w:eastAsia="宋体" w:hAnsi="宋体" w:cs="宋体"/>
                <w:b/>
                <w:bCs/>
                <w:sz w:val="21"/>
                <w:szCs w:val="21"/>
                <w:lang w:eastAsia="zh-CN"/>
              </w:rPr>
              <w:t>序号</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b/>
                <w:bCs/>
                <w:sz w:val="21"/>
                <w:szCs w:val="21"/>
                <w:lang w:eastAsia="zh-CN"/>
              </w:rPr>
              <w:t>基金代码</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b/>
                <w:bCs/>
                <w:sz w:val="21"/>
                <w:szCs w:val="21"/>
                <w:lang w:eastAsia="zh-CN"/>
              </w:rPr>
              <w:t>基金名称</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016891</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鹏华中证中药交易型开放式指数证券投资基金联接基金A类</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019861</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鹏华上证科创板100交易型开放式指数证券投资基金联接基金A类</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160615</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鹏华沪深300交易型开放式指数证券投资基金联接基金（LOF）A类</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160616</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rsidP="00D14B6A">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鹏华中证500指数证券投资基金A类（LOF）</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160620</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鹏华中证A股资源产业指数型证券投资基金（LOF）A类</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160628</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鹏华中证800地产指数型证券投资基金（LOF）A类</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160643</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鹏华中证空天一体军工指数证券投资基金A类（LOF）</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8</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000290</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鹏华全球高收益债债券型证券投资基金人民币</w:t>
            </w:r>
            <w:r w:rsidR="00653FF5">
              <w:rPr>
                <w:rFonts w:ascii="宋体" w:eastAsia="宋体" w:hAnsi="宋体" w:cs="宋体"/>
                <w:sz w:val="21"/>
                <w:szCs w:val="21"/>
                <w:lang w:eastAsia="zh-CN"/>
              </w:rPr>
              <w:t>份额</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9</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206006</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rsidP="00D14B6A">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鹏华全球中短债债券型证券投资基金（QDII）</w:t>
            </w:r>
            <w:r w:rsidR="00653FF5">
              <w:rPr>
                <w:rFonts w:ascii="宋体" w:eastAsia="宋体" w:hAnsi="宋体" w:cs="宋体"/>
                <w:sz w:val="21"/>
                <w:szCs w:val="21"/>
                <w:lang w:eastAsia="zh-CN"/>
              </w:rPr>
              <w:t>A类人民币份额</w:t>
            </w:r>
          </w:p>
        </w:tc>
      </w:tr>
      <w:tr w:rsidR="00B23BF4" w:rsidTr="00B23BF4">
        <w:tc>
          <w:tcPr>
            <w:tcW w:w="850" w:type="dxa"/>
            <w:tcBorders>
              <w:top w:val="single" w:sz="8" w:space="0" w:color="auto"/>
              <w:left w:val="single" w:sz="8" w:space="0" w:color="auto"/>
              <w:bottom w:val="single" w:sz="8" w:space="0" w:color="auto"/>
              <w:right w:val="single" w:sz="8" w:space="0" w:color="auto"/>
            </w:tcBorders>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0</w:t>
            </w:r>
          </w:p>
        </w:tc>
        <w:tc>
          <w:tcPr>
            <w:tcW w:w="1560"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rPr>
            </w:pPr>
            <w:r>
              <w:rPr>
                <w:rFonts w:ascii="宋体" w:eastAsia="宋体" w:hAnsi="宋体" w:cs="宋体"/>
                <w:sz w:val="21"/>
                <w:szCs w:val="21"/>
                <w:lang w:eastAsia="zh-CN"/>
              </w:rPr>
              <w:t>206011</w:t>
            </w:r>
          </w:p>
        </w:tc>
        <w:tc>
          <w:tcPr>
            <w:tcW w:w="6378" w:type="dxa"/>
            <w:tcBorders>
              <w:top w:val="single" w:sz="8" w:space="0" w:color="auto"/>
              <w:left w:val="single" w:sz="8" w:space="0" w:color="auto"/>
              <w:bottom w:val="single" w:sz="8" w:space="0" w:color="auto"/>
              <w:right w:val="single" w:sz="8" w:space="0" w:color="auto"/>
            </w:tcBorders>
            <w:tcMar>
              <w:top w:w="10" w:type="dxa"/>
              <w:left w:w="123" w:type="dxa"/>
              <w:bottom w:w="10" w:type="dxa"/>
              <w:right w:w="108" w:type="dxa"/>
            </w:tcMar>
            <w:vAlign w:val="center"/>
            <w:hideMark/>
          </w:tcPr>
          <w:p w:rsidR="00B23BF4" w:rsidRDefault="00B23BF4">
            <w:pPr>
              <w:spacing w:line="360" w:lineRule="auto"/>
              <w:jc w:val="center"/>
              <w:rPr>
                <w:rFonts w:ascii="宋体" w:eastAsia="宋体" w:hAnsi="宋体" w:cs="宋体"/>
                <w:sz w:val="21"/>
                <w:szCs w:val="21"/>
                <w:lang w:eastAsia="zh-CN"/>
              </w:rPr>
            </w:pPr>
            <w:r>
              <w:rPr>
                <w:rFonts w:ascii="宋体" w:eastAsia="宋体" w:hAnsi="宋体" w:cs="宋体"/>
                <w:sz w:val="21"/>
                <w:szCs w:val="21"/>
                <w:lang w:eastAsia="zh-CN"/>
              </w:rPr>
              <w:t>鹏华美国房地产证券投资基金人民币</w:t>
            </w:r>
            <w:r w:rsidR="00653FF5">
              <w:rPr>
                <w:rFonts w:ascii="宋体" w:eastAsia="宋体" w:hAnsi="宋体" w:cs="宋体"/>
                <w:sz w:val="21"/>
                <w:szCs w:val="21"/>
                <w:lang w:eastAsia="zh-CN"/>
              </w:rPr>
              <w:t>份额</w:t>
            </w:r>
          </w:p>
        </w:tc>
      </w:tr>
    </w:tbl>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3、活动时间</w:t>
      </w:r>
      <w:bookmarkStart w:id="0" w:name="_GoBack"/>
      <w:bookmarkEnd w:id="0"/>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本次优惠活动时间为2024年11月01日起 ，具体结束时间以本公司或浦发银行相关公告为准。</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4、活动内容</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（1）投资者通过浦发银行申购（含定期定额投资）上述适用的基金，可享受申购费率1折优惠，申购费率按照每笔收取固定金额的，不享受申购费率优惠。</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上述优惠活动解释权归浦发银行所有，优惠活动详情请参见浦发银行的相关宣传资料。投资者欲了解各基金产品的详细情况，请仔细阅读上述适用基金的《基金合同》、《招募说明书》、基金产品资料概要及其更新等法律文件。</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5、重要提示</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lastRenderedPageBreak/>
        <w:t>（1）上述适用的基金优惠前的费率标准参见《基金合同》、《招募说明书》、基金产品资料概要及其更新及相关公告。</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（2）浦发银行保留对本次优惠活动的解释权；鹏华基金对于本公告享有解释权。</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b/>
          <w:bCs/>
          <w:sz w:val="21"/>
          <w:szCs w:val="21"/>
          <w:lang w:eastAsia="zh-CN"/>
        </w:rPr>
        <w:t>6、投资者可以通过以下途径查询相关详情</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（1）上海浦东发展银行股份有限公司</w:t>
      </w:r>
    </w:p>
    <w:p w:rsidR="001922D4" w:rsidRDefault="00507225" w:rsidP="00B23BF4">
      <w:pPr>
        <w:spacing w:line="360" w:lineRule="auto"/>
        <w:ind w:firstLine="420"/>
        <w:jc w:val="both"/>
        <w:rPr>
          <w:rFonts w:ascii="宋体" w:eastAsia="宋体" w:hAnsi="宋体" w:cs="宋体"/>
          <w:sz w:val="21"/>
          <w:szCs w:val="21"/>
        </w:rPr>
      </w:pPr>
      <w:r>
        <w:rPr>
          <w:rFonts w:ascii="宋体" w:eastAsia="宋体" w:hAnsi="宋体" w:cs="宋体"/>
          <w:sz w:val="21"/>
          <w:szCs w:val="21"/>
          <w:lang w:eastAsia="zh-CN"/>
        </w:rPr>
        <w:t>客服热线：95528</w:t>
      </w:r>
    </w:p>
    <w:p w:rsidR="001922D4" w:rsidRDefault="00507225" w:rsidP="00B23BF4">
      <w:pPr>
        <w:spacing w:line="360" w:lineRule="auto"/>
        <w:ind w:firstLine="420"/>
        <w:jc w:val="both"/>
        <w:rPr>
          <w:rFonts w:ascii="宋体" w:eastAsia="宋体" w:hAnsi="宋体" w:cs="宋体"/>
          <w:sz w:val="21"/>
          <w:szCs w:val="21"/>
        </w:rPr>
      </w:pPr>
      <w:r>
        <w:rPr>
          <w:rFonts w:ascii="宋体" w:eastAsia="宋体" w:hAnsi="宋体" w:cs="宋体"/>
          <w:sz w:val="21"/>
          <w:szCs w:val="21"/>
          <w:lang w:eastAsia="zh-CN"/>
        </w:rPr>
        <w:t>网站：www.spdb.com.cn</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（2）鹏华基金管理有限公司</w:t>
      </w:r>
    </w:p>
    <w:p w:rsidR="001922D4" w:rsidRDefault="00507225" w:rsidP="00B23BF4">
      <w:pPr>
        <w:spacing w:line="360" w:lineRule="auto"/>
        <w:ind w:firstLine="420"/>
        <w:jc w:val="both"/>
        <w:rPr>
          <w:rFonts w:ascii="宋体" w:eastAsia="宋体" w:hAnsi="宋体" w:cs="宋体"/>
          <w:sz w:val="21"/>
          <w:szCs w:val="21"/>
        </w:rPr>
      </w:pPr>
      <w:r>
        <w:rPr>
          <w:rFonts w:ascii="宋体" w:eastAsia="宋体" w:hAnsi="宋体" w:cs="宋体"/>
          <w:sz w:val="21"/>
          <w:szCs w:val="21"/>
          <w:lang w:eastAsia="zh-CN"/>
        </w:rPr>
        <w:t>客服热线：400-6788-533</w:t>
      </w:r>
    </w:p>
    <w:p w:rsidR="001922D4" w:rsidRDefault="00507225" w:rsidP="00B23BF4">
      <w:pPr>
        <w:spacing w:line="360" w:lineRule="auto"/>
        <w:ind w:firstLine="420"/>
        <w:jc w:val="both"/>
        <w:rPr>
          <w:rFonts w:ascii="宋体" w:eastAsia="宋体" w:hAnsi="宋体" w:cs="宋体"/>
          <w:sz w:val="21"/>
          <w:szCs w:val="21"/>
        </w:rPr>
      </w:pPr>
      <w:r>
        <w:rPr>
          <w:rFonts w:ascii="宋体" w:eastAsia="宋体" w:hAnsi="宋体" w:cs="宋体"/>
          <w:sz w:val="21"/>
          <w:szCs w:val="21"/>
          <w:lang w:eastAsia="zh-CN"/>
        </w:rPr>
        <w:t xml:space="preserve">网站：www.phfund.com.cn </w:t>
      </w:r>
    </w:p>
    <w:p w:rsidR="001922D4" w:rsidRDefault="00507225" w:rsidP="00B23BF4">
      <w:pPr>
        <w:spacing w:line="360" w:lineRule="auto"/>
        <w:ind w:firstLine="420"/>
        <w:jc w:val="both"/>
        <w:rPr>
          <w:rFonts w:ascii="宋体" w:eastAsia="宋体" w:hAnsi="宋体" w:cs="宋体"/>
          <w:sz w:val="21"/>
          <w:szCs w:val="21"/>
          <w:lang w:eastAsia="zh-CN"/>
        </w:rPr>
      </w:pPr>
      <w:r>
        <w:rPr>
          <w:rFonts w:ascii="宋体" w:eastAsia="宋体" w:hAnsi="宋体" w:cs="宋体"/>
          <w:sz w:val="21"/>
          <w:szCs w:val="21"/>
          <w:lang w:eastAsia="zh-CN"/>
        </w:rPr>
        <w:t>风险提示：本公司承诺以诚实信用、勤勉尽责的原则管理和运用基金财产,但不保证基金一定盈利,也不保证最低收益。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投资者投资于本公司基金时应认真阅读相关基金基金合同、招募说明书、基金产品资料概要及其更新等文件，了解所投资基金的风险收益特征，并根据自身风险承受能力选择适合自己的基金产品。敬请投资者注意投资风险。</w:t>
      </w:r>
    </w:p>
    <w:p w:rsidR="001922D4" w:rsidRDefault="00507225" w:rsidP="00B23BF4">
      <w:pPr>
        <w:spacing w:before="240" w:after="240" w:line="360" w:lineRule="auto"/>
        <w:jc w:val="right"/>
        <w:rPr>
          <w:lang w:eastAsia="zh-CN"/>
        </w:rPr>
      </w:pPr>
      <w:r>
        <w:rPr>
          <w:rFonts w:eastAsia="Times New Roman"/>
          <w:lang w:eastAsia="zh-CN"/>
        </w:rPr>
        <w:t> </w:t>
      </w:r>
    </w:p>
    <w:p w:rsidR="001922D4" w:rsidRDefault="00507225" w:rsidP="00B23BF4">
      <w:pPr>
        <w:spacing w:line="360" w:lineRule="auto"/>
        <w:jc w:val="right"/>
        <w:rPr>
          <w:lang w:eastAsia="zh-CN"/>
        </w:rPr>
      </w:pPr>
      <w:r>
        <w:rPr>
          <w:rFonts w:ascii="宋体" w:eastAsia="宋体" w:hAnsi="宋体" w:cs="宋体"/>
          <w:sz w:val="21"/>
          <w:szCs w:val="21"/>
          <w:lang w:eastAsia="zh-CN"/>
        </w:rPr>
        <w:t>鹏华基金管理有限公司</w:t>
      </w:r>
    </w:p>
    <w:p w:rsidR="001922D4" w:rsidRDefault="00507225" w:rsidP="00B23BF4">
      <w:pPr>
        <w:spacing w:line="360" w:lineRule="auto"/>
        <w:jc w:val="right"/>
      </w:pPr>
      <w:r>
        <w:rPr>
          <w:rFonts w:ascii="宋体" w:eastAsia="宋体" w:hAnsi="宋体" w:cs="宋体"/>
          <w:sz w:val="21"/>
          <w:szCs w:val="21"/>
          <w:lang w:eastAsia="zh-CN"/>
        </w:rPr>
        <w:t>2024年11月01日</w:t>
      </w:r>
    </w:p>
    <w:p w:rsidR="00A77B3E" w:rsidRDefault="00A77B3E" w:rsidP="00B23BF4">
      <w:pPr>
        <w:spacing w:line="360" w:lineRule="auto"/>
      </w:pPr>
    </w:p>
    <w:sectPr w:rsidR="00A77B3E" w:rsidSect="004210D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3B" w:rsidRDefault="0070323B">
      <w:r>
        <w:separator/>
      </w:r>
    </w:p>
  </w:endnote>
  <w:endnote w:type="continuationSeparator" w:id="0">
    <w:p w:rsidR="0070323B" w:rsidRDefault="0070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2D4" w:rsidRDefault="004210D3">
    <w:pPr>
      <w:jc w:val="center"/>
    </w:pPr>
    <w:r>
      <w:rPr>
        <w:rFonts w:ascii="宋体" w:eastAsia="宋体" w:hAnsi="宋体" w:cs="宋体"/>
        <w:sz w:val="18"/>
      </w:rPr>
      <w:fldChar w:fldCharType="begin"/>
    </w:r>
    <w:r w:rsidR="00507225">
      <w:rPr>
        <w:rFonts w:ascii="宋体" w:eastAsia="宋体" w:hAnsi="宋体" w:cs="宋体"/>
        <w:sz w:val="18"/>
        <w:lang w:eastAsia="zh-CN"/>
      </w:rPr>
      <w:instrText xml:space="preserve"> PAGE </w:instrText>
    </w:r>
    <w:r>
      <w:rPr>
        <w:rFonts w:ascii="宋体" w:eastAsia="宋体" w:hAnsi="宋体" w:cs="宋体"/>
        <w:sz w:val="18"/>
      </w:rPr>
      <w:fldChar w:fldCharType="separate"/>
    </w:r>
    <w:r w:rsidR="005C507E">
      <w:rPr>
        <w:rFonts w:ascii="宋体" w:eastAsia="宋体" w:hAnsi="宋体" w:cs="宋体"/>
        <w:noProof/>
        <w:sz w:val="18"/>
        <w:lang w:eastAsia="zh-CN"/>
      </w:rPr>
      <w:t>1</w:t>
    </w:r>
    <w:r>
      <w:rPr>
        <w:rFonts w:ascii="宋体" w:eastAsia="宋体" w:hAnsi="宋体" w:cs="宋体"/>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3B" w:rsidRDefault="0070323B">
      <w:r>
        <w:separator/>
      </w:r>
    </w:p>
  </w:footnote>
  <w:footnote w:type="continuationSeparator" w:id="0">
    <w:p w:rsidR="0070323B" w:rsidRDefault="007032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922D4"/>
    <w:rsid w:val="004210D3"/>
    <w:rsid w:val="004626CD"/>
    <w:rsid w:val="00507225"/>
    <w:rsid w:val="005C507E"/>
    <w:rsid w:val="00653FF5"/>
    <w:rsid w:val="0070323B"/>
    <w:rsid w:val="00A77B3E"/>
    <w:rsid w:val="00B23BF4"/>
    <w:rsid w:val="00C7176D"/>
    <w:rsid w:val="00CA2A55"/>
    <w:rsid w:val="00D14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0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805BCE"/>
    <w:pPr>
      <w:spacing w:line="360" w:lineRule="auto"/>
    </w:pPr>
    <w:rPr>
      <w:rFonts w:ascii="宋体" w:eastAsia="宋体" w:hAnsi="宋体" w:cs="宋体"/>
      <w:b/>
      <w:sz w:val="21"/>
    </w:rPr>
  </w:style>
  <w:style w:type="paragraph" w:styleId="a3">
    <w:name w:val="Balloon Text"/>
    <w:basedOn w:val="a"/>
    <w:link w:val="Char"/>
    <w:semiHidden/>
    <w:unhideWhenUsed/>
    <w:rsid w:val="00D14B6A"/>
    <w:rPr>
      <w:sz w:val="18"/>
      <w:szCs w:val="18"/>
    </w:rPr>
  </w:style>
  <w:style w:type="character" w:customStyle="1" w:styleId="Char">
    <w:name w:val="批注框文本 Char"/>
    <w:basedOn w:val="a0"/>
    <w:link w:val="a3"/>
    <w:semiHidden/>
    <w:rsid w:val="00D14B6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2024-10-31T16:01:00Z</dcterms:created>
  <dcterms:modified xsi:type="dcterms:W3CDTF">2024-10-31T16:01:00Z</dcterms:modified>
</cp:coreProperties>
</file>