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9D4" w:rsidRDefault="009A3F8A">
      <w:pPr>
        <w:widowControl/>
        <w:snapToGrid w:val="0"/>
        <w:spacing w:line="360" w:lineRule="auto"/>
        <w:jc w:val="center"/>
        <w:outlineLvl w:val="0"/>
        <w:rPr>
          <w:rFonts w:ascii="Times New Roman" w:hAnsi="Times New Roman" w:cs="Times New Roman"/>
          <w:b/>
          <w:bCs/>
          <w:sz w:val="32"/>
          <w:szCs w:val="24"/>
        </w:rPr>
      </w:pPr>
      <w:r>
        <w:rPr>
          <w:rFonts w:ascii="Times New Roman" w:hAnsi="Times New Roman" w:cs="Times New Roman" w:hint="eastAsia"/>
          <w:b/>
          <w:bCs/>
          <w:sz w:val="32"/>
          <w:szCs w:val="24"/>
        </w:rPr>
        <w:t>华泰紫金中债</w:t>
      </w:r>
      <w:r>
        <w:rPr>
          <w:rFonts w:ascii="Times New Roman" w:hAnsi="Times New Roman" w:cs="Times New Roman" w:hint="eastAsia"/>
          <w:b/>
          <w:bCs/>
          <w:sz w:val="32"/>
          <w:szCs w:val="24"/>
        </w:rPr>
        <w:t>0-3</w:t>
      </w:r>
      <w:r>
        <w:rPr>
          <w:rFonts w:ascii="Times New Roman" w:hAnsi="Times New Roman" w:cs="Times New Roman" w:hint="eastAsia"/>
          <w:b/>
          <w:bCs/>
          <w:sz w:val="32"/>
          <w:szCs w:val="24"/>
        </w:rPr>
        <w:t>年政策性金融债指数证券投资基金基金份额发售公告</w:t>
      </w:r>
    </w:p>
    <w:p w:rsidR="00CF09D4" w:rsidRDefault="00CF09D4">
      <w:pPr>
        <w:widowControl/>
        <w:snapToGrid w:val="0"/>
        <w:spacing w:line="360" w:lineRule="auto"/>
        <w:ind w:firstLineChars="176" w:firstLine="422"/>
        <w:jc w:val="center"/>
        <w:rPr>
          <w:rFonts w:ascii="Times New Roman" w:hAnsi="Times New Roman" w:cs="Times New Roman"/>
          <w:sz w:val="24"/>
          <w:szCs w:val="24"/>
        </w:rPr>
      </w:pPr>
    </w:p>
    <w:p w:rsidR="00CF09D4" w:rsidRDefault="009A3F8A">
      <w:pPr>
        <w:pStyle w:val="Heading1"/>
        <w:spacing w:before="0" w:after="0" w:line="360" w:lineRule="auto"/>
        <w:jc w:val="center"/>
        <w:rPr>
          <w:rFonts w:ascii="宋体" w:hAnsi="Cambria" w:cs="Times New Roman"/>
          <w:sz w:val="24"/>
          <w:szCs w:val="24"/>
        </w:rPr>
      </w:pPr>
      <w:r>
        <w:rPr>
          <w:rFonts w:ascii="宋体" w:hAnsi="Cambria" w:cs="Times New Roman"/>
          <w:bCs w:val="0"/>
          <w:sz w:val="24"/>
          <w:szCs w:val="24"/>
        </w:rPr>
        <w:t>重要提示</w:t>
      </w:r>
    </w:p>
    <w:p w:rsidR="00CF09D4" w:rsidRDefault="009A3F8A">
      <w:pPr>
        <w:snapToGrid w:val="0"/>
        <w:spacing w:line="360" w:lineRule="auto"/>
        <w:ind w:firstLineChars="176" w:firstLine="422"/>
        <w:rPr>
          <w:rFonts w:ascii="Times New Roman" w:hAnsi="Times New Roman" w:cs="Times New Roman"/>
          <w:bCs/>
          <w:sz w:val="24"/>
          <w:szCs w:val="24"/>
        </w:rPr>
      </w:pPr>
      <w:r>
        <w:rPr>
          <w:rFonts w:ascii="Times New Roman" w:hAnsi="Times New Roman" w:cs="Times New Roman"/>
          <w:sz w:val="24"/>
          <w:szCs w:val="24"/>
        </w:rPr>
        <w:t>1</w:t>
      </w:r>
      <w:r>
        <w:rPr>
          <w:rFonts w:ascii="Times New Roman" w:hAnsi="Times New Roman" w:cs="Times New Roman" w:hint="eastAsia"/>
          <w:sz w:val="24"/>
          <w:szCs w:val="24"/>
        </w:rPr>
        <w:t>、华泰紫金中债</w:t>
      </w:r>
      <w:r>
        <w:rPr>
          <w:rFonts w:ascii="Times New Roman" w:hAnsi="Times New Roman" w:cs="Times New Roman" w:hint="eastAsia"/>
          <w:sz w:val="24"/>
          <w:szCs w:val="24"/>
        </w:rPr>
        <w:t>0-3</w:t>
      </w:r>
      <w:r>
        <w:rPr>
          <w:rFonts w:ascii="Times New Roman" w:hAnsi="Times New Roman" w:cs="Times New Roman" w:hint="eastAsia"/>
          <w:sz w:val="24"/>
          <w:szCs w:val="24"/>
        </w:rPr>
        <w:t>年政策性金融债指数证券投资基金（以下简称“本基金”）的募集已获中国证券监督管理委员会</w:t>
      </w:r>
      <w:r>
        <w:rPr>
          <w:rFonts w:ascii="Times New Roman" w:hAnsi="Times New Roman" w:cs="Times New Roman" w:hint="eastAsia"/>
          <w:sz w:val="24"/>
          <w:szCs w:val="24"/>
        </w:rPr>
        <w:t>202</w:t>
      </w:r>
      <w:r>
        <w:rPr>
          <w:rFonts w:ascii="Times New Roman" w:hAnsi="Times New Roman" w:cs="Times New Roman"/>
          <w:sz w:val="24"/>
          <w:szCs w:val="24"/>
        </w:rPr>
        <w:t>4</w:t>
      </w:r>
      <w:r>
        <w:rPr>
          <w:rFonts w:ascii="Times New Roman" w:hAnsi="Times New Roman" w:cs="Times New Roman" w:hint="eastAsia"/>
          <w:sz w:val="24"/>
          <w:szCs w:val="24"/>
        </w:rPr>
        <w:t>年</w:t>
      </w:r>
      <w:r>
        <w:rPr>
          <w:rFonts w:ascii="Times New Roman" w:hAnsi="Times New Roman" w:cs="Times New Roman"/>
          <w:sz w:val="24"/>
          <w:szCs w:val="24"/>
        </w:rPr>
        <w:t>5</w:t>
      </w:r>
      <w:r>
        <w:rPr>
          <w:rFonts w:ascii="Times New Roman" w:hAnsi="Times New Roman" w:cs="Times New Roman" w:hint="eastAsia"/>
          <w:sz w:val="24"/>
          <w:szCs w:val="24"/>
        </w:rPr>
        <w:t>月</w:t>
      </w:r>
      <w:r>
        <w:rPr>
          <w:rFonts w:ascii="Times New Roman" w:hAnsi="Times New Roman" w:cs="Times New Roman"/>
          <w:sz w:val="24"/>
          <w:szCs w:val="24"/>
        </w:rPr>
        <w:t>11</w:t>
      </w:r>
      <w:r>
        <w:rPr>
          <w:rFonts w:ascii="Times New Roman" w:hAnsi="Times New Roman" w:cs="Times New Roman" w:hint="eastAsia"/>
          <w:sz w:val="24"/>
          <w:szCs w:val="24"/>
        </w:rPr>
        <w:t>日证监许可</w:t>
      </w:r>
      <w:r>
        <w:rPr>
          <w:rFonts w:ascii="Times New Roman" w:hAnsi="Times New Roman" w:cs="Times New Roman"/>
          <w:sz w:val="24"/>
          <w:szCs w:val="24"/>
        </w:rPr>
        <w:t>[2024]778</w:t>
      </w:r>
      <w:r>
        <w:rPr>
          <w:rFonts w:ascii="Times New Roman" w:hAnsi="Times New Roman" w:cs="Times New Roman" w:hint="eastAsia"/>
          <w:sz w:val="24"/>
          <w:szCs w:val="24"/>
        </w:rPr>
        <w:t>号文准予注册的批复。中国证券监督管理委员会（以下简称“中国证监会”）对本基金的注册并不代表中国证监会对本基金的风险和收益做出实质性判断、推荐或保证，也不表明投资于本基金没有风险。中国证监会不对基金的投资价值及市场前景等作出实质性判断或者保证。</w:t>
      </w:r>
    </w:p>
    <w:p w:rsidR="00CF09D4" w:rsidRDefault="009A3F8A">
      <w:pPr>
        <w:snapToGrid w:val="0"/>
        <w:spacing w:line="360" w:lineRule="auto"/>
        <w:ind w:firstLineChars="176" w:firstLine="42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、本基金类别为债券型证券投资基金，运作方式为契约型开放式。</w:t>
      </w:r>
    </w:p>
    <w:p w:rsidR="00CF09D4" w:rsidRDefault="009A3F8A">
      <w:pPr>
        <w:snapToGrid w:val="0"/>
        <w:spacing w:line="360" w:lineRule="auto"/>
        <w:ind w:firstLineChars="176" w:firstLine="42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、本基金的基金管理人为华泰证券（上海）资产管理有限公司（以下简称</w:t>
      </w:r>
      <w:r>
        <w:rPr>
          <w:rFonts w:ascii="Times New Roman" w:hAnsi="Times New Roman" w:cs="Times New Roman"/>
          <w:sz w:val="24"/>
          <w:szCs w:val="24"/>
        </w:rPr>
        <w:t>“</w:t>
      </w:r>
      <w:r>
        <w:rPr>
          <w:rFonts w:ascii="Times New Roman" w:hAnsi="Times New Roman" w:cs="Times New Roman" w:hint="eastAsia"/>
          <w:sz w:val="24"/>
          <w:szCs w:val="24"/>
        </w:rPr>
        <w:t>本公司</w:t>
      </w:r>
      <w:r>
        <w:rPr>
          <w:rFonts w:ascii="Times New Roman" w:hAnsi="Times New Roman" w:cs="Times New Roman"/>
          <w:sz w:val="24"/>
          <w:szCs w:val="24"/>
        </w:rPr>
        <w:t>”</w:t>
      </w:r>
      <w:r>
        <w:rPr>
          <w:rFonts w:ascii="Times New Roman" w:hAnsi="Times New Roman" w:cs="Times New Roman" w:hint="eastAsia"/>
          <w:sz w:val="24"/>
          <w:szCs w:val="24"/>
        </w:rPr>
        <w:t>），基金托管人为上海银行股份有限公司，登记机构为华泰证券（上海）资产管理有限公司。</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、本基金募集对象为符合法律法规规定的可投资于证券投资基金的个人投资者、机构投资者、合格境外投资者以及法律法规或中国证监会允许购买证券投资基金的其他投资人。</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w:t>
      </w:r>
      <w:r>
        <w:rPr>
          <w:rFonts w:ascii="Times New Roman" w:hAnsi="Times New Roman" w:cs="Times New Roman" w:hint="eastAsia"/>
          <w:b/>
          <w:sz w:val="24"/>
          <w:szCs w:val="24"/>
        </w:rPr>
        <w:t>本基金自</w:t>
      </w:r>
      <w:r>
        <w:rPr>
          <w:rFonts w:ascii="Times New Roman" w:hAnsi="Times New Roman" w:cs="Times New Roman"/>
          <w:b/>
          <w:sz w:val="24"/>
          <w:szCs w:val="24"/>
        </w:rPr>
        <w:t>2024</w:t>
      </w:r>
      <w:r>
        <w:rPr>
          <w:rFonts w:ascii="Times New Roman" w:hAnsi="Times New Roman" w:cs="Times New Roman" w:hint="eastAsia"/>
          <w:b/>
          <w:sz w:val="24"/>
          <w:szCs w:val="24"/>
        </w:rPr>
        <w:t>年</w:t>
      </w:r>
      <w:r>
        <w:rPr>
          <w:rFonts w:ascii="Times New Roman" w:hAnsi="Times New Roman" w:cs="Times New Roman"/>
          <w:b/>
          <w:sz w:val="24"/>
          <w:szCs w:val="24"/>
        </w:rPr>
        <w:t>11</w:t>
      </w:r>
      <w:r>
        <w:rPr>
          <w:rFonts w:ascii="Times New Roman" w:hAnsi="Times New Roman" w:cs="Times New Roman" w:hint="eastAsia"/>
          <w:b/>
          <w:sz w:val="24"/>
          <w:szCs w:val="24"/>
        </w:rPr>
        <w:t>月</w:t>
      </w:r>
      <w:r>
        <w:rPr>
          <w:rFonts w:ascii="Times New Roman" w:hAnsi="Times New Roman" w:cs="Times New Roman"/>
          <w:b/>
          <w:sz w:val="24"/>
          <w:szCs w:val="24"/>
        </w:rPr>
        <w:t>8</w:t>
      </w:r>
      <w:r>
        <w:rPr>
          <w:rFonts w:ascii="Times New Roman" w:hAnsi="Times New Roman" w:cs="Times New Roman" w:hint="eastAsia"/>
          <w:b/>
          <w:sz w:val="24"/>
          <w:szCs w:val="24"/>
        </w:rPr>
        <w:t>日至</w:t>
      </w:r>
      <w:r>
        <w:rPr>
          <w:rFonts w:ascii="Times New Roman" w:hAnsi="Times New Roman" w:cs="Times New Roman"/>
          <w:b/>
          <w:sz w:val="24"/>
          <w:szCs w:val="24"/>
        </w:rPr>
        <w:t>2025</w:t>
      </w:r>
      <w:r>
        <w:rPr>
          <w:rFonts w:ascii="Times New Roman" w:hAnsi="Times New Roman" w:cs="Times New Roman" w:hint="eastAsia"/>
          <w:b/>
          <w:sz w:val="24"/>
          <w:szCs w:val="24"/>
        </w:rPr>
        <w:t>年</w:t>
      </w:r>
      <w:r>
        <w:rPr>
          <w:rFonts w:ascii="Times New Roman" w:hAnsi="Times New Roman" w:cs="Times New Roman"/>
          <w:b/>
          <w:sz w:val="24"/>
          <w:szCs w:val="24"/>
        </w:rPr>
        <w:t>2</w:t>
      </w:r>
      <w:r>
        <w:rPr>
          <w:rFonts w:ascii="Times New Roman" w:hAnsi="Times New Roman" w:cs="Times New Roman" w:hint="eastAsia"/>
          <w:b/>
          <w:sz w:val="24"/>
          <w:szCs w:val="24"/>
        </w:rPr>
        <w:t>月</w:t>
      </w:r>
      <w:r>
        <w:rPr>
          <w:rFonts w:ascii="Times New Roman" w:hAnsi="Times New Roman" w:cs="Times New Roman"/>
          <w:b/>
          <w:sz w:val="24"/>
          <w:szCs w:val="24"/>
        </w:rPr>
        <w:t>7</w:t>
      </w:r>
      <w:r>
        <w:rPr>
          <w:rFonts w:ascii="Times New Roman" w:hAnsi="Times New Roman" w:cs="Times New Roman" w:hint="eastAsia"/>
          <w:b/>
          <w:sz w:val="24"/>
          <w:szCs w:val="24"/>
        </w:rPr>
        <w:t>日通过基金管理人的直销网点（包括直销机构直销中心、网上交易系统等）及基金销售机构的销售网点发售。</w:t>
      </w:r>
      <w:r>
        <w:rPr>
          <w:rFonts w:ascii="Times New Roman" w:hAnsi="Times New Roman" w:cs="Times New Roman"/>
          <w:sz w:val="24"/>
          <w:szCs w:val="24"/>
        </w:rPr>
        <w:t>基金管理人可根据募集情况，在符合相关法律法规的情况下，在募集期限内适当延长或缩短基金发售时间，并及时公告。</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hint="eastAsia"/>
          <w:sz w:val="24"/>
          <w:szCs w:val="24"/>
        </w:rPr>
        <w:t>、</w:t>
      </w:r>
      <w:r>
        <w:rPr>
          <w:rFonts w:ascii="Times New Roman" w:hAnsi="Times New Roman" w:cs="Times New Roman" w:hint="eastAsia"/>
          <w:b/>
          <w:sz w:val="24"/>
          <w:szCs w:val="24"/>
        </w:rPr>
        <w:t>募集期内，本基金募集规模上限为</w:t>
      </w:r>
      <w:r>
        <w:rPr>
          <w:rFonts w:ascii="Times New Roman" w:hAnsi="Times New Roman" w:cs="Times New Roman" w:hint="eastAsia"/>
          <w:b/>
          <w:sz w:val="24"/>
          <w:szCs w:val="24"/>
        </w:rPr>
        <w:t>50</w:t>
      </w:r>
      <w:r>
        <w:rPr>
          <w:rFonts w:ascii="Times New Roman" w:hAnsi="Times New Roman" w:cs="Times New Roman" w:hint="eastAsia"/>
          <w:b/>
          <w:sz w:val="24"/>
          <w:szCs w:val="24"/>
        </w:rPr>
        <w:t>亿元人民币（不包括募集期利息），采用末日比例确认的方式实现募集规模的有效控制。</w:t>
      </w:r>
      <w:r>
        <w:rPr>
          <w:rFonts w:ascii="Times New Roman" w:hAnsi="Times New Roman" w:cs="Times New Roman" w:hint="eastAsia"/>
          <w:sz w:val="24"/>
          <w:szCs w:val="24"/>
        </w:rPr>
        <w:t>若本基金在募集期内任何一天（含第一天）当日募集截止时间后，基金募集总规模接近、达到或超过募集规模上限，本公司将提前结束本次募集并于次日在规定媒介上公告，未确认部分的认购款项将在募集期结束后退还</w:t>
      </w:r>
      <w:r>
        <w:rPr>
          <w:rFonts w:ascii="Times New Roman" w:hAnsi="Times New Roman" w:cs="Times New Roman" w:hint="eastAsia"/>
          <w:sz w:val="24"/>
          <w:szCs w:val="24"/>
        </w:rPr>
        <w:t>给投资者，由此产生的利息等损失由投资人自行承担。</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hint="eastAsia"/>
          <w:sz w:val="24"/>
          <w:szCs w:val="24"/>
        </w:rPr>
        <w:t>、投资人通过基金管理人以外的其他销售机构认购，首次最低认购金额为</w:t>
      </w:r>
      <w:r>
        <w:rPr>
          <w:rFonts w:ascii="Times New Roman" w:hAnsi="Times New Roman" w:cs="Times New Roman" w:hint="eastAsia"/>
          <w:sz w:val="24"/>
          <w:szCs w:val="24"/>
        </w:rPr>
        <w:t>1.00</w:t>
      </w:r>
      <w:r>
        <w:rPr>
          <w:rFonts w:ascii="Times New Roman" w:hAnsi="Times New Roman" w:cs="Times New Roman" w:hint="eastAsia"/>
          <w:sz w:val="24"/>
          <w:szCs w:val="24"/>
        </w:rPr>
        <w:t>元（含认购费），追加认购单笔最低金额为</w:t>
      </w:r>
      <w:r>
        <w:rPr>
          <w:rFonts w:ascii="Times New Roman" w:hAnsi="Times New Roman" w:cs="Times New Roman" w:hint="eastAsia"/>
          <w:sz w:val="24"/>
          <w:szCs w:val="24"/>
        </w:rPr>
        <w:t>0.01</w:t>
      </w:r>
      <w:r>
        <w:rPr>
          <w:rFonts w:ascii="Times New Roman" w:hAnsi="Times New Roman" w:cs="Times New Roman" w:hint="eastAsia"/>
          <w:sz w:val="24"/>
          <w:szCs w:val="24"/>
        </w:rPr>
        <w:t>元（含认购费）；通过本</w:t>
      </w:r>
      <w:r>
        <w:rPr>
          <w:rFonts w:ascii="Times New Roman" w:hAnsi="Times New Roman" w:cs="Times New Roman" w:hint="eastAsia"/>
          <w:sz w:val="24"/>
          <w:szCs w:val="24"/>
        </w:rPr>
        <w:lastRenderedPageBreak/>
        <w:t>基金管理人直销机构认购，单个基金账户的首次最低认购金额为</w:t>
      </w:r>
      <w:r>
        <w:rPr>
          <w:rFonts w:ascii="Times New Roman" w:hAnsi="Times New Roman" w:cs="Times New Roman" w:hint="eastAsia"/>
          <w:sz w:val="24"/>
          <w:szCs w:val="24"/>
        </w:rPr>
        <w:t>1.00</w:t>
      </w:r>
      <w:r>
        <w:rPr>
          <w:rFonts w:ascii="Times New Roman" w:hAnsi="Times New Roman" w:cs="Times New Roman" w:hint="eastAsia"/>
          <w:sz w:val="24"/>
          <w:szCs w:val="24"/>
        </w:rPr>
        <w:t>元（含认购费），追加认购单笔最低金额为</w:t>
      </w:r>
      <w:r>
        <w:rPr>
          <w:rFonts w:ascii="Times New Roman" w:hAnsi="Times New Roman" w:cs="Times New Roman" w:hint="eastAsia"/>
          <w:sz w:val="24"/>
          <w:szCs w:val="24"/>
        </w:rPr>
        <w:t>0.01</w:t>
      </w:r>
      <w:r>
        <w:rPr>
          <w:rFonts w:ascii="Times New Roman" w:hAnsi="Times New Roman" w:cs="Times New Roman" w:hint="eastAsia"/>
          <w:sz w:val="24"/>
          <w:szCs w:val="24"/>
        </w:rPr>
        <w:t>元（含认购费）。详情请见当地销售机构公告。</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hint="eastAsia"/>
          <w:sz w:val="24"/>
          <w:szCs w:val="24"/>
        </w:rPr>
        <w:t>、</w:t>
      </w:r>
      <w:r>
        <w:rPr>
          <w:rFonts w:ascii="Times New Roman" w:hAnsi="Times New Roman" w:cs="Times New Roman" w:hint="eastAsia"/>
          <w:b/>
          <w:sz w:val="24"/>
          <w:szCs w:val="24"/>
        </w:rPr>
        <w:t>募集期间的单个投资人的累计认购金额不受限制，但单一投资者认购基金份额数不得达到或者超过基金份额总数的</w:t>
      </w:r>
      <w:r>
        <w:rPr>
          <w:rFonts w:ascii="Times New Roman" w:hAnsi="Times New Roman" w:cs="Times New Roman" w:hint="eastAsia"/>
          <w:b/>
          <w:sz w:val="24"/>
          <w:szCs w:val="24"/>
        </w:rPr>
        <w:t>20%</w:t>
      </w:r>
      <w:r>
        <w:rPr>
          <w:rFonts w:ascii="Times New Roman" w:hAnsi="Times New Roman" w:cs="Times New Roman" w:hint="eastAsia"/>
          <w:b/>
          <w:sz w:val="24"/>
          <w:szCs w:val="24"/>
        </w:rPr>
        <w:t>。</w:t>
      </w:r>
      <w:r>
        <w:rPr>
          <w:rFonts w:ascii="Times New Roman" w:hAnsi="Times New Roman" w:cs="Times New Roman" w:hint="eastAsia"/>
          <w:sz w:val="24"/>
          <w:szCs w:val="24"/>
        </w:rPr>
        <w:t>如本基金单个投资人累计认购的基金份额数达到或者超过基金</w:t>
      </w:r>
      <w:r>
        <w:rPr>
          <w:rFonts w:ascii="Times New Roman" w:hAnsi="Times New Roman" w:cs="Times New Roman" w:hint="eastAsia"/>
          <w:sz w:val="24"/>
          <w:szCs w:val="24"/>
        </w:rPr>
        <w:t>总份额的</w:t>
      </w:r>
      <w:r>
        <w:rPr>
          <w:rFonts w:ascii="Times New Roman" w:hAnsi="Times New Roman" w:cs="Times New Roman" w:hint="eastAsia"/>
          <w:sz w:val="24"/>
          <w:szCs w:val="24"/>
        </w:rPr>
        <w:t>20%</w:t>
      </w:r>
      <w:r>
        <w:rPr>
          <w:rFonts w:ascii="Times New Roman" w:hAnsi="Times New Roman" w:cs="Times New Roman" w:hint="eastAsia"/>
          <w:sz w:val="24"/>
          <w:szCs w:val="24"/>
        </w:rPr>
        <w:t>，基金管理人可以采取比例确认等方式对该投资人的认购申请进行限制。基金管理人接受某笔或者某些认购申请有可能导致投资者变相规避前述</w:t>
      </w:r>
      <w:r>
        <w:rPr>
          <w:rFonts w:ascii="Times New Roman" w:hAnsi="Times New Roman" w:cs="Times New Roman" w:hint="eastAsia"/>
          <w:sz w:val="24"/>
          <w:szCs w:val="24"/>
        </w:rPr>
        <w:t>20%</w:t>
      </w:r>
      <w:r>
        <w:rPr>
          <w:rFonts w:ascii="Times New Roman" w:hAnsi="Times New Roman" w:cs="Times New Roman" w:hint="eastAsia"/>
          <w:sz w:val="24"/>
          <w:szCs w:val="24"/>
        </w:rPr>
        <w:t>比例要求的，基金管理人有权拒绝该等全部或者部分认购申请。投资人认购的基金份额数以基金合同生效后登记机构的确认为准。</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hint="eastAsia"/>
          <w:sz w:val="24"/>
          <w:szCs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任何损失由投资者自行承担。</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hint="eastAsia"/>
          <w:sz w:val="24"/>
          <w:szCs w:val="24"/>
        </w:rPr>
        <w:t>、本公告仅对本基金发售的有关事项和规定予以说明，投资人欲了解本基金的详细情况，</w:t>
      </w:r>
      <w:r>
        <w:rPr>
          <w:rFonts w:ascii="Times New Roman" w:hAnsi="Times New Roman" w:cs="Times New Roman"/>
          <w:sz w:val="24"/>
          <w:szCs w:val="24"/>
        </w:rPr>
        <w:t>可</w:t>
      </w:r>
      <w:r>
        <w:rPr>
          <w:rFonts w:ascii="Times New Roman" w:hAnsi="Times New Roman" w:cs="Times New Roman" w:hint="eastAsia"/>
          <w:sz w:val="24"/>
          <w:szCs w:val="24"/>
        </w:rPr>
        <w:t>阅读登载</w:t>
      </w:r>
      <w:r>
        <w:rPr>
          <w:rFonts w:ascii="Times New Roman" w:hAnsi="Times New Roman" w:cs="Times New Roman"/>
          <w:sz w:val="24"/>
          <w:szCs w:val="24"/>
        </w:rPr>
        <w:t>在本公司</w:t>
      </w:r>
      <w:r>
        <w:rPr>
          <w:rFonts w:ascii="Times New Roman" w:hAnsi="Times New Roman" w:cs="Times New Roman" w:hint="eastAsia"/>
          <w:sz w:val="24"/>
          <w:szCs w:val="24"/>
        </w:rPr>
        <w:t>官</w:t>
      </w:r>
      <w:r>
        <w:rPr>
          <w:rFonts w:ascii="Times New Roman" w:hAnsi="Times New Roman" w:cs="Times New Roman"/>
          <w:sz w:val="24"/>
          <w:szCs w:val="24"/>
        </w:rPr>
        <w:t>网</w:t>
      </w:r>
      <w:r>
        <w:rPr>
          <w:rFonts w:ascii="Times New Roman" w:hAnsi="Times New Roman" w:cs="Times New Roman" w:hint="eastAsia"/>
          <w:sz w:val="24"/>
          <w:szCs w:val="24"/>
        </w:rPr>
        <w:t>（</w:t>
      </w:r>
      <w:r>
        <w:rPr>
          <w:rFonts w:ascii="Times New Roman" w:hAnsi="Times New Roman" w:cs="Times New Roman"/>
          <w:sz w:val="24"/>
          <w:szCs w:val="24"/>
        </w:rPr>
        <w:t>https://www.htscamc.com</w:t>
      </w:r>
      <w:r>
        <w:rPr>
          <w:rFonts w:ascii="Times New Roman" w:hAnsi="Times New Roman" w:cs="Times New Roman" w:hint="eastAsia"/>
          <w:sz w:val="24"/>
          <w:szCs w:val="24"/>
        </w:rPr>
        <w:t>）和中国证监会基金电子披露网站（</w:t>
      </w:r>
      <w:r>
        <w:rPr>
          <w:rFonts w:ascii="Times New Roman" w:hAnsi="Times New Roman" w:cs="Times New Roman"/>
          <w:sz w:val="24"/>
          <w:szCs w:val="24"/>
        </w:rPr>
        <w:t>http://eid.csrc.gov.cn/fund</w:t>
      </w:r>
      <w:r>
        <w:rPr>
          <w:rFonts w:ascii="Times New Roman" w:hAnsi="Times New Roman" w:cs="Times New Roman" w:hint="eastAsia"/>
          <w:sz w:val="24"/>
          <w:szCs w:val="24"/>
        </w:rPr>
        <w:t>）的本基金《基金合同》、《招募说明书》、</w:t>
      </w:r>
      <w:r>
        <w:rPr>
          <w:rFonts w:ascii="Times New Roman" w:hAnsi="Times New Roman" w:cs="Times New Roman"/>
          <w:sz w:val="24"/>
          <w:szCs w:val="24"/>
        </w:rPr>
        <w:t>《</w:t>
      </w:r>
      <w:r>
        <w:rPr>
          <w:rFonts w:ascii="Times New Roman" w:hAnsi="Times New Roman" w:cs="Times New Roman" w:hint="eastAsia"/>
          <w:sz w:val="24"/>
          <w:szCs w:val="24"/>
        </w:rPr>
        <w:t>托管协议</w:t>
      </w:r>
      <w:r>
        <w:rPr>
          <w:rFonts w:ascii="Times New Roman" w:hAnsi="Times New Roman" w:cs="Times New Roman"/>
          <w:sz w:val="24"/>
          <w:szCs w:val="24"/>
        </w:rPr>
        <w:t>》</w:t>
      </w:r>
      <w:r>
        <w:rPr>
          <w:rFonts w:ascii="Times New Roman" w:hAnsi="Times New Roman" w:cs="Times New Roman" w:hint="eastAsia"/>
          <w:sz w:val="24"/>
          <w:szCs w:val="24"/>
        </w:rPr>
        <w:t>和</w:t>
      </w:r>
      <w:r>
        <w:rPr>
          <w:rFonts w:ascii="Times New Roman" w:hAnsi="Times New Roman" w:cs="Times New Roman"/>
          <w:sz w:val="24"/>
          <w:szCs w:val="24"/>
        </w:rPr>
        <w:t>《</w:t>
      </w:r>
      <w:r>
        <w:rPr>
          <w:rFonts w:ascii="Times New Roman" w:hAnsi="Times New Roman" w:cs="Times New Roman" w:hint="eastAsia"/>
          <w:sz w:val="24"/>
          <w:szCs w:val="24"/>
        </w:rPr>
        <w:t>基金</w:t>
      </w:r>
      <w:r>
        <w:rPr>
          <w:rFonts w:ascii="Times New Roman" w:hAnsi="Times New Roman" w:cs="Times New Roman"/>
          <w:sz w:val="24"/>
          <w:szCs w:val="24"/>
        </w:rPr>
        <w:t>产品资料概要》</w:t>
      </w:r>
      <w:r>
        <w:rPr>
          <w:rFonts w:ascii="Times New Roman" w:hAnsi="Times New Roman" w:cs="Times New Roman" w:hint="eastAsia"/>
          <w:sz w:val="24"/>
          <w:szCs w:val="24"/>
        </w:rPr>
        <w:t>。</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hint="eastAsia"/>
          <w:sz w:val="24"/>
          <w:szCs w:val="24"/>
        </w:rPr>
        <w:t>、募集期内，本基金还有可能新增或者变更销售机构，届时将</w:t>
      </w:r>
      <w:r>
        <w:rPr>
          <w:rFonts w:ascii="Times New Roman" w:hAnsi="Times New Roman" w:cs="Times New Roman"/>
          <w:sz w:val="24"/>
          <w:szCs w:val="24"/>
        </w:rPr>
        <w:t>另行在</w:t>
      </w:r>
      <w:r>
        <w:rPr>
          <w:rFonts w:ascii="Times New Roman" w:hAnsi="Times New Roman" w:cs="Times New Roman" w:hint="eastAsia"/>
          <w:sz w:val="24"/>
          <w:szCs w:val="24"/>
        </w:rPr>
        <w:t>本</w:t>
      </w:r>
      <w:r>
        <w:rPr>
          <w:rFonts w:ascii="Times New Roman" w:hAnsi="Times New Roman" w:cs="Times New Roman"/>
          <w:sz w:val="24"/>
          <w:szCs w:val="24"/>
        </w:rPr>
        <w:t>公司</w:t>
      </w:r>
      <w:r>
        <w:rPr>
          <w:rFonts w:ascii="Times New Roman" w:hAnsi="Times New Roman" w:cs="Times New Roman" w:hint="eastAsia"/>
          <w:sz w:val="24"/>
          <w:szCs w:val="24"/>
        </w:rPr>
        <w:t>官网</w:t>
      </w:r>
      <w:r>
        <w:rPr>
          <w:rFonts w:ascii="Times New Roman" w:hAnsi="Times New Roman" w:cs="Times New Roman"/>
          <w:sz w:val="24"/>
          <w:szCs w:val="24"/>
        </w:rPr>
        <w:t>列示</w:t>
      </w:r>
      <w:r>
        <w:rPr>
          <w:rFonts w:ascii="Times New Roman" w:hAnsi="Times New Roman" w:cs="Times New Roman" w:hint="eastAsia"/>
          <w:sz w:val="24"/>
          <w:szCs w:val="24"/>
        </w:rPr>
        <w:t>，或拨打本公司及各销售机构客户服务电话咨询。</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2</w:t>
      </w:r>
      <w:r>
        <w:rPr>
          <w:rFonts w:ascii="Times New Roman" w:hAnsi="Times New Roman" w:cs="Times New Roman" w:hint="eastAsia"/>
          <w:sz w:val="24"/>
          <w:szCs w:val="24"/>
        </w:rPr>
        <w:t>、各销售机构办理认购业务的办理网点、办理日期和时间等事项参照各销售机构的</w:t>
      </w:r>
      <w:r>
        <w:rPr>
          <w:rFonts w:ascii="Times New Roman" w:hAnsi="Times New Roman" w:cs="Times New Roman" w:hint="eastAsia"/>
          <w:sz w:val="24"/>
          <w:szCs w:val="24"/>
        </w:rPr>
        <w:t>具体规定。</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3</w:t>
      </w:r>
      <w:r>
        <w:rPr>
          <w:rFonts w:ascii="Times New Roman" w:hAnsi="Times New Roman" w:cs="Times New Roman" w:hint="eastAsia"/>
          <w:sz w:val="24"/>
          <w:szCs w:val="24"/>
        </w:rPr>
        <w:t>、投资人可拨打本公司客户服务电话（</w:t>
      </w:r>
      <w:r>
        <w:rPr>
          <w:rFonts w:ascii="Times New Roman" w:hAnsi="Times New Roman" w:cs="Times New Roman"/>
          <w:sz w:val="24"/>
          <w:szCs w:val="24"/>
        </w:rPr>
        <w:t>400-889-5597</w:t>
      </w:r>
      <w:r>
        <w:rPr>
          <w:rFonts w:ascii="Times New Roman" w:hAnsi="Times New Roman" w:cs="Times New Roman" w:hint="eastAsia"/>
          <w:sz w:val="24"/>
          <w:szCs w:val="24"/>
        </w:rPr>
        <w:t>/95597</w:t>
      </w:r>
      <w:r>
        <w:rPr>
          <w:rFonts w:ascii="Times New Roman" w:hAnsi="Times New Roman" w:cs="Times New Roman" w:hint="eastAsia"/>
          <w:sz w:val="24"/>
          <w:szCs w:val="24"/>
        </w:rPr>
        <w:t>）或各销售机构咨询电话了解认购事宜。</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4</w:t>
      </w:r>
      <w:r>
        <w:rPr>
          <w:rFonts w:ascii="Times New Roman" w:hAnsi="Times New Roman" w:cs="Times New Roman" w:hint="eastAsia"/>
          <w:sz w:val="24"/>
          <w:szCs w:val="24"/>
        </w:rPr>
        <w:t>、基金管理人可综合各种情况对销售安排及募集期其他相关事项做适当调整。</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5</w:t>
      </w:r>
      <w:r>
        <w:rPr>
          <w:rFonts w:ascii="Times New Roman" w:hAnsi="Times New Roman" w:cs="Times New Roman" w:hint="eastAsia"/>
          <w:sz w:val="24"/>
          <w:szCs w:val="24"/>
        </w:rPr>
        <w:t>、风险提示</w:t>
      </w:r>
    </w:p>
    <w:p w:rsidR="00CF09D4" w:rsidRDefault="009A3F8A">
      <w:pPr>
        <w:widowControl/>
        <w:snapToGrid w:val="0"/>
        <w:spacing w:line="360" w:lineRule="auto"/>
        <w:ind w:firstLineChars="177" w:firstLine="425"/>
        <w:jc w:val="left"/>
        <w:rPr>
          <w:rFonts w:ascii="Times New Roman" w:hAnsi="Times New Roman" w:cs="Times New Roman"/>
          <w:sz w:val="24"/>
          <w:szCs w:val="24"/>
        </w:rPr>
      </w:pPr>
      <w:r>
        <w:rPr>
          <w:rFonts w:ascii="Times New Roman" w:hAnsi="Times New Roman" w:cs="Times New Roman" w:hint="eastAsia"/>
          <w:sz w:val="24"/>
          <w:szCs w:val="24"/>
        </w:rPr>
        <w:t>在投资本基金前，投资人应全面了解本基金的产品特性，充分考虑自身的风险承受能力，理性判断市场，对认购基金的意愿、时机、数量等投资行为作出独立决策，获得基金投资收益，亦承担基金投资中出现的各类风险，包括但</w:t>
      </w:r>
      <w:r>
        <w:rPr>
          <w:rFonts w:ascii="Times New Roman" w:hAnsi="Times New Roman" w:cs="Times New Roman" w:hint="eastAsia"/>
          <w:sz w:val="24"/>
          <w:szCs w:val="24"/>
        </w:rPr>
        <w:lastRenderedPageBreak/>
        <w:t>不限于因证券市场价格受到各种因素的影响导致基金收益水平变化而产生的市场风险、流动性风险、操作风险、</w:t>
      </w:r>
      <w:r>
        <w:rPr>
          <w:rFonts w:ascii="Times New Roman" w:hAnsi="Times New Roman" w:cs="Times New Roman" w:hint="eastAsia"/>
          <w:sz w:val="24"/>
          <w:szCs w:val="24"/>
        </w:rPr>
        <w:t>管理风险、合规风险、本基金的特有风险、本基金法律文件风险收益特征表述与销售机构基金风险评价可能不一致的风险等。此外，本基金以</w:t>
      </w:r>
      <w:r>
        <w:rPr>
          <w:rFonts w:ascii="Times New Roman" w:hAnsi="Times New Roman" w:cs="Times New Roman" w:hint="eastAsia"/>
          <w:sz w:val="24"/>
          <w:szCs w:val="24"/>
        </w:rPr>
        <w:t>1</w:t>
      </w:r>
      <w:r>
        <w:rPr>
          <w:rFonts w:ascii="Times New Roman" w:hAnsi="Times New Roman" w:cs="Times New Roman" w:hint="eastAsia"/>
          <w:sz w:val="24"/>
          <w:szCs w:val="24"/>
        </w:rPr>
        <w:t>元初始面值进行募集，在市场波动等因素的影响下，存在基金份额净值跌破</w:t>
      </w:r>
      <w:r>
        <w:rPr>
          <w:rFonts w:ascii="Times New Roman" w:hAnsi="Times New Roman" w:cs="Times New Roman" w:hint="eastAsia"/>
          <w:sz w:val="24"/>
          <w:szCs w:val="24"/>
        </w:rPr>
        <w:t>1</w:t>
      </w:r>
      <w:r>
        <w:rPr>
          <w:rFonts w:ascii="Times New Roman" w:hAnsi="Times New Roman" w:cs="Times New Roman" w:hint="eastAsia"/>
          <w:sz w:val="24"/>
          <w:szCs w:val="24"/>
        </w:rPr>
        <w:t>元初始面值的风险。投资有风险，投资人认购基金时应认真阅读本基金《基金合同》、《招募说明书》和《基金产品资料概要》。</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本基金属于债券型基金，其预期的收益与风险低于股票型基金、混合型基金，高于货币市场基金。本基金为指数型基金，主要采用分层和动态优化复制的方法跟踪标的指数，具有与标的指数相似的风险收益特征。</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本基金为指数基金，投资者投资于本基金面临跟踪误差控制未达约定目标、指数编制机构停止服务、成份券停牌或违约等潜在风险。</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本基金主要投资于标的指数成份券及备选成份券</w:t>
      </w:r>
      <w:r>
        <w:rPr>
          <w:rFonts w:ascii="Times New Roman" w:hAnsi="Times New Roman" w:cs="Times New Roman" w:hint="eastAsia"/>
          <w:sz w:val="24"/>
          <w:szCs w:val="24"/>
        </w:rPr>
        <w:t>,</w:t>
      </w:r>
      <w:r>
        <w:rPr>
          <w:rFonts w:ascii="Times New Roman" w:hAnsi="Times New Roman" w:cs="Times New Roman" w:hint="eastAsia"/>
          <w:sz w:val="24"/>
          <w:szCs w:val="24"/>
        </w:rPr>
        <w:t>为更好实现投资目标</w:t>
      </w:r>
      <w:r>
        <w:rPr>
          <w:rFonts w:ascii="Times New Roman" w:hAnsi="Times New Roman" w:cs="Times New Roman" w:hint="eastAsia"/>
          <w:sz w:val="24"/>
          <w:szCs w:val="24"/>
        </w:rPr>
        <w:t>,</w:t>
      </w:r>
      <w:r>
        <w:rPr>
          <w:rFonts w:ascii="Times New Roman" w:hAnsi="Times New Roman" w:cs="Times New Roman" w:hint="eastAsia"/>
          <w:sz w:val="24"/>
          <w:szCs w:val="24"/>
        </w:rPr>
        <w:t>还可以投资于具有良好流动性的金融工具</w:t>
      </w:r>
      <w:r>
        <w:rPr>
          <w:rFonts w:ascii="Times New Roman" w:hAnsi="Times New Roman" w:cs="Times New Roman" w:hint="eastAsia"/>
          <w:sz w:val="24"/>
          <w:szCs w:val="24"/>
        </w:rPr>
        <w:t>,</w:t>
      </w:r>
      <w:r>
        <w:rPr>
          <w:rFonts w:ascii="Times New Roman" w:hAnsi="Times New Roman" w:cs="Times New Roman" w:hint="eastAsia"/>
          <w:sz w:val="24"/>
          <w:szCs w:val="24"/>
        </w:rPr>
        <w:t>包括国内依法发行上市的国债、央行票据、政策性金融债、债券回购、银行存款以及法律法规或中国证监会允许基金投资的其他金融工具，但须符合中国证监会相关规定。</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本基金不投资于股票等权益类资产，也不投资于除国债、央行票据、政策性金融债以外的债券资产。</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如法律法规或监管机构以后允许基金投资其他品种，基金管理人在履行适当程序后，可以将其纳入投资范围。</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本基金主要投资于政策性金融债，可能面临政策性银行改制后的信用风险、政策性金融债流动性风险、投资集中度风险等。</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基金的投资组合比例为：本基金投资于债券资产的比例不低于基金资产的</w:t>
      </w:r>
      <w:r>
        <w:rPr>
          <w:rFonts w:ascii="Times New Roman" w:hAnsi="Times New Roman" w:cs="Times New Roman" w:hint="eastAsia"/>
          <w:sz w:val="24"/>
          <w:szCs w:val="24"/>
        </w:rPr>
        <w:t>80%</w:t>
      </w:r>
      <w:r>
        <w:rPr>
          <w:rFonts w:ascii="Times New Roman" w:hAnsi="Times New Roman" w:cs="Times New Roman" w:hint="eastAsia"/>
          <w:sz w:val="24"/>
          <w:szCs w:val="24"/>
        </w:rPr>
        <w:t>；其中投资于待偿期</w:t>
      </w:r>
      <w:r>
        <w:rPr>
          <w:rFonts w:ascii="Times New Roman" w:hAnsi="Times New Roman" w:cs="Times New Roman" w:hint="eastAsia"/>
          <w:sz w:val="24"/>
          <w:szCs w:val="24"/>
        </w:rPr>
        <w:t>0-3</w:t>
      </w:r>
      <w:r>
        <w:rPr>
          <w:rFonts w:ascii="Times New Roman" w:hAnsi="Times New Roman" w:cs="Times New Roman" w:hint="eastAsia"/>
          <w:sz w:val="24"/>
          <w:szCs w:val="24"/>
        </w:rPr>
        <w:t>年（包含</w:t>
      </w:r>
      <w:r>
        <w:rPr>
          <w:rFonts w:ascii="Times New Roman" w:hAnsi="Times New Roman" w:cs="Times New Roman" w:hint="eastAsia"/>
          <w:sz w:val="24"/>
          <w:szCs w:val="24"/>
        </w:rPr>
        <w:t>3</w:t>
      </w:r>
      <w:r>
        <w:rPr>
          <w:rFonts w:ascii="Times New Roman" w:hAnsi="Times New Roman" w:cs="Times New Roman" w:hint="eastAsia"/>
          <w:sz w:val="24"/>
          <w:szCs w:val="24"/>
        </w:rPr>
        <w:t>年）的标的指数成份券及其备选成份券的比例不低于本基金非现金基金资产的</w:t>
      </w:r>
      <w:r>
        <w:rPr>
          <w:rFonts w:ascii="Times New Roman" w:hAnsi="Times New Roman" w:cs="Times New Roman" w:hint="eastAsia"/>
          <w:sz w:val="24"/>
          <w:szCs w:val="24"/>
        </w:rPr>
        <w:t>80%</w:t>
      </w:r>
      <w:r>
        <w:rPr>
          <w:rFonts w:ascii="Times New Roman" w:hAnsi="Times New Roman" w:cs="Times New Roman" w:hint="eastAsia"/>
          <w:sz w:val="24"/>
          <w:szCs w:val="24"/>
        </w:rPr>
        <w:t>。本基金持有现金或者到期日在</w:t>
      </w:r>
      <w:r>
        <w:rPr>
          <w:rFonts w:ascii="Times New Roman" w:hAnsi="Times New Roman" w:cs="Times New Roman" w:hint="eastAsia"/>
          <w:sz w:val="24"/>
          <w:szCs w:val="24"/>
        </w:rPr>
        <w:t>1</w:t>
      </w:r>
      <w:r>
        <w:rPr>
          <w:rFonts w:ascii="Times New Roman" w:hAnsi="Times New Roman" w:cs="Times New Roman" w:hint="eastAsia"/>
          <w:sz w:val="24"/>
          <w:szCs w:val="24"/>
        </w:rPr>
        <w:t>年以内的政府债券不低于基金资产净值的</w:t>
      </w:r>
      <w:r>
        <w:rPr>
          <w:rFonts w:ascii="Times New Roman" w:hAnsi="Times New Roman" w:cs="Times New Roman" w:hint="eastAsia"/>
          <w:sz w:val="24"/>
          <w:szCs w:val="24"/>
        </w:rPr>
        <w:t>5%</w:t>
      </w:r>
      <w:r>
        <w:rPr>
          <w:rFonts w:ascii="Times New Roman" w:hAnsi="Times New Roman" w:cs="Times New Roman" w:hint="eastAsia"/>
          <w:sz w:val="24"/>
          <w:szCs w:val="24"/>
        </w:rPr>
        <w:t>，其中现金不包括结算备付金、存出保证金、应收申购款等。</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基金的过往业绩并不预示其未来表现，基金管理人管理的其他基金的业绩也不构成对本基金业绩表现的保证。</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基金管理人依照恪尽职守、诚实信用、谨慎勤勉的原则管理和运用基金财产，但不保证基金一定盈利，也不保证最低收益。</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6</w:t>
      </w:r>
      <w:r>
        <w:rPr>
          <w:rFonts w:ascii="Times New Roman" w:hAnsi="Times New Roman" w:cs="Times New Roman" w:hint="eastAsia"/>
          <w:sz w:val="24"/>
          <w:szCs w:val="24"/>
        </w:rPr>
        <w:t>、本公告解释权归基金管理人。</w:t>
      </w:r>
    </w:p>
    <w:p w:rsidR="00CF09D4" w:rsidRDefault="009A3F8A">
      <w:pPr>
        <w:pStyle w:val="Heading1"/>
        <w:spacing w:before="120" w:after="120" w:line="360" w:lineRule="auto"/>
        <w:ind w:firstLineChars="176" w:firstLine="424"/>
        <w:rPr>
          <w:rFonts w:ascii="Times New Roman" w:hAnsi="Times New Roman" w:cs="Times New Roman"/>
          <w:sz w:val="24"/>
          <w:szCs w:val="24"/>
        </w:rPr>
      </w:pPr>
      <w:r>
        <w:rPr>
          <w:rFonts w:ascii="Times New Roman" w:hAnsi="Times New Roman" w:cs="Times New Roman" w:hint="eastAsia"/>
          <w:sz w:val="24"/>
          <w:szCs w:val="24"/>
        </w:rPr>
        <w:t>一、基金募集的基本情况</w:t>
      </w:r>
    </w:p>
    <w:p w:rsidR="00CF09D4" w:rsidRDefault="009A3F8A">
      <w:pPr>
        <w:pStyle w:val="af8"/>
        <w:widowControl/>
        <w:numPr>
          <w:ilvl w:val="0"/>
          <w:numId w:val="1"/>
        </w:numPr>
        <w:snapToGrid w:val="0"/>
        <w:spacing w:line="360" w:lineRule="auto"/>
        <w:ind w:left="851" w:firstLineChars="0" w:hanging="425"/>
        <w:jc w:val="left"/>
        <w:outlineLvl w:val="1"/>
        <w:rPr>
          <w:rFonts w:ascii="Times New Roman" w:hAnsi="Times New Roman" w:cs="Times New Roman"/>
          <w:sz w:val="24"/>
          <w:szCs w:val="24"/>
        </w:rPr>
      </w:pPr>
      <w:r>
        <w:rPr>
          <w:rFonts w:ascii="Times New Roman" w:hAnsi="Times New Roman" w:cs="Times New Roman" w:hint="eastAsia"/>
          <w:sz w:val="24"/>
          <w:szCs w:val="24"/>
        </w:rPr>
        <w:t>基金名称</w:t>
      </w:r>
    </w:p>
    <w:p w:rsidR="00CF09D4" w:rsidRDefault="009A3F8A">
      <w:pPr>
        <w:widowControl/>
        <w:snapToGrid w:val="0"/>
        <w:spacing w:line="360" w:lineRule="auto"/>
        <w:ind w:firstLineChars="177" w:firstLine="425"/>
        <w:jc w:val="left"/>
        <w:rPr>
          <w:rFonts w:ascii="Times New Roman" w:hAnsi="Times New Roman" w:cs="Times New Roman"/>
          <w:sz w:val="24"/>
          <w:szCs w:val="24"/>
        </w:rPr>
      </w:pPr>
      <w:r>
        <w:rPr>
          <w:rFonts w:ascii="Times New Roman" w:hAnsi="Times New Roman" w:cs="Times New Roman" w:hint="eastAsia"/>
          <w:sz w:val="24"/>
          <w:szCs w:val="24"/>
        </w:rPr>
        <w:t>华泰紫金中债</w:t>
      </w:r>
      <w:r>
        <w:rPr>
          <w:rFonts w:ascii="Times New Roman" w:hAnsi="Times New Roman" w:cs="Times New Roman" w:hint="eastAsia"/>
          <w:sz w:val="24"/>
          <w:szCs w:val="24"/>
        </w:rPr>
        <w:t>0-3</w:t>
      </w:r>
      <w:r>
        <w:rPr>
          <w:rFonts w:ascii="Times New Roman" w:hAnsi="Times New Roman" w:cs="Times New Roman" w:hint="eastAsia"/>
          <w:sz w:val="24"/>
          <w:szCs w:val="24"/>
        </w:rPr>
        <w:t>年政策性金融债指数证券投资基金</w:t>
      </w:r>
    </w:p>
    <w:p w:rsidR="00CF09D4" w:rsidRDefault="009A3F8A">
      <w:pPr>
        <w:pStyle w:val="af8"/>
        <w:widowControl/>
        <w:numPr>
          <w:ilvl w:val="0"/>
          <w:numId w:val="1"/>
        </w:numPr>
        <w:snapToGrid w:val="0"/>
        <w:spacing w:line="360" w:lineRule="auto"/>
        <w:ind w:left="851" w:firstLineChars="0" w:hanging="425"/>
        <w:jc w:val="left"/>
        <w:outlineLvl w:val="1"/>
        <w:rPr>
          <w:rFonts w:ascii="Times New Roman" w:hAnsi="Times New Roman" w:cs="Times New Roman"/>
          <w:sz w:val="24"/>
          <w:szCs w:val="24"/>
        </w:rPr>
      </w:pPr>
      <w:r>
        <w:rPr>
          <w:rFonts w:ascii="Times New Roman" w:hAnsi="Times New Roman" w:cs="Times New Roman" w:hint="eastAsia"/>
          <w:sz w:val="24"/>
          <w:szCs w:val="24"/>
        </w:rPr>
        <w:t>基金代码和简称</w:t>
      </w:r>
    </w:p>
    <w:p w:rsidR="00CF09D4" w:rsidRDefault="009A3F8A">
      <w:pPr>
        <w:widowControl/>
        <w:snapToGrid w:val="0"/>
        <w:spacing w:line="360" w:lineRule="auto"/>
        <w:ind w:firstLineChars="177" w:firstLine="425"/>
        <w:jc w:val="left"/>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hint="eastAsia"/>
          <w:sz w:val="24"/>
          <w:szCs w:val="24"/>
        </w:rPr>
        <w:t>类基金份额代码：</w:t>
      </w:r>
      <w:r>
        <w:rPr>
          <w:rFonts w:ascii="Times New Roman" w:hAnsi="Times New Roman" w:cs="Times New Roman" w:hint="eastAsia"/>
          <w:sz w:val="24"/>
          <w:szCs w:val="24"/>
        </w:rPr>
        <w:t>022353</w:t>
      </w:r>
    </w:p>
    <w:p w:rsidR="00CF09D4" w:rsidRDefault="009A3F8A">
      <w:pPr>
        <w:widowControl/>
        <w:snapToGrid w:val="0"/>
        <w:spacing w:line="360" w:lineRule="auto"/>
        <w:ind w:firstLineChars="177" w:firstLine="425"/>
        <w:jc w:val="left"/>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hint="eastAsia"/>
          <w:sz w:val="24"/>
          <w:szCs w:val="24"/>
        </w:rPr>
        <w:t>类基金份额简称：华泰紫金中债</w:t>
      </w:r>
      <w:r>
        <w:rPr>
          <w:rFonts w:ascii="Times New Roman" w:hAnsi="Times New Roman" w:cs="Times New Roman" w:hint="eastAsia"/>
          <w:sz w:val="24"/>
          <w:szCs w:val="24"/>
        </w:rPr>
        <w:t>0-3</w:t>
      </w:r>
      <w:r>
        <w:rPr>
          <w:rFonts w:ascii="Times New Roman" w:hAnsi="Times New Roman" w:cs="Times New Roman" w:hint="eastAsia"/>
          <w:sz w:val="24"/>
          <w:szCs w:val="24"/>
        </w:rPr>
        <w:t>年政金债指数</w:t>
      </w:r>
      <w:r>
        <w:rPr>
          <w:rFonts w:ascii="Times New Roman" w:hAnsi="Times New Roman" w:cs="Times New Roman" w:hint="eastAsia"/>
          <w:sz w:val="24"/>
          <w:szCs w:val="24"/>
        </w:rPr>
        <w:t>A</w:t>
      </w:r>
    </w:p>
    <w:p w:rsidR="00CF09D4" w:rsidRDefault="009A3F8A">
      <w:pPr>
        <w:widowControl/>
        <w:snapToGrid w:val="0"/>
        <w:spacing w:line="360" w:lineRule="auto"/>
        <w:ind w:firstLineChars="177" w:firstLine="425"/>
        <w:jc w:val="left"/>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hint="eastAsia"/>
          <w:sz w:val="24"/>
          <w:szCs w:val="24"/>
        </w:rPr>
        <w:t>类基金份额代码：</w:t>
      </w:r>
      <w:r>
        <w:rPr>
          <w:rFonts w:ascii="Times New Roman" w:hAnsi="Times New Roman" w:cs="Times New Roman" w:hint="eastAsia"/>
          <w:sz w:val="24"/>
          <w:szCs w:val="24"/>
        </w:rPr>
        <w:t>022354</w:t>
      </w:r>
    </w:p>
    <w:p w:rsidR="00CF09D4" w:rsidRDefault="009A3F8A">
      <w:pPr>
        <w:widowControl/>
        <w:snapToGrid w:val="0"/>
        <w:spacing w:line="360" w:lineRule="auto"/>
        <w:ind w:firstLineChars="177" w:firstLine="425"/>
        <w:jc w:val="left"/>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hint="eastAsia"/>
          <w:sz w:val="24"/>
          <w:szCs w:val="24"/>
        </w:rPr>
        <w:t>类基金份额简称：华泰紫金中债</w:t>
      </w:r>
      <w:r>
        <w:rPr>
          <w:rFonts w:ascii="Times New Roman" w:hAnsi="Times New Roman" w:cs="Times New Roman" w:hint="eastAsia"/>
          <w:sz w:val="24"/>
          <w:szCs w:val="24"/>
        </w:rPr>
        <w:t>0-3</w:t>
      </w:r>
      <w:r>
        <w:rPr>
          <w:rFonts w:ascii="Times New Roman" w:hAnsi="Times New Roman" w:cs="Times New Roman" w:hint="eastAsia"/>
          <w:sz w:val="24"/>
          <w:szCs w:val="24"/>
        </w:rPr>
        <w:t>年政金债指数</w:t>
      </w:r>
      <w:r>
        <w:rPr>
          <w:rFonts w:ascii="Times New Roman" w:hAnsi="Times New Roman" w:cs="Times New Roman" w:hint="eastAsia"/>
          <w:sz w:val="24"/>
          <w:szCs w:val="24"/>
        </w:rPr>
        <w:t>C</w:t>
      </w:r>
    </w:p>
    <w:p w:rsidR="00CF09D4" w:rsidRDefault="009A3F8A">
      <w:pPr>
        <w:pStyle w:val="af8"/>
        <w:widowControl/>
        <w:numPr>
          <w:ilvl w:val="0"/>
          <w:numId w:val="1"/>
        </w:numPr>
        <w:snapToGrid w:val="0"/>
        <w:spacing w:line="360" w:lineRule="auto"/>
        <w:ind w:left="851" w:firstLineChars="0" w:hanging="425"/>
        <w:jc w:val="left"/>
        <w:outlineLvl w:val="1"/>
        <w:rPr>
          <w:rFonts w:ascii="Times New Roman" w:hAnsi="Times New Roman" w:cs="Times New Roman"/>
          <w:sz w:val="24"/>
          <w:szCs w:val="24"/>
        </w:rPr>
      </w:pPr>
      <w:r>
        <w:rPr>
          <w:rFonts w:ascii="Times New Roman" w:hAnsi="Times New Roman" w:cs="Times New Roman" w:hint="eastAsia"/>
          <w:sz w:val="24"/>
          <w:szCs w:val="24"/>
        </w:rPr>
        <w:t>基</w:t>
      </w:r>
      <w:r>
        <w:rPr>
          <w:rFonts w:ascii="Times New Roman" w:hAnsi="Times New Roman" w:cs="Times New Roman" w:hint="eastAsia"/>
          <w:sz w:val="24"/>
          <w:szCs w:val="24"/>
        </w:rPr>
        <w:t>金类别</w:t>
      </w:r>
    </w:p>
    <w:p w:rsidR="00CF09D4" w:rsidRDefault="009A3F8A">
      <w:pPr>
        <w:widowControl/>
        <w:snapToGrid w:val="0"/>
        <w:spacing w:line="360" w:lineRule="auto"/>
        <w:ind w:firstLineChars="177" w:firstLine="425"/>
        <w:jc w:val="left"/>
        <w:outlineLvl w:val="1"/>
        <w:rPr>
          <w:rFonts w:ascii="Times New Roman" w:hAnsi="Times New Roman" w:cs="Times New Roman"/>
          <w:sz w:val="24"/>
          <w:szCs w:val="24"/>
        </w:rPr>
      </w:pPr>
      <w:r>
        <w:rPr>
          <w:rFonts w:ascii="Times New Roman" w:hAnsi="Times New Roman" w:cs="Times New Roman" w:hint="eastAsia"/>
          <w:sz w:val="24"/>
          <w:szCs w:val="24"/>
        </w:rPr>
        <w:t>债券型证券投资基金</w:t>
      </w:r>
    </w:p>
    <w:p w:rsidR="00CF09D4" w:rsidRDefault="009A3F8A">
      <w:pPr>
        <w:pStyle w:val="af8"/>
        <w:widowControl/>
        <w:numPr>
          <w:ilvl w:val="0"/>
          <w:numId w:val="1"/>
        </w:numPr>
        <w:snapToGrid w:val="0"/>
        <w:spacing w:line="360" w:lineRule="auto"/>
        <w:ind w:left="1276" w:firstLineChars="0" w:hanging="850"/>
        <w:jc w:val="left"/>
        <w:outlineLvl w:val="1"/>
        <w:rPr>
          <w:rFonts w:ascii="Times New Roman" w:hAnsi="Times New Roman" w:cs="Times New Roman"/>
          <w:sz w:val="24"/>
          <w:szCs w:val="24"/>
        </w:rPr>
      </w:pPr>
      <w:r>
        <w:rPr>
          <w:rFonts w:ascii="Times New Roman" w:hAnsi="Times New Roman" w:cs="Times New Roman" w:hint="eastAsia"/>
          <w:sz w:val="24"/>
          <w:szCs w:val="24"/>
        </w:rPr>
        <w:t>基金运作方式</w:t>
      </w:r>
    </w:p>
    <w:p w:rsidR="00CF09D4" w:rsidRDefault="009A3F8A">
      <w:pPr>
        <w:widowControl/>
        <w:snapToGrid w:val="0"/>
        <w:spacing w:line="360" w:lineRule="auto"/>
        <w:ind w:firstLineChars="176" w:firstLine="422"/>
        <w:rPr>
          <w:rFonts w:ascii="Times New Roman" w:hAnsi="Times New Roman" w:cs="Times New Roman"/>
          <w:sz w:val="24"/>
          <w:szCs w:val="24"/>
        </w:rPr>
      </w:pPr>
      <w:r>
        <w:rPr>
          <w:rFonts w:ascii="Times New Roman" w:hAnsi="Times New Roman" w:cs="Times New Roman" w:hint="eastAsia"/>
          <w:sz w:val="24"/>
          <w:szCs w:val="24"/>
        </w:rPr>
        <w:t>契约型开放式</w:t>
      </w:r>
    </w:p>
    <w:p w:rsidR="00CF09D4" w:rsidRDefault="009A3F8A">
      <w:pPr>
        <w:pStyle w:val="af8"/>
        <w:widowControl/>
        <w:numPr>
          <w:ilvl w:val="0"/>
          <w:numId w:val="1"/>
        </w:numPr>
        <w:snapToGrid w:val="0"/>
        <w:spacing w:line="360" w:lineRule="auto"/>
        <w:ind w:left="851" w:firstLineChars="0" w:hanging="425"/>
        <w:jc w:val="left"/>
        <w:outlineLvl w:val="1"/>
        <w:rPr>
          <w:rFonts w:ascii="Times New Roman" w:hAnsi="Times New Roman" w:cs="Times New Roman"/>
          <w:sz w:val="24"/>
          <w:szCs w:val="24"/>
        </w:rPr>
      </w:pPr>
      <w:r>
        <w:rPr>
          <w:rFonts w:ascii="Times New Roman" w:hAnsi="Times New Roman" w:cs="Times New Roman" w:hint="eastAsia"/>
          <w:sz w:val="24"/>
          <w:szCs w:val="24"/>
        </w:rPr>
        <w:t>基金存续期限</w:t>
      </w:r>
    </w:p>
    <w:p w:rsidR="00CF09D4" w:rsidRDefault="009A3F8A">
      <w:pPr>
        <w:widowControl/>
        <w:snapToGrid w:val="0"/>
        <w:spacing w:line="360" w:lineRule="auto"/>
        <w:ind w:left="422"/>
        <w:jc w:val="left"/>
        <w:rPr>
          <w:rFonts w:ascii="Times New Roman" w:hAnsi="Times New Roman" w:cs="Times New Roman"/>
          <w:sz w:val="24"/>
          <w:szCs w:val="24"/>
        </w:rPr>
      </w:pPr>
      <w:r>
        <w:rPr>
          <w:rFonts w:ascii="Times New Roman" w:hAnsi="Times New Roman" w:cs="Times New Roman" w:hint="eastAsia"/>
          <w:sz w:val="24"/>
          <w:szCs w:val="24"/>
        </w:rPr>
        <w:t>不定期。</w:t>
      </w:r>
    </w:p>
    <w:p w:rsidR="00CF09D4" w:rsidRDefault="009A3F8A">
      <w:pPr>
        <w:pStyle w:val="af8"/>
        <w:widowControl/>
        <w:numPr>
          <w:ilvl w:val="0"/>
          <w:numId w:val="1"/>
        </w:numPr>
        <w:snapToGrid w:val="0"/>
        <w:spacing w:line="360" w:lineRule="auto"/>
        <w:ind w:left="851" w:firstLineChars="0" w:hanging="425"/>
        <w:jc w:val="left"/>
        <w:outlineLvl w:val="1"/>
        <w:rPr>
          <w:rFonts w:ascii="Times New Roman" w:hAnsi="Times New Roman" w:cs="Times New Roman"/>
          <w:sz w:val="24"/>
          <w:szCs w:val="24"/>
        </w:rPr>
      </w:pPr>
      <w:r>
        <w:rPr>
          <w:rFonts w:ascii="Times New Roman" w:hAnsi="Times New Roman" w:cs="Times New Roman" w:hint="eastAsia"/>
          <w:sz w:val="24"/>
          <w:szCs w:val="24"/>
        </w:rPr>
        <w:t>基金份额发售面值</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本基金基金份额发售面值为人民币</w:t>
      </w:r>
      <w:r>
        <w:rPr>
          <w:rFonts w:ascii="Times New Roman" w:hAnsi="Times New Roman" w:cs="Times New Roman" w:hint="eastAsia"/>
          <w:sz w:val="24"/>
          <w:szCs w:val="24"/>
        </w:rPr>
        <w:t>1.00</w:t>
      </w:r>
      <w:r>
        <w:rPr>
          <w:rFonts w:ascii="Times New Roman" w:hAnsi="Times New Roman" w:cs="Times New Roman" w:hint="eastAsia"/>
          <w:sz w:val="24"/>
          <w:szCs w:val="24"/>
        </w:rPr>
        <w:t>元。</w:t>
      </w:r>
    </w:p>
    <w:p w:rsidR="00CF09D4" w:rsidRDefault="009A3F8A">
      <w:pPr>
        <w:pStyle w:val="af8"/>
        <w:widowControl/>
        <w:numPr>
          <w:ilvl w:val="0"/>
          <w:numId w:val="1"/>
        </w:numPr>
        <w:snapToGrid w:val="0"/>
        <w:spacing w:line="360" w:lineRule="auto"/>
        <w:ind w:left="1276" w:firstLineChars="0" w:hanging="850"/>
        <w:jc w:val="left"/>
        <w:outlineLvl w:val="1"/>
        <w:rPr>
          <w:rFonts w:ascii="Times New Roman" w:hAnsi="Times New Roman" w:cs="Times New Roman"/>
          <w:sz w:val="24"/>
          <w:szCs w:val="24"/>
        </w:rPr>
      </w:pPr>
      <w:r>
        <w:rPr>
          <w:rFonts w:ascii="Times New Roman" w:hAnsi="Times New Roman" w:cs="Times New Roman" w:hint="eastAsia"/>
          <w:sz w:val="24"/>
          <w:szCs w:val="24"/>
        </w:rPr>
        <w:t>基金份额的分类</w:t>
      </w:r>
    </w:p>
    <w:p w:rsidR="00CF09D4" w:rsidRDefault="009A3F8A">
      <w:pPr>
        <w:widowControl/>
        <w:snapToGrid w:val="0"/>
        <w:spacing w:line="360" w:lineRule="auto"/>
        <w:ind w:firstLineChars="177" w:firstLine="425"/>
        <w:jc w:val="left"/>
        <w:outlineLvl w:val="1"/>
        <w:rPr>
          <w:rFonts w:ascii="Times New Roman" w:hAnsi="Times New Roman" w:cs="Times New Roman"/>
          <w:sz w:val="24"/>
          <w:szCs w:val="24"/>
        </w:rPr>
      </w:pPr>
      <w:r>
        <w:rPr>
          <w:rFonts w:ascii="Times New Roman" w:hAnsi="Times New Roman" w:cs="Times New Roman" w:hint="eastAsia"/>
          <w:sz w:val="24"/>
          <w:szCs w:val="24"/>
        </w:rPr>
        <w:t>基金根据认购</w:t>
      </w:r>
      <w:r>
        <w:rPr>
          <w:rFonts w:ascii="Times New Roman" w:hAnsi="Times New Roman" w:cs="Times New Roman" w:hint="eastAsia"/>
          <w:sz w:val="24"/>
          <w:szCs w:val="24"/>
        </w:rPr>
        <w:t>/</w:t>
      </w:r>
      <w:r>
        <w:rPr>
          <w:rFonts w:ascii="Times New Roman" w:hAnsi="Times New Roman" w:cs="Times New Roman" w:hint="eastAsia"/>
          <w:sz w:val="24"/>
          <w:szCs w:val="24"/>
        </w:rPr>
        <w:t>申购费用、销售服务费收取方式的不同，将基金份额分为不同的类别。在投资人认购</w:t>
      </w:r>
      <w:r>
        <w:rPr>
          <w:rFonts w:ascii="Times New Roman" w:hAnsi="Times New Roman" w:cs="Times New Roman" w:hint="eastAsia"/>
          <w:sz w:val="24"/>
          <w:szCs w:val="24"/>
        </w:rPr>
        <w:t>/</w:t>
      </w:r>
      <w:r>
        <w:rPr>
          <w:rFonts w:ascii="Times New Roman" w:hAnsi="Times New Roman" w:cs="Times New Roman" w:hint="eastAsia"/>
          <w:sz w:val="24"/>
          <w:szCs w:val="24"/>
        </w:rPr>
        <w:t>申购基金时收取认购费、申购费，不从本类别基金资产中计提销售服务费的，称为</w:t>
      </w:r>
      <w:r>
        <w:rPr>
          <w:rFonts w:ascii="Times New Roman" w:hAnsi="Times New Roman" w:cs="Times New Roman" w:hint="eastAsia"/>
          <w:sz w:val="24"/>
          <w:szCs w:val="24"/>
        </w:rPr>
        <w:t>A</w:t>
      </w:r>
      <w:r>
        <w:rPr>
          <w:rFonts w:ascii="Times New Roman" w:hAnsi="Times New Roman" w:cs="Times New Roman" w:hint="eastAsia"/>
          <w:sz w:val="24"/>
          <w:szCs w:val="24"/>
        </w:rPr>
        <w:t>类基金份额；在投资人认购</w:t>
      </w:r>
      <w:r>
        <w:rPr>
          <w:rFonts w:ascii="Times New Roman" w:hAnsi="Times New Roman" w:cs="Times New Roman" w:hint="eastAsia"/>
          <w:sz w:val="24"/>
          <w:szCs w:val="24"/>
        </w:rPr>
        <w:t>/</w:t>
      </w:r>
      <w:r>
        <w:rPr>
          <w:rFonts w:ascii="Times New Roman" w:hAnsi="Times New Roman" w:cs="Times New Roman" w:hint="eastAsia"/>
          <w:sz w:val="24"/>
          <w:szCs w:val="24"/>
        </w:rPr>
        <w:t>申购基金时不收取认购费、申购费，而是从本类别基金资产中计提销售服务费的，称为</w:t>
      </w:r>
      <w:r>
        <w:rPr>
          <w:rFonts w:ascii="Times New Roman" w:hAnsi="Times New Roman" w:cs="Times New Roman" w:hint="eastAsia"/>
          <w:sz w:val="24"/>
          <w:szCs w:val="24"/>
        </w:rPr>
        <w:t>C</w:t>
      </w:r>
      <w:r>
        <w:rPr>
          <w:rFonts w:ascii="Times New Roman" w:hAnsi="Times New Roman" w:cs="Times New Roman" w:hint="eastAsia"/>
          <w:sz w:val="24"/>
          <w:szCs w:val="24"/>
        </w:rPr>
        <w:t>类基金份额。</w:t>
      </w:r>
      <w:r>
        <w:rPr>
          <w:rFonts w:ascii="Times New Roman" w:hAnsi="Times New Roman" w:cs="Times New Roman" w:hint="eastAsia"/>
          <w:sz w:val="24"/>
          <w:szCs w:val="24"/>
        </w:rPr>
        <w:t>A</w:t>
      </w:r>
      <w:r>
        <w:rPr>
          <w:rFonts w:ascii="Times New Roman" w:hAnsi="Times New Roman" w:cs="Times New Roman" w:hint="eastAsia"/>
          <w:sz w:val="24"/>
          <w:szCs w:val="24"/>
        </w:rPr>
        <w:t>类和</w:t>
      </w:r>
      <w:r>
        <w:rPr>
          <w:rFonts w:ascii="Times New Roman" w:hAnsi="Times New Roman" w:cs="Times New Roman" w:hint="eastAsia"/>
          <w:sz w:val="24"/>
          <w:szCs w:val="24"/>
        </w:rPr>
        <w:t>C</w:t>
      </w:r>
      <w:r>
        <w:rPr>
          <w:rFonts w:ascii="Times New Roman" w:hAnsi="Times New Roman" w:cs="Times New Roman" w:hint="eastAsia"/>
          <w:sz w:val="24"/>
          <w:szCs w:val="24"/>
        </w:rPr>
        <w:t>类基金份额分别设置代码，分别计算并公告各类基金份额净值和各类基金份额累计净值。</w:t>
      </w:r>
    </w:p>
    <w:p w:rsidR="00CF09D4" w:rsidRDefault="009A3F8A">
      <w:pPr>
        <w:widowControl/>
        <w:snapToGrid w:val="0"/>
        <w:spacing w:line="360" w:lineRule="auto"/>
        <w:ind w:firstLineChars="177" w:firstLine="425"/>
        <w:jc w:val="left"/>
        <w:outlineLvl w:val="1"/>
        <w:rPr>
          <w:rFonts w:ascii="Times New Roman" w:hAnsi="Times New Roman" w:cs="Times New Roman"/>
          <w:sz w:val="24"/>
          <w:szCs w:val="24"/>
        </w:rPr>
      </w:pPr>
      <w:r>
        <w:rPr>
          <w:rFonts w:ascii="Times New Roman" w:hAnsi="Times New Roman" w:cs="Times New Roman" w:hint="eastAsia"/>
          <w:sz w:val="24"/>
          <w:szCs w:val="24"/>
        </w:rPr>
        <w:t>投资人可自行选择认购或申购的基金份额类别。</w:t>
      </w:r>
    </w:p>
    <w:p w:rsidR="00CF09D4" w:rsidRDefault="009A3F8A">
      <w:pPr>
        <w:pStyle w:val="af8"/>
        <w:widowControl/>
        <w:numPr>
          <w:ilvl w:val="0"/>
          <w:numId w:val="1"/>
        </w:numPr>
        <w:snapToGrid w:val="0"/>
        <w:spacing w:line="360" w:lineRule="auto"/>
        <w:ind w:left="851" w:firstLineChars="0" w:hanging="425"/>
        <w:jc w:val="left"/>
        <w:outlineLvl w:val="1"/>
        <w:rPr>
          <w:rFonts w:ascii="Times New Roman" w:hAnsi="Times New Roman" w:cs="Times New Roman"/>
          <w:sz w:val="24"/>
          <w:szCs w:val="24"/>
        </w:rPr>
      </w:pPr>
      <w:r>
        <w:rPr>
          <w:rFonts w:ascii="Times New Roman" w:hAnsi="Times New Roman" w:cs="Times New Roman" w:hint="eastAsia"/>
          <w:sz w:val="24"/>
          <w:szCs w:val="24"/>
        </w:rPr>
        <w:t>发售对象</w:t>
      </w:r>
    </w:p>
    <w:p w:rsidR="00CF09D4" w:rsidRDefault="009A3F8A">
      <w:pPr>
        <w:widowControl/>
        <w:snapToGrid w:val="0"/>
        <w:spacing w:line="360" w:lineRule="auto"/>
        <w:ind w:firstLineChars="177" w:firstLine="425"/>
        <w:jc w:val="left"/>
        <w:outlineLvl w:val="1"/>
        <w:rPr>
          <w:rFonts w:ascii="Times New Roman" w:hAnsi="Times New Roman" w:cs="Times New Roman"/>
          <w:sz w:val="24"/>
          <w:szCs w:val="24"/>
        </w:rPr>
      </w:pPr>
      <w:r>
        <w:rPr>
          <w:rFonts w:ascii="Times New Roman" w:hAnsi="Times New Roman" w:cs="Times New Roman" w:hint="eastAsia"/>
          <w:sz w:val="24"/>
          <w:szCs w:val="24"/>
        </w:rPr>
        <w:t>符合法律法规规定的可投资于证券投资基金的个人投资者、机构投资者、合格境外投资者以及法律法规或中国证监会允许购买证券投资基金的其他投资人。</w:t>
      </w:r>
    </w:p>
    <w:p w:rsidR="00CF09D4" w:rsidRDefault="009A3F8A">
      <w:pPr>
        <w:pStyle w:val="af8"/>
        <w:widowControl/>
        <w:numPr>
          <w:ilvl w:val="0"/>
          <w:numId w:val="1"/>
        </w:numPr>
        <w:snapToGrid w:val="0"/>
        <w:spacing w:line="360" w:lineRule="auto"/>
        <w:ind w:left="851" w:firstLineChars="0" w:hanging="425"/>
        <w:jc w:val="left"/>
        <w:outlineLvl w:val="1"/>
        <w:rPr>
          <w:rFonts w:ascii="Times New Roman" w:hAnsi="Times New Roman" w:cs="Times New Roman"/>
          <w:sz w:val="24"/>
          <w:szCs w:val="24"/>
        </w:rPr>
      </w:pPr>
      <w:r>
        <w:rPr>
          <w:rFonts w:ascii="Times New Roman" w:hAnsi="Times New Roman" w:cs="Times New Roman" w:hint="eastAsia"/>
          <w:sz w:val="24"/>
          <w:szCs w:val="24"/>
        </w:rPr>
        <w:t>销售机构</w:t>
      </w:r>
    </w:p>
    <w:p w:rsidR="00CF09D4" w:rsidRDefault="009A3F8A">
      <w:pPr>
        <w:widowControl/>
        <w:snapToGrid w:val="0"/>
        <w:spacing w:line="360" w:lineRule="auto"/>
        <w:ind w:firstLineChars="176" w:firstLine="422"/>
        <w:jc w:val="left"/>
        <w:outlineLvl w:val="2"/>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、直销机构</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华泰证券（上海）资产管理有限公司</w:t>
      </w:r>
    </w:p>
    <w:p w:rsidR="00CF09D4" w:rsidRDefault="009A3F8A">
      <w:pPr>
        <w:widowControl/>
        <w:snapToGrid w:val="0"/>
        <w:spacing w:line="360" w:lineRule="auto"/>
        <w:ind w:firstLineChars="176" w:firstLine="422"/>
        <w:jc w:val="left"/>
        <w:outlineLvl w:val="2"/>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、其他销售机构</w:t>
      </w:r>
    </w:p>
    <w:p w:rsidR="00CF09D4" w:rsidRDefault="009A3F8A">
      <w:pPr>
        <w:widowControl/>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华泰证券股份有限公司、上海利得基金销售有限公司、宁波银行股份有限公司、博时财富基金销售有限公司、京东肯特瑞基金销售有限公司、诺亚正行基金销售有限公司、浙江同花顺基金销售有限公司、深圳众禄基金销售股份有限公司、上海联泰基金销售有限公司、上海陆金所基金销售有限公司、上海天天基金销售有限公司、东方财富证券股份有限公司、北京雪球基金销售有限公司、珠海盈米基金销售有限公司、泰信财富基金销售有限公司、上海攀赢基金销售有限公司、蚂蚁（杭州）基金销售有限公司、上海中正达广基金销售有限公司、北京汇成基金销售有限公司、上海基煜</w:t>
      </w:r>
      <w:r>
        <w:rPr>
          <w:rFonts w:ascii="Times New Roman" w:hAnsi="Times New Roman" w:cs="Times New Roman" w:hint="eastAsia"/>
          <w:sz w:val="24"/>
          <w:szCs w:val="24"/>
        </w:rPr>
        <w:t>基金销售有限公司、上海长量基金销售有限公司、济安财富（北京）基金销售有限公司、大连网金基金销售有限公司</w:t>
      </w:r>
    </w:p>
    <w:p w:rsidR="00CF09D4" w:rsidRDefault="009A3F8A">
      <w:pPr>
        <w:widowControl/>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基金管理人可根据有关法律法规的要求，选择其它符合要求的机构销售本基金，请详见基金管理人官网公示的销售机构信息。投资者在各代销机构办理本基金认购业务请遵循各代销机构的业务规则与操作流程。</w:t>
      </w:r>
    </w:p>
    <w:p w:rsidR="00CF09D4" w:rsidRDefault="009A3F8A">
      <w:pPr>
        <w:pStyle w:val="af8"/>
        <w:widowControl/>
        <w:numPr>
          <w:ilvl w:val="0"/>
          <w:numId w:val="1"/>
        </w:numPr>
        <w:snapToGrid w:val="0"/>
        <w:spacing w:line="360" w:lineRule="auto"/>
        <w:ind w:left="851" w:firstLineChars="0" w:hanging="425"/>
        <w:jc w:val="left"/>
        <w:outlineLvl w:val="1"/>
        <w:rPr>
          <w:rFonts w:ascii="Times New Roman" w:hAnsi="Times New Roman" w:cs="Times New Roman"/>
          <w:sz w:val="24"/>
          <w:szCs w:val="24"/>
        </w:rPr>
      </w:pPr>
      <w:r>
        <w:rPr>
          <w:rFonts w:ascii="Times New Roman" w:hAnsi="Times New Roman" w:cs="Times New Roman" w:hint="eastAsia"/>
          <w:sz w:val="24"/>
          <w:szCs w:val="24"/>
        </w:rPr>
        <w:t>基金募集期与基金合同生效</w:t>
      </w:r>
    </w:p>
    <w:p w:rsidR="00CF09D4" w:rsidRDefault="009A3F8A">
      <w:pPr>
        <w:pStyle w:val="af8"/>
        <w:widowControl/>
        <w:numPr>
          <w:ilvl w:val="0"/>
          <w:numId w:val="2"/>
        </w:numPr>
        <w:snapToGrid w:val="0"/>
        <w:spacing w:line="360" w:lineRule="auto"/>
        <w:ind w:left="0" w:firstLineChars="0" w:firstLine="567"/>
        <w:rPr>
          <w:rFonts w:ascii="Times New Roman" w:hAnsi="Times New Roman" w:cs="Times New Roman"/>
          <w:sz w:val="24"/>
          <w:szCs w:val="24"/>
        </w:rPr>
      </w:pPr>
      <w:r>
        <w:rPr>
          <w:rFonts w:ascii="Times New Roman" w:hAnsi="Times New Roman" w:cs="Times New Roman" w:hint="eastAsia"/>
          <w:sz w:val="24"/>
          <w:szCs w:val="24"/>
        </w:rPr>
        <w:t>本基金自</w:t>
      </w:r>
      <w:r>
        <w:rPr>
          <w:rFonts w:ascii="Times New Roman" w:hAnsi="Times New Roman" w:cs="Times New Roman" w:hint="eastAsia"/>
          <w:sz w:val="24"/>
          <w:szCs w:val="24"/>
        </w:rPr>
        <w:t>202</w:t>
      </w:r>
      <w:r>
        <w:rPr>
          <w:rFonts w:ascii="Times New Roman" w:hAnsi="Times New Roman" w:cs="Times New Roman"/>
          <w:sz w:val="24"/>
          <w:szCs w:val="24"/>
        </w:rPr>
        <w:t>4</w:t>
      </w:r>
      <w:r>
        <w:rPr>
          <w:rFonts w:ascii="Times New Roman" w:hAnsi="Times New Roman" w:cs="Times New Roman" w:hint="eastAsia"/>
          <w:sz w:val="24"/>
          <w:szCs w:val="24"/>
        </w:rPr>
        <w:t>年</w:t>
      </w:r>
      <w:r>
        <w:rPr>
          <w:rFonts w:ascii="Times New Roman" w:hAnsi="Times New Roman" w:cs="Times New Roman"/>
          <w:sz w:val="24"/>
          <w:szCs w:val="24"/>
        </w:rPr>
        <w:t>11</w:t>
      </w:r>
      <w:r>
        <w:rPr>
          <w:rFonts w:ascii="Times New Roman" w:hAnsi="Times New Roman" w:cs="Times New Roman" w:hint="eastAsia"/>
          <w:sz w:val="24"/>
          <w:szCs w:val="24"/>
        </w:rPr>
        <w:t>月</w:t>
      </w:r>
      <w:r>
        <w:rPr>
          <w:rFonts w:ascii="Times New Roman" w:hAnsi="Times New Roman" w:cs="Times New Roman"/>
          <w:sz w:val="24"/>
          <w:szCs w:val="24"/>
        </w:rPr>
        <w:t>8</w:t>
      </w:r>
      <w:r>
        <w:rPr>
          <w:rFonts w:ascii="Times New Roman" w:hAnsi="Times New Roman" w:cs="Times New Roman" w:hint="eastAsia"/>
          <w:sz w:val="24"/>
          <w:szCs w:val="24"/>
        </w:rPr>
        <w:t>日至</w:t>
      </w:r>
      <w:r>
        <w:rPr>
          <w:rFonts w:ascii="Times New Roman" w:hAnsi="Times New Roman" w:cs="Times New Roman" w:hint="eastAsia"/>
          <w:sz w:val="24"/>
          <w:szCs w:val="24"/>
        </w:rPr>
        <w:t>202</w:t>
      </w:r>
      <w:r>
        <w:rPr>
          <w:rFonts w:ascii="Times New Roman" w:hAnsi="Times New Roman" w:cs="Times New Roman"/>
          <w:sz w:val="24"/>
          <w:szCs w:val="24"/>
        </w:rPr>
        <w:t>5</w:t>
      </w:r>
      <w:r>
        <w:rPr>
          <w:rFonts w:ascii="Times New Roman" w:hAnsi="Times New Roman" w:cs="Times New Roman" w:hint="eastAsia"/>
          <w:sz w:val="24"/>
          <w:szCs w:val="24"/>
        </w:rPr>
        <w:t>年</w:t>
      </w:r>
      <w:r>
        <w:rPr>
          <w:rFonts w:ascii="Times New Roman" w:hAnsi="Times New Roman" w:cs="Times New Roman"/>
          <w:sz w:val="24"/>
          <w:szCs w:val="24"/>
        </w:rPr>
        <w:t>2</w:t>
      </w:r>
      <w:r>
        <w:rPr>
          <w:rFonts w:ascii="Times New Roman" w:hAnsi="Times New Roman" w:cs="Times New Roman" w:hint="eastAsia"/>
          <w:sz w:val="24"/>
          <w:szCs w:val="24"/>
        </w:rPr>
        <w:t>月</w:t>
      </w:r>
      <w:r>
        <w:rPr>
          <w:rFonts w:ascii="Times New Roman" w:hAnsi="Times New Roman" w:cs="Times New Roman"/>
          <w:sz w:val="24"/>
          <w:szCs w:val="24"/>
        </w:rPr>
        <w:t>7</w:t>
      </w:r>
      <w:r>
        <w:rPr>
          <w:rFonts w:ascii="Times New Roman" w:hAnsi="Times New Roman" w:cs="Times New Roman" w:hint="eastAsia"/>
          <w:sz w:val="24"/>
          <w:szCs w:val="24"/>
        </w:rPr>
        <w:t>日公开发售（各销售机构具体营业时间可能有所不同）。基金管理人可根据认购的情况适当延长发售时间，但最长不超过法定募集期；同时也可根据认购和市场情况提前结</w:t>
      </w:r>
      <w:r>
        <w:rPr>
          <w:rFonts w:ascii="Times New Roman" w:hAnsi="Times New Roman" w:cs="Times New Roman" w:hint="eastAsia"/>
          <w:sz w:val="24"/>
          <w:szCs w:val="24"/>
        </w:rPr>
        <w:t>束发售，如发生此种情况，基金管理人将会另行公告。另外，如遇突发事件，以上基金募集期的安排也可以适当调整。</w:t>
      </w:r>
    </w:p>
    <w:p w:rsidR="00CF09D4" w:rsidRDefault="009A3F8A">
      <w:pPr>
        <w:pStyle w:val="af8"/>
        <w:widowControl/>
        <w:numPr>
          <w:ilvl w:val="0"/>
          <w:numId w:val="2"/>
        </w:numPr>
        <w:snapToGrid w:val="0"/>
        <w:spacing w:line="360" w:lineRule="auto"/>
        <w:ind w:left="0" w:firstLineChars="0" w:firstLine="567"/>
        <w:rPr>
          <w:rFonts w:ascii="Times New Roman" w:hAnsi="Times New Roman" w:cs="Times New Roman"/>
          <w:sz w:val="24"/>
          <w:szCs w:val="24"/>
        </w:rPr>
      </w:pPr>
      <w:r>
        <w:rPr>
          <w:rFonts w:ascii="Times New Roman" w:hAnsi="Times New Roman" w:cs="Times New Roman" w:hint="eastAsia"/>
          <w:sz w:val="24"/>
          <w:szCs w:val="24"/>
        </w:rPr>
        <w:t>本基金自基金份额发售之日起</w:t>
      </w:r>
      <w:r>
        <w:rPr>
          <w:rFonts w:ascii="Times New Roman" w:hAnsi="Times New Roman" w:cs="Times New Roman" w:hint="eastAsia"/>
          <w:sz w:val="24"/>
          <w:szCs w:val="24"/>
        </w:rPr>
        <w:t>3</w:t>
      </w:r>
      <w:r>
        <w:rPr>
          <w:rFonts w:ascii="Times New Roman" w:hAnsi="Times New Roman" w:cs="Times New Roman" w:hint="eastAsia"/>
          <w:sz w:val="24"/>
          <w:szCs w:val="24"/>
        </w:rPr>
        <w:t>个月内，在基金募集份额总额不少于</w:t>
      </w:r>
      <w:r>
        <w:rPr>
          <w:rFonts w:ascii="Times New Roman" w:hAnsi="Times New Roman" w:cs="Times New Roman" w:hint="eastAsia"/>
          <w:sz w:val="24"/>
          <w:szCs w:val="24"/>
        </w:rPr>
        <w:t>2</w:t>
      </w:r>
      <w:r>
        <w:rPr>
          <w:rFonts w:ascii="Times New Roman" w:hAnsi="Times New Roman" w:cs="Times New Roman" w:hint="eastAsia"/>
          <w:sz w:val="24"/>
          <w:szCs w:val="24"/>
        </w:rPr>
        <w:t>亿份，基金募集金额不少于</w:t>
      </w:r>
      <w:r>
        <w:rPr>
          <w:rFonts w:ascii="Times New Roman" w:hAnsi="Times New Roman" w:cs="Times New Roman" w:hint="eastAsia"/>
          <w:sz w:val="24"/>
          <w:szCs w:val="24"/>
        </w:rPr>
        <w:t>2</w:t>
      </w:r>
      <w:r>
        <w:rPr>
          <w:rFonts w:ascii="Times New Roman" w:hAnsi="Times New Roman" w:cs="Times New Roman" w:hint="eastAsia"/>
          <w:sz w:val="24"/>
          <w:szCs w:val="24"/>
        </w:rPr>
        <w:t>亿元人民币且基金认购人数不少于</w:t>
      </w:r>
      <w:r>
        <w:rPr>
          <w:rFonts w:ascii="Times New Roman" w:hAnsi="Times New Roman" w:cs="Times New Roman" w:hint="eastAsia"/>
          <w:sz w:val="24"/>
          <w:szCs w:val="24"/>
        </w:rPr>
        <w:t>200</w:t>
      </w:r>
      <w:r>
        <w:rPr>
          <w:rFonts w:ascii="Times New Roman" w:hAnsi="Times New Roman" w:cs="Times New Roman" w:hint="eastAsia"/>
          <w:sz w:val="24"/>
          <w:szCs w:val="24"/>
        </w:rPr>
        <w:t>人的条件下，基金募集期届满或基金管理人依据法律法规及招募说明书可以决定停止基金发售，并在</w:t>
      </w:r>
      <w:r>
        <w:rPr>
          <w:rFonts w:ascii="Times New Roman" w:hAnsi="Times New Roman" w:cs="Times New Roman" w:hint="eastAsia"/>
          <w:sz w:val="24"/>
          <w:szCs w:val="24"/>
        </w:rPr>
        <w:t>10</w:t>
      </w:r>
      <w:r>
        <w:rPr>
          <w:rFonts w:ascii="Times New Roman" w:hAnsi="Times New Roman" w:cs="Times New Roman" w:hint="eastAsia"/>
          <w:sz w:val="24"/>
          <w:szCs w:val="24"/>
        </w:rPr>
        <w:t>日内聘请法定验资机构验资，自收到验资报告之日起</w:t>
      </w:r>
      <w:r>
        <w:rPr>
          <w:rFonts w:ascii="Times New Roman" w:hAnsi="Times New Roman" w:cs="Times New Roman" w:hint="eastAsia"/>
          <w:sz w:val="24"/>
          <w:szCs w:val="24"/>
        </w:rPr>
        <w:t>10</w:t>
      </w:r>
      <w:r>
        <w:rPr>
          <w:rFonts w:ascii="Times New Roman" w:hAnsi="Times New Roman" w:cs="Times New Roman" w:hint="eastAsia"/>
          <w:sz w:val="24"/>
          <w:szCs w:val="24"/>
        </w:rPr>
        <w:t>日内，向中国证监会办理基金备案手续。</w:t>
      </w:r>
    </w:p>
    <w:p w:rsidR="00CF09D4" w:rsidRDefault="009A3F8A">
      <w:pPr>
        <w:pStyle w:val="af8"/>
        <w:widowControl/>
        <w:numPr>
          <w:ilvl w:val="0"/>
          <w:numId w:val="2"/>
        </w:numPr>
        <w:snapToGrid w:val="0"/>
        <w:spacing w:line="360" w:lineRule="auto"/>
        <w:ind w:left="0" w:firstLineChars="0" w:firstLine="567"/>
        <w:rPr>
          <w:rFonts w:ascii="Times New Roman" w:hAnsi="Times New Roman" w:cs="Times New Roman"/>
          <w:sz w:val="24"/>
          <w:szCs w:val="24"/>
        </w:rPr>
      </w:pPr>
      <w:r>
        <w:rPr>
          <w:rFonts w:ascii="Times New Roman" w:hAnsi="Times New Roman" w:cs="Times New Roman" w:hint="eastAsia"/>
          <w:sz w:val="24"/>
          <w:szCs w:val="24"/>
        </w:rPr>
        <w:t>基金募集达到基金备案条件的，自基金管理人办理完毕基金备案手续并取得中国证监会书面确认之日起，《基金合同</w:t>
      </w:r>
      <w:r>
        <w:rPr>
          <w:rFonts w:ascii="Times New Roman" w:hAnsi="Times New Roman" w:cs="Times New Roman" w:hint="eastAsia"/>
          <w:sz w:val="24"/>
          <w:szCs w:val="24"/>
        </w:rPr>
        <w:t>》生效；否则《基金合同》不生效。基金管理人在收到中国证监会确认文件的次日对《基金合同》生效事宜予以公告。基金管理人应将基金募集期间募集的资金存入专门账户，在基金募集行为结束前，任何人不得动用。</w:t>
      </w:r>
    </w:p>
    <w:p w:rsidR="00CF09D4" w:rsidRDefault="009A3F8A">
      <w:pPr>
        <w:pStyle w:val="Heading1"/>
        <w:spacing w:before="120" w:after="120" w:line="360" w:lineRule="auto"/>
        <w:ind w:firstLineChars="176" w:firstLine="424"/>
        <w:rPr>
          <w:rFonts w:ascii="Times New Roman" w:hAnsi="Times New Roman" w:cs="Times New Roman"/>
          <w:sz w:val="24"/>
          <w:szCs w:val="24"/>
        </w:rPr>
      </w:pPr>
      <w:r>
        <w:rPr>
          <w:rFonts w:ascii="Times New Roman" w:hAnsi="Times New Roman" w:cs="Times New Roman" w:hint="eastAsia"/>
          <w:sz w:val="24"/>
          <w:szCs w:val="24"/>
        </w:rPr>
        <w:t>二、发售方式及相关规定</w:t>
      </w:r>
    </w:p>
    <w:p w:rsidR="00CF09D4" w:rsidRDefault="009A3F8A">
      <w:pPr>
        <w:pStyle w:val="af8"/>
        <w:widowControl/>
        <w:numPr>
          <w:ilvl w:val="0"/>
          <w:numId w:val="3"/>
        </w:numPr>
        <w:snapToGrid w:val="0"/>
        <w:spacing w:line="360" w:lineRule="auto"/>
        <w:ind w:firstLineChars="0"/>
        <w:jc w:val="left"/>
        <w:rPr>
          <w:rFonts w:ascii="Times New Roman" w:hAnsi="Times New Roman" w:cs="Times New Roman"/>
          <w:sz w:val="24"/>
          <w:szCs w:val="24"/>
        </w:rPr>
      </w:pPr>
      <w:r>
        <w:rPr>
          <w:rFonts w:ascii="Times New Roman" w:hAnsi="Times New Roman" w:cs="Times New Roman" w:hint="eastAsia"/>
          <w:sz w:val="24"/>
          <w:szCs w:val="24"/>
        </w:rPr>
        <w:t>基金募集期内，本基金通过各销售机构公开发售。</w:t>
      </w:r>
    </w:p>
    <w:p w:rsidR="00CF09D4" w:rsidRDefault="009A3F8A">
      <w:pPr>
        <w:pStyle w:val="af8"/>
        <w:widowControl/>
        <w:numPr>
          <w:ilvl w:val="0"/>
          <w:numId w:val="3"/>
        </w:numPr>
        <w:snapToGrid w:val="0"/>
        <w:spacing w:line="360" w:lineRule="auto"/>
        <w:ind w:left="0" w:firstLineChars="0" w:firstLine="426"/>
        <w:jc w:val="left"/>
        <w:rPr>
          <w:rFonts w:ascii="Times New Roman" w:hAnsi="Times New Roman" w:cs="Times New Roman"/>
          <w:sz w:val="24"/>
          <w:szCs w:val="24"/>
        </w:rPr>
      </w:pPr>
      <w:r>
        <w:rPr>
          <w:rFonts w:ascii="Times New Roman" w:hAnsi="Times New Roman" w:cs="Times New Roman" w:hint="eastAsia"/>
          <w:sz w:val="24"/>
          <w:szCs w:val="24"/>
        </w:rPr>
        <w:t>基金费率</w:t>
      </w:r>
    </w:p>
    <w:p w:rsidR="00CF09D4" w:rsidRDefault="009A3F8A">
      <w:pPr>
        <w:spacing w:line="360" w:lineRule="auto"/>
        <w:ind w:firstLineChars="178" w:firstLine="427"/>
        <w:rPr>
          <w:rFonts w:ascii="宋体" w:hAnsi="宋体" w:cs="Arial"/>
          <w:sz w:val="24"/>
          <w:szCs w:val="24"/>
        </w:rPr>
      </w:pPr>
      <w:r>
        <w:rPr>
          <w:rFonts w:ascii="宋体" w:cs="Arial" w:hint="eastAsia"/>
          <w:sz w:val="24"/>
          <w:szCs w:val="24"/>
        </w:rPr>
        <w:t>本基金</w:t>
      </w:r>
      <w:r>
        <w:rPr>
          <w:rFonts w:ascii="宋体" w:cs="Arial" w:hint="eastAsia"/>
          <w:sz w:val="24"/>
          <w:szCs w:val="24"/>
        </w:rPr>
        <w:t>A</w:t>
      </w:r>
      <w:r>
        <w:rPr>
          <w:rFonts w:ascii="宋体" w:cs="Arial" w:hint="eastAsia"/>
          <w:sz w:val="24"/>
          <w:szCs w:val="24"/>
        </w:rPr>
        <w:t>类基金份额在认购时根据认购金额的不同收取不同的基金认购费用；</w:t>
      </w:r>
      <w:r>
        <w:rPr>
          <w:rFonts w:ascii="宋体" w:cs="Arial" w:hint="eastAsia"/>
          <w:sz w:val="24"/>
          <w:szCs w:val="24"/>
        </w:rPr>
        <w:t>C</w:t>
      </w:r>
      <w:r>
        <w:rPr>
          <w:rFonts w:ascii="宋体" w:cs="Arial" w:hint="eastAsia"/>
          <w:sz w:val="24"/>
          <w:szCs w:val="24"/>
        </w:rPr>
        <w:t>类基金份额不收取认购费用；两类基金份额的申购费率如下表所示：</w:t>
      </w:r>
      <w:r>
        <w:rPr>
          <w:rFonts w:ascii="宋体" w:hAnsi="宋体" w:cs="Arial"/>
          <w:sz w:val="24"/>
          <w:szCs w:val="24"/>
        </w:rPr>
        <w:t xml:space="preserve"> </w:t>
      </w:r>
    </w:p>
    <w:p w:rsidR="00CF09D4" w:rsidRDefault="009A3F8A">
      <w:pPr>
        <w:snapToGrid w:val="0"/>
        <w:spacing w:line="360" w:lineRule="auto"/>
        <w:ind w:firstLineChars="178" w:firstLine="427"/>
        <w:jc w:val="center"/>
        <w:rPr>
          <w:rFonts w:ascii="Arial" w:hAnsi="Arial" w:cs="Arial"/>
          <w:sz w:val="24"/>
          <w:szCs w:val="24"/>
        </w:rPr>
      </w:pPr>
      <w:r>
        <w:rPr>
          <w:rFonts w:ascii="Arial" w:hAnsi="Arial" w:cs="Arial" w:hint="eastAsia"/>
          <w:sz w:val="24"/>
          <w:szCs w:val="24"/>
        </w:rPr>
        <w:t>表</w:t>
      </w:r>
      <w:r>
        <w:rPr>
          <w:rFonts w:ascii="Arial" w:hAnsi="Arial" w:cs="Arial" w:hint="eastAsia"/>
          <w:sz w:val="24"/>
          <w:szCs w:val="24"/>
        </w:rPr>
        <w:t>1</w:t>
      </w:r>
      <w:r>
        <w:rPr>
          <w:rFonts w:ascii="Arial" w:hAnsi="Arial" w:cs="Arial" w:hint="eastAsia"/>
          <w:sz w:val="24"/>
          <w:szCs w:val="24"/>
        </w:rPr>
        <w:t>：本基金认购费率</w:t>
      </w:r>
    </w:p>
    <w:tbl>
      <w:tblPr>
        <w:tblOverlap w:val="neve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2409"/>
        <w:gridCol w:w="2416"/>
      </w:tblGrid>
      <w:tr w:rsidR="00CF09D4">
        <w:trPr>
          <w:jc w:val="center"/>
        </w:trPr>
        <w:tc>
          <w:tcPr>
            <w:tcW w:w="2830" w:type="dxa"/>
            <w:shd w:val="clear" w:color="auto" w:fill="auto"/>
          </w:tcPr>
          <w:p w:rsidR="00CF09D4" w:rsidRDefault="009A3F8A">
            <w:pPr>
              <w:snapToGrid w:val="0"/>
              <w:ind w:firstLineChars="178" w:firstLine="429"/>
              <w:rPr>
                <w:rFonts w:ascii="宋体"/>
                <w:b/>
                <w:sz w:val="24"/>
                <w:szCs w:val="24"/>
              </w:rPr>
            </w:pPr>
            <w:r>
              <w:rPr>
                <w:rFonts w:ascii="宋体" w:hint="eastAsia"/>
                <w:b/>
                <w:sz w:val="24"/>
                <w:szCs w:val="24"/>
              </w:rPr>
              <w:t>认购金额（</w:t>
            </w:r>
            <w:r>
              <w:rPr>
                <w:rFonts w:ascii="宋体"/>
                <w:b/>
                <w:sz w:val="24"/>
                <w:szCs w:val="24"/>
              </w:rPr>
              <w:t>M</w:t>
            </w:r>
            <w:r>
              <w:rPr>
                <w:rFonts w:ascii="宋体"/>
                <w:b/>
                <w:sz w:val="24"/>
                <w:szCs w:val="24"/>
              </w:rPr>
              <w:t>）</w:t>
            </w:r>
          </w:p>
        </w:tc>
        <w:tc>
          <w:tcPr>
            <w:tcW w:w="2409" w:type="dxa"/>
            <w:shd w:val="clear" w:color="auto" w:fill="auto"/>
          </w:tcPr>
          <w:p w:rsidR="00CF09D4" w:rsidRDefault="009A3F8A">
            <w:pPr>
              <w:snapToGrid w:val="0"/>
              <w:ind w:firstLineChars="178" w:firstLine="429"/>
              <w:jc w:val="center"/>
              <w:rPr>
                <w:rFonts w:ascii="宋体"/>
                <w:b/>
                <w:sz w:val="24"/>
                <w:szCs w:val="24"/>
              </w:rPr>
            </w:pPr>
            <w:r>
              <w:rPr>
                <w:rFonts w:ascii="宋体" w:hint="eastAsia"/>
                <w:b/>
                <w:sz w:val="24"/>
                <w:szCs w:val="24"/>
              </w:rPr>
              <w:t>A</w:t>
            </w:r>
            <w:r>
              <w:rPr>
                <w:rFonts w:ascii="宋体" w:hint="eastAsia"/>
                <w:b/>
                <w:sz w:val="24"/>
                <w:szCs w:val="24"/>
              </w:rPr>
              <w:t>类基金份额认购费率</w:t>
            </w:r>
          </w:p>
        </w:tc>
        <w:tc>
          <w:tcPr>
            <w:tcW w:w="2416" w:type="dxa"/>
          </w:tcPr>
          <w:p w:rsidR="00CF09D4" w:rsidRDefault="009A3F8A">
            <w:pPr>
              <w:snapToGrid w:val="0"/>
              <w:ind w:firstLineChars="178" w:firstLine="429"/>
              <w:jc w:val="center"/>
              <w:rPr>
                <w:rFonts w:ascii="宋体"/>
                <w:b/>
                <w:sz w:val="24"/>
                <w:szCs w:val="24"/>
              </w:rPr>
            </w:pPr>
            <w:r>
              <w:rPr>
                <w:rFonts w:ascii="宋体" w:hint="eastAsia"/>
                <w:b/>
                <w:sz w:val="24"/>
                <w:szCs w:val="24"/>
              </w:rPr>
              <w:t>C</w:t>
            </w:r>
            <w:r>
              <w:rPr>
                <w:rFonts w:ascii="宋体" w:hint="eastAsia"/>
                <w:b/>
                <w:sz w:val="24"/>
                <w:szCs w:val="24"/>
              </w:rPr>
              <w:t>类基金份额认购费率</w:t>
            </w:r>
          </w:p>
        </w:tc>
      </w:tr>
      <w:tr w:rsidR="00CF09D4">
        <w:trPr>
          <w:jc w:val="center"/>
        </w:trPr>
        <w:tc>
          <w:tcPr>
            <w:tcW w:w="2830" w:type="dxa"/>
            <w:shd w:val="clear" w:color="auto" w:fill="auto"/>
          </w:tcPr>
          <w:p w:rsidR="00CF09D4" w:rsidRDefault="009A3F8A">
            <w:pPr>
              <w:snapToGrid w:val="0"/>
              <w:ind w:firstLineChars="178" w:firstLine="427"/>
              <w:jc w:val="center"/>
              <w:rPr>
                <w:rFonts w:ascii="宋体"/>
                <w:sz w:val="24"/>
                <w:szCs w:val="24"/>
              </w:rPr>
            </w:pPr>
            <w:r>
              <w:rPr>
                <w:rFonts w:ascii="宋体"/>
                <w:sz w:val="24"/>
                <w:szCs w:val="24"/>
              </w:rPr>
              <w:t>M</w:t>
            </w:r>
            <w:r>
              <w:rPr>
                <w:rFonts w:ascii="宋体"/>
                <w:sz w:val="24"/>
                <w:szCs w:val="24"/>
              </w:rPr>
              <w:t>＜</w:t>
            </w:r>
            <w:r>
              <w:rPr>
                <w:rFonts w:ascii="宋体" w:hint="eastAsia"/>
                <w:sz w:val="24"/>
                <w:szCs w:val="24"/>
              </w:rPr>
              <w:t>100</w:t>
            </w:r>
            <w:r>
              <w:rPr>
                <w:rFonts w:ascii="宋体" w:hint="eastAsia"/>
                <w:sz w:val="24"/>
                <w:szCs w:val="24"/>
              </w:rPr>
              <w:t>万</w:t>
            </w:r>
          </w:p>
        </w:tc>
        <w:tc>
          <w:tcPr>
            <w:tcW w:w="2409" w:type="dxa"/>
            <w:shd w:val="clear" w:color="auto" w:fill="auto"/>
          </w:tcPr>
          <w:p w:rsidR="00CF09D4" w:rsidRDefault="009A3F8A">
            <w:pPr>
              <w:snapToGrid w:val="0"/>
              <w:ind w:firstLineChars="178" w:firstLine="427"/>
              <w:jc w:val="center"/>
              <w:rPr>
                <w:rFonts w:ascii="宋体"/>
                <w:sz w:val="24"/>
                <w:szCs w:val="24"/>
              </w:rPr>
            </w:pPr>
            <w:r>
              <w:rPr>
                <w:rFonts w:ascii="宋体"/>
                <w:sz w:val="24"/>
                <w:szCs w:val="24"/>
              </w:rPr>
              <w:t>0</w:t>
            </w:r>
            <w:r>
              <w:rPr>
                <w:rFonts w:ascii="宋体" w:hint="eastAsia"/>
                <w:sz w:val="24"/>
                <w:szCs w:val="24"/>
              </w:rPr>
              <w:t>.</w:t>
            </w:r>
            <w:r>
              <w:rPr>
                <w:rFonts w:ascii="宋体"/>
                <w:sz w:val="24"/>
                <w:szCs w:val="24"/>
              </w:rPr>
              <w:t>4</w:t>
            </w:r>
            <w:r>
              <w:rPr>
                <w:rFonts w:ascii="宋体" w:hint="eastAsia"/>
                <w:sz w:val="24"/>
                <w:szCs w:val="24"/>
              </w:rPr>
              <w:t>%</w:t>
            </w:r>
          </w:p>
        </w:tc>
        <w:tc>
          <w:tcPr>
            <w:tcW w:w="2416" w:type="dxa"/>
            <w:vMerge w:val="restart"/>
            <w:vAlign w:val="center"/>
          </w:tcPr>
          <w:p w:rsidR="00CF09D4" w:rsidRDefault="009A3F8A">
            <w:pPr>
              <w:snapToGrid w:val="0"/>
              <w:ind w:firstLineChars="178" w:firstLine="427"/>
              <w:jc w:val="center"/>
              <w:rPr>
                <w:rFonts w:ascii="宋体"/>
                <w:sz w:val="24"/>
                <w:szCs w:val="24"/>
              </w:rPr>
            </w:pPr>
            <w:r>
              <w:rPr>
                <w:rFonts w:ascii="宋体" w:hint="eastAsia"/>
                <w:sz w:val="24"/>
                <w:szCs w:val="24"/>
              </w:rPr>
              <w:t>0</w:t>
            </w:r>
          </w:p>
        </w:tc>
      </w:tr>
      <w:tr w:rsidR="00CF09D4">
        <w:trPr>
          <w:trHeight w:val="240"/>
          <w:jc w:val="center"/>
        </w:trPr>
        <w:tc>
          <w:tcPr>
            <w:tcW w:w="2830" w:type="dxa"/>
            <w:shd w:val="clear" w:color="auto" w:fill="auto"/>
          </w:tcPr>
          <w:p w:rsidR="00CF09D4" w:rsidRDefault="009A3F8A">
            <w:pPr>
              <w:snapToGrid w:val="0"/>
              <w:ind w:firstLineChars="178" w:firstLine="427"/>
              <w:jc w:val="center"/>
              <w:rPr>
                <w:rFonts w:ascii="宋体"/>
                <w:sz w:val="24"/>
                <w:szCs w:val="24"/>
              </w:rPr>
            </w:pPr>
            <w:r>
              <w:rPr>
                <w:rFonts w:ascii="宋体" w:hint="eastAsia"/>
                <w:sz w:val="24"/>
                <w:szCs w:val="24"/>
              </w:rPr>
              <w:t>100</w:t>
            </w:r>
            <w:r>
              <w:rPr>
                <w:rFonts w:ascii="宋体" w:hint="eastAsia"/>
                <w:sz w:val="24"/>
                <w:szCs w:val="24"/>
              </w:rPr>
              <w:t>万≤</w:t>
            </w:r>
            <w:r>
              <w:rPr>
                <w:rFonts w:ascii="宋体" w:hint="eastAsia"/>
                <w:sz w:val="24"/>
                <w:szCs w:val="24"/>
              </w:rPr>
              <w:t>M</w:t>
            </w:r>
            <w:r>
              <w:rPr>
                <w:rFonts w:ascii="宋体"/>
                <w:sz w:val="24"/>
                <w:szCs w:val="24"/>
              </w:rPr>
              <w:t>＜</w:t>
            </w:r>
            <w:r>
              <w:rPr>
                <w:rFonts w:ascii="宋体"/>
                <w:sz w:val="24"/>
                <w:szCs w:val="24"/>
              </w:rPr>
              <w:t>10</w:t>
            </w:r>
            <w:r>
              <w:rPr>
                <w:rFonts w:ascii="宋体" w:hint="eastAsia"/>
                <w:sz w:val="24"/>
                <w:szCs w:val="24"/>
              </w:rPr>
              <w:t>00</w:t>
            </w:r>
            <w:r>
              <w:rPr>
                <w:rFonts w:ascii="宋体" w:hint="eastAsia"/>
                <w:sz w:val="24"/>
                <w:szCs w:val="24"/>
              </w:rPr>
              <w:t>万</w:t>
            </w:r>
          </w:p>
        </w:tc>
        <w:tc>
          <w:tcPr>
            <w:tcW w:w="2409" w:type="dxa"/>
            <w:shd w:val="clear" w:color="auto" w:fill="auto"/>
          </w:tcPr>
          <w:p w:rsidR="00CF09D4" w:rsidRDefault="009A3F8A">
            <w:pPr>
              <w:snapToGrid w:val="0"/>
              <w:ind w:firstLineChars="178" w:firstLine="427"/>
              <w:jc w:val="center"/>
              <w:rPr>
                <w:rFonts w:ascii="宋体"/>
                <w:sz w:val="24"/>
                <w:szCs w:val="24"/>
              </w:rPr>
            </w:pPr>
            <w:r>
              <w:rPr>
                <w:rFonts w:ascii="宋体" w:hint="eastAsia"/>
                <w:sz w:val="24"/>
                <w:szCs w:val="24"/>
              </w:rPr>
              <w:t>0.</w:t>
            </w:r>
            <w:r>
              <w:rPr>
                <w:rFonts w:ascii="宋体"/>
                <w:sz w:val="24"/>
                <w:szCs w:val="24"/>
              </w:rPr>
              <w:t>1</w:t>
            </w:r>
            <w:r>
              <w:rPr>
                <w:rFonts w:ascii="宋体" w:hint="eastAsia"/>
                <w:sz w:val="24"/>
                <w:szCs w:val="24"/>
              </w:rPr>
              <w:t>%</w:t>
            </w:r>
          </w:p>
        </w:tc>
        <w:tc>
          <w:tcPr>
            <w:tcW w:w="2416" w:type="dxa"/>
            <w:vMerge/>
          </w:tcPr>
          <w:p w:rsidR="00CF09D4" w:rsidRDefault="00CF09D4">
            <w:pPr>
              <w:snapToGrid w:val="0"/>
              <w:ind w:firstLineChars="178" w:firstLine="427"/>
              <w:jc w:val="center"/>
              <w:rPr>
                <w:rFonts w:ascii="宋体"/>
                <w:sz w:val="24"/>
                <w:szCs w:val="24"/>
              </w:rPr>
            </w:pPr>
          </w:p>
        </w:tc>
      </w:tr>
      <w:tr w:rsidR="00CF09D4">
        <w:trPr>
          <w:trHeight w:val="315"/>
          <w:jc w:val="center"/>
        </w:trPr>
        <w:tc>
          <w:tcPr>
            <w:tcW w:w="2830" w:type="dxa"/>
            <w:shd w:val="clear" w:color="auto" w:fill="auto"/>
          </w:tcPr>
          <w:p w:rsidR="00CF09D4" w:rsidRDefault="009A3F8A">
            <w:pPr>
              <w:snapToGrid w:val="0"/>
              <w:ind w:firstLineChars="178" w:firstLine="427"/>
              <w:jc w:val="center"/>
              <w:rPr>
                <w:rFonts w:ascii="宋体"/>
                <w:sz w:val="24"/>
                <w:szCs w:val="24"/>
              </w:rPr>
            </w:pPr>
            <w:r>
              <w:rPr>
                <w:rFonts w:ascii="宋体"/>
                <w:sz w:val="24"/>
                <w:szCs w:val="24"/>
              </w:rPr>
              <w:t>M</w:t>
            </w:r>
            <w:r>
              <w:rPr>
                <w:rFonts w:ascii="宋体" w:hint="eastAsia"/>
                <w:sz w:val="24"/>
                <w:szCs w:val="24"/>
              </w:rPr>
              <w:t>≥</w:t>
            </w:r>
            <w:r>
              <w:rPr>
                <w:rFonts w:ascii="宋体"/>
                <w:sz w:val="24"/>
                <w:szCs w:val="24"/>
              </w:rPr>
              <w:t>10</w:t>
            </w:r>
            <w:r>
              <w:rPr>
                <w:rFonts w:ascii="宋体" w:hint="eastAsia"/>
                <w:sz w:val="24"/>
                <w:szCs w:val="24"/>
              </w:rPr>
              <w:t>00</w:t>
            </w:r>
            <w:r>
              <w:rPr>
                <w:rFonts w:ascii="宋体"/>
                <w:sz w:val="24"/>
                <w:szCs w:val="24"/>
              </w:rPr>
              <w:t>万</w:t>
            </w:r>
          </w:p>
        </w:tc>
        <w:tc>
          <w:tcPr>
            <w:tcW w:w="2409" w:type="dxa"/>
            <w:shd w:val="clear" w:color="auto" w:fill="auto"/>
          </w:tcPr>
          <w:p w:rsidR="00CF09D4" w:rsidRDefault="009A3F8A">
            <w:pPr>
              <w:snapToGrid w:val="0"/>
              <w:ind w:firstLineChars="178" w:firstLine="427"/>
              <w:jc w:val="center"/>
              <w:rPr>
                <w:rFonts w:ascii="宋体"/>
                <w:sz w:val="24"/>
                <w:szCs w:val="24"/>
              </w:rPr>
            </w:pPr>
            <w:r>
              <w:rPr>
                <w:rFonts w:ascii="宋体" w:hint="eastAsia"/>
                <w:sz w:val="24"/>
                <w:szCs w:val="24"/>
              </w:rPr>
              <w:t>每笔</w:t>
            </w:r>
            <w:r>
              <w:rPr>
                <w:rFonts w:ascii="宋体"/>
                <w:sz w:val="24"/>
                <w:szCs w:val="24"/>
              </w:rPr>
              <w:t>10</w:t>
            </w:r>
            <w:r>
              <w:rPr>
                <w:rFonts w:ascii="宋体" w:hint="eastAsia"/>
                <w:sz w:val="24"/>
                <w:szCs w:val="24"/>
              </w:rPr>
              <w:t>00</w:t>
            </w:r>
            <w:r>
              <w:rPr>
                <w:rFonts w:ascii="宋体" w:hint="eastAsia"/>
                <w:sz w:val="24"/>
                <w:szCs w:val="24"/>
              </w:rPr>
              <w:t>元</w:t>
            </w:r>
          </w:p>
        </w:tc>
        <w:tc>
          <w:tcPr>
            <w:tcW w:w="2416" w:type="dxa"/>
            <w:vMerge/>
          </w:tcPr>
          <w:p w:rsidR="00CF09D4" w:rsidRDefault="00CF09D4">
            <w:pPr>
              <w:snapToGrid w:val="0"/>
              <w:ind w:firstLineChars="178" w:firstLine="427"/>
              <w:jc w:val="center"/>
              <w:rPr>
                <w:rFonts w:ascii="宋体"/>
                <w:sz w:val="24"/>
                <w:szCs w:val="24"/>
              </w:rPr>
            </w:pPr>
          </w:p>
        </w:tc>
      </w:tr>
    </w:tbl>
    <w:p w:rsidR="00CF09D4" w:rsidRDefault="00CF09D4">
      <w:pPr>
        <w:snapToGrid w:val="0"/>
        <w:spacing w:line="360" w:lineRule="auto"/>
        <w:ind w:firstLineChars="178" w:firstLine="427"/>
        <w:rPr>
          <w:rFonts w:ascii="宋体" w:hAnsi="宋体" w:cs="Arial"/>
          <w:sz w:val="24"/>
          <w:szCs w:val="24"/>
        </w:rPr>
      </w:pPr>
    </w:p>
    <w:p w:rsidR="00CF09D4" w:rsidRDefault="009A3F8A">
      <w:pPr>
        <w:snapToGrid w:val="0"/>
        <w:spacing w:line="360" w:lineRule="auto"/>
        <w:ind w:firstLineChars="178" w:firstLine="427"/>
        <w:rPr>
          <w:rFonts w:ascii="宋体" w:hAnsi="宋体" w:cs="Arial"/>
          <w:sz w:val="24"/>
          <w:szCs w:val="24"/>
        </w:rPr>
      </w:pPr>
      <w:r>
        <w:rPr>
          <w:rFonts w:ascii="宋体" w:hAnsi="宋体" w:cs="Arial"/>
          <w:sz w:val="24"/>
          <w:szCs w:val="24"/>
        </w:rPr>
        <w:t>认购费用由</w:t>
      </w:r>
      <w:r>
        <w:rPr>
          <w:rFonts w:ascii="宋体" w:hAnsi="宋体" w:cs="Arial" w:hint="eastAsia"/>
          <w:sz w:val="24"/>
          <w:szCs w:val="24"/>
        </w:rPr>
        <w:t>A</w:t>
      </w:r>
      <w:r>
        <w:rPr>
          <w:rFonts w:ascii="宋体" w:hAnsi="宋体" w:cs="Arial" w:hint="eastAsia"/>
          <w:sz w:val="24"/>
          <w:szCs w:val="24"/>
        </w:rPr>
        <w:t>类基金份额的</w:t>
      </w:r>
      <w:r>
        <w:rPr>
          <w:rFonts w:ascii="宋体" w:hAnsi="宋体" w:cs="Arial"/>
          <w:sz w:val="24"/>
          <w:szCs w:val="24"/>
        </w:rPr>
        <w:t>认购人承担，不列入基金财产，主要用于本基金募集期间发生的市场推广、销售、登记等各项费用。</w:t>
      </w:r>
    </w:p>
    <w:p w:rsidR="00CF09D4" w:rsidRDefault="009A3F8A">
      <w:pPr>
        <w:snapToGrid w:val="0"/>
        <w:spacing w:line="360" w:lineRule="auto"/>
        <w:ind w:firstLineChars="178" w:firstLine="427"/>
        <w:rPr>
          <w:rFonts w:ascii="宋体" w:hAnsi="宋体" w:cs="Arial"/>
          <w:sz w:val="24"/>
          <w:szCs w:val="24"/>
        </w:rPr>
      </w:pPr>
      <w:r>
        <w:rPr>
          <w:rFonts w:ascii="宋体" w:hAnsi="宋体" w:cs="Arial"/>
          <w:sz w:val="24"/>
          <w:szCs w:val="24"/>
        </w:rPr>
        <w:t>基金管理人可以针对特定投资人（如养老金客户等）开展费率优惠活动，届时将提前公告。</w:t>
      </w:r>
    </w:p>
    <w:p w:rsidR="00CF09D4" w:rsidRDefault="009A3F8A">
      <w:pPr>
        <w:pStyle w:val="af8"/>
        <w:widowControl/>
        <w:numPr>
          <w:ilvl w:val="0"/>
          <w:numId w:val="3"/>
        </w:numPr>
        <w:snapToGrid w:val="0"/>
        <w:spacing w:line="360" w:lineRule="auto"/>
        <w:ind w:firstLineChars="0"/>
        <w:jc w:val="left"/>
        <w:rPr>
          <w:rFonts w:ascii="Times New Roman" w:hAnsi="Times New Roman" w:cs="Times New Roman"/>
          <w:sz w:val="24"/>
          <w:szCs w:val="24"/>
        </w:rPr>
      </w:pPr>
      <w:r>
        <w:rPr>
          <w:rFonts w:ascii="Times New Roman" w:hAnsi="Times New Roman" w:cs="Times New Roman" w:hint="eastAsia"/>
          <w:sz w:val="24"/>
          <w:szCs w:val="24"/>
        </w:rPr>
        <w:t>认购份额的计算</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本基金认购采用金额认购的方式，认购份额的计算公式为：</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1</w:t>
      </w:r>
      <w:r>
        <w:rPr>
          <w:rFonts w:ascii="宋体" w:hAnsi="宋体" w:cs="Arial" w:hint="eastAsia"/>
          <w:sz w:val="24"/>
          <w:szCs w:val="24"/>
        </w:rPr>
        <w:t>）</w:t>
      </w:r>
      <w:r>
        <w:rPr>
          <w:rFonts w:ascii="宋体" w:hAnsi="宋体" w:cs="Arial" w:hint="eastAsia"/>
          <w:sz w:val="24"/>
          <w:szCs w:val="24"/>
        </w:rPr>
        <w:t>A</w:t>
      </w:r>
      <w:r>
        <w:rPr>
          <w:rFonts w:ascii="宋体" w:hAnsi="宋体" w:cs="Arial" w:hint="eastAsia"/>
          <w:sz w:val="24"/>
          <w:szCs w:val="24"/>
        </w:rPr>
        <w:t>类基金份额认购份额的计算及举例</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认购费用适用比例费率的情形下：</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净认购金额＝认购金额</w:t>
      </w:r>
      <w:r>
        <w:rPr>
          <w:rFonts w:ascii="宋体" w:hAnsi="宋体" w:cs="Arial"/>
          <w:sz w:val="24"/>
          <w:szCs w:val="24"/>
        </w:rPr>
        <w:t>/</w:t>
      </w:r>
      <w:r>
        <w:rPr>
          <w:rFonts w:ascii="宋体" w:hAnsi="宋体" w:cs="Arial"/>
          <w:sz w:val="24"/>
          <w:szCs w:val="24"/>
        </w:rPr>
        <w:t>（</w:t>
      </w:r>
      <w:r>
        <w:rPr>
          <w:rFonts w:ascii="宋体" w:hAnsi="宋体" w:cs="Arial"/>
          <w:sz w:val="24"/>
          <w:szCs w:val="24"/>
        </w:rPr>
        <w:t>1</w:t>
      </w:r>
      <w:r>
        <w:rPr>
          <w:rFonts w:ascii="宋体" w:hAnsi="宋体" w:cs="Arial"/>
          <w:sz w:val="24"/>
          <w:szCs w:val="24"/>
        </w:rPr>
        <w:t>＋认购费率）</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认购费用＝认购金额－净认购金额</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认购份额＝（净认购金额</w:t>
      </w:r>
      <w:r>
        <w:rPr>
          <w:rFonts w:ascii="宋体" w:hAnsi="宋体" w:cs="Arial"/>
          <w:sz w:val="24"/>
          <w:szCs w:val="24"/>
        </w:rPr>
        <w:t>＋</w:t>
      </w:r>
      <w:r>
        <w:rPr>
          <w:rFonts w:ascii="宋体" w:hAnsi="宋体" w:cs="Arial" w:hint="eastAsia"/>
          <w:sz w:val="24"/>
          <w:szCs w:val="24"/>
        </w:rPr>
        <w:t>认购利息）</w:t>
      </w:r>
      <w:r>
        <w:rPr>
          <w:rFonts w:ascii="宋体" w:hAnsi="宋体" w:cs="Arial"/>
          <w:sz w:val="24"/>
          <w:szCs w:val="24"/>
        </w:rPr>
        <w:t>/</w:t>
      </w:r>
      <w:r>
        <w:rPr>
          <w:rFonts w:ascii="宋体" w:hAnsi="宋体" w:cs="Arial" w:hint="eastAsia"/>
          <w:sz w:val="24"/>
          <w:szCs w:val="24"/>
        </w:rPr>
        <w:t>基金份额发售面值</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认购费用适用固定金额的情形下：</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认购费用＝固定金额</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净认购金额＝认购金额</w:t>
      </w:r>
      <w:r>
        <w:rPr>
          <w:rFonts w:ascii="宋体" w:hAnsi="宋体" w:cs="Arial" w:hint="eastAsia"/>
          <w:sz w:val="24"/>
          <w:szCs w:val="24"/>
        </w:rPr>
        <w:t>-</w:t>
      </w:r>
      <w:r>
        <w:rPr>
          <w:rFonts w:ascii="宋体" w:hAnsi="宋体" w:cs="Arial" w:hint="eastAsia"/>
          <w:sz w:val="24"/>
          <w:szCs w:val="24"/>
        </w:rPr>
        <w:t>认购费用</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认购份额＝（净认购金额＋认购利息）</w:t>
      </w:r>
      <w:r>
        <w:rPr>
          <w:rFonts w:ascii="宋体" w:hAnsi="宋体" w:cs="Arial" w:hint="eastAsia"/>
          <w:sz w:val="24"/>
          <w:szCs w:val="24"/>
        </w:rPr>
        <w:t>/</w:t>
      </w:r>
      <w:r>
        <w:rPr>
          <w:rFonts w:ascii="宋体" w:hAnsi="宋体" w:cs="Arial" w:hint="eastAsia"/>
          <w:sz w:val="24"/>
          <w:szCs w:val="24"/>
        </w:rPr>
        <w:t>基金份额发售面值</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认购份额及金额计算结果保留到小数点后</w:t>
      </w:r>
      <w:r>
        <w:rPr>
          <w:rFonts w:ascii="宋体" w:hAnsi="宋体" w:cs="Arial" w:hint="eastAsia"/>
          <w:sz w:val="24"/>
          <w:szCs w:val="24"/>
        </w:rPr>
        <w:t>2</w:t>
      </w:r>
      <w:r>
        <w:rPr>
          <w:rFonts w:ascii="宋体" w:hAnsi="宋体" w:cs="Arial" w:hint="eastAsia"/>
          <w:sz w:val="24"/>
          <w:szCs w:val="24"/>
        </w:rPr>
        <w:t>位，小数点</w:t>
      </w:r>
      <w:r>
        <w:rPr>
          <w:rFonts w:ascii="宋体" w:hAnsi="宋体" w:cs="Arial" w:hint="eastAsia"/>
          <w:sz w:val="24"/>
          <w:szCs w:val="24"/>
        </w:rPr>
        <w:t>2</w:t>
      </w:r>
      <w:r>
        <w:rPr>
          <w:rFonts w:ascii="宋体" w:hAnsi="宋体" w:cs="Arial" w:hint="eastAsia"/>
          <w:sz w:val="24"/>
          <w:szCs w:val="24"/>
        </w:rPr>
        <w:t>位以后的部分四舍五入，由此误差产生的收益或损失由基金财产承担。</w:t>
      </w:r>
    </w:p>
    <w:p w:rsidR="00CF09D4" w:rsidRDefault="009A3F8A">
      <w:pPr>
        <w:snapToGrid w:val="0"/>
        <w:spacing w:line="360" w:lineRule="auto"/>
        <w:ind w:firstLineChars="178" w:firstLine="427"/>
        <w:rPr>
          <w:rFonts w:ascii="宋体" w:hAnsi="宋体" w:cs="Arial"/>
          <w:sz w:val="24"/>
          <w:szCs w:val="24"/>
        </w:rPr>
      </w:pPr>
      <w:r>
        <w:rPr>
          <w:rFonts w:ascii="宋体" w:hAnsi="宋体" w:cs="Arial"/>
          <w:sz w:val="24"/>
          <w:szCs w:val="24"/>
        </w:rPr>
        <w:t>例</w:t>
      </w:r>
      <w:r>
        <w:rPr>
          <w:rFonts w:ascii="宋体" w:hAnsi="宋体" w:cs="Arial" w:hint="eastAsia"/>
          <w:sz w:val="24"/>
          <w:szCs w:val="24"/>
        </w:rPr>
        <w:t>1</w:t>
      </w:r>
      <w:r>
        <w:rPr>
          <w:rFonts w:ascii="宋体" w:hAnsi="宋体" w:cs="Arial"/>
          <w:sz w:val="24"/>
          <w:szCs w:val="24"/>
        </w:rPr>
        <w:t>：某投资人投资</w:t>
      </w:r>
      <w:r>
        <w:rPr>
          <w:rFonts w:ascii="宋体" w:hAnsi="宋体" w:cs="Arial"/>
          <w:sz w:val="24"/>
          <w:szCs w:val="24"/>
        </w:rPr>
        <w:t>30</w:t>
      </w:r>
      <w:r>
        <w:rPr>
          <w:rFonts w:ascii="宋体" w:hAnsi="宋体" w:cs="Arial"/>
          <w:sz w:val="24"/>
          <w:szCs w:val="24"/>
        </w:rPr>
        <w:t>万元认购本基金</w:t>
      </w:r>
      <w:r>
        <w:rPr>
          <w:rFonts w:ascii="宋体" w:hAnsi="宋体" w:cs="Arial" w:hint="eastAsia"/>
          <w:sz w:val="24"/>
          <w:szCs w:val="24"/>
        </w:rPr>
        <w:t>A</w:t>
      </w:r>
      <w:r>
        <w:rPr>
          <w:rFonts w:ascii="宋体" w:hAnsi="宋体" w:cs="Arial" w:hint="eastAsia"/>
          <w:sz w:val="24"/>
          <w:szCs w:val="24"/>
        </w:rPr>
        <w:t>类基金份额</w:t>
      </w:r>
      <w:r>
        <w:rPr>
          <w:rFonts w:ascii="宋体" w:hAnsi="宋体" w:cs="Arial"/>
          <w:sz w:val="24"/>
          <w:szCs w:val="24"/>
        </w:rPr>
        <w:t>，假设其认购资金的利息为</w:t>
      </w:r>
      <w:r>
        <w:rPr>
          <w:rFonts w:ascii="宋体" w:hAnsi="宋体" w:cs="Arial"/>
          <w:sz w:val="24"/>
          <w:szCs w:val="24"/>
        </w:rPr>
        <w:t>30</w:t>
      </w:r>
      <w:r>
        <w:rPr>
          <w:rFonts w:ascii="宋体" w:hAnsi="宋体" w:cs="Arial"/>
          <w:sz w:val="24"/>
          <w:szCs w:val="24"/>
        </w:rPr>
        <w:t>元，其对应的认购费率为</w:t>
      </w:r>
      <w:r>
        <w:rPr>
          <w:rFonts w:ascii="宋体" w:hAnsi="宋体" w:cs="Arial"/>
          <w:sz w:val="24"/>
          <w:szCs w:val="24"/>
        </w:rPr>
        <w:t>0</w:t>
      </w:r>
      <w:r>
        <w:rPr>
          <w:rFonts w:ascii="宋体" w:hAnsi="宋体" w:cs="Arial" w:hint="eastAsia"/>
          <w:sz w:val="24"/>
          <w:szCs w:val="24"/>
        </w:rPr>
        <w:t>.</w:t>
      </w:r>
      <w:r>
        <w:rPr>
          <w:rFonts w:ascii="宋体" w:hAnsi="宋体" w:cs="Arial"/>
          <w:sz w:val="24"/>
          <w:szCs w:val="24"/>
        </w:rPr>
        <w:t>4%</w:t>
      </w:r>
      <w:r>
        <w:rPr>
          <w:rFonts w:ascii="宋体" w:hAnsi="宋体" w:cs="Arial"/>
          <w:sz w:val="24"/>
          <w:szCs w:val="24"/>
        </w:rPr>
        <w:t>，则其可得到</w:t>
      </w:r>
      <w:r>
        <w:rPr>
          <w:rFonts w:ascii="宋体" w:hAnsi="宋体" w:cs="Arial" w:hint="eastAsia"/>
          <w:sz w:val="24"/>
          <w:szCs w:val="24"/>
        </w:rPr>
        <w:t>的</w:t>
      </w:r>
      <w:r>
        <w:rPr>
          <w:rFonts w:ascii="宋体" w:hAnsi="宋体" w:cs="Arial" w:hint="eastAsia"/>
          <w:sz w:val="24"/>
          <w:szCs w:val="24"/>
        </w:rPr>
        <w:t>A</w:t>
      </w:r>
      <w:r>
        <w:rPr>
          <w:rFonts w:ascii="宋体" w:hAnsi="宋体" w:cs="Arial" w:hint="eastAsia"/>
          <w:sz w:val="24"/>
          <w:szCs w:val="24"/>
        </w:rPr>
        <w:t>类基金份额为</w:t>
      </w:r>
      <w:r>
        <w:rPr>
          <w:rFonts w:ascii="宋体" w:hAnsi="宋体" w:cs="Arial"/>
          <w:sz w:val="24"/>
          <w:szCs w:val="24"/>
        </w:rPr>
        <w:t>：</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净认购金额＝</w:t>
      </w:r>
      <w:r>
        <w:rPr>
          <w:rFonts w:ascii="宋体" w:hAnsi="宋体" w:cs="Arial" w:hint="eastAsia"/>
          <w:sz w:val="24"/>
          <w:szCs w:val="24"/>
        </w:rPr>
        <w:t>300,000.00/</w:t>
      </w:r>
      <w:r>
        <w:rPr>
          <w:rFonts w:ascii="宋体" w:hAnsi="宋体" w:cs="Arial" w:hint="eastAsia"/>
          <w:sz w:val="24"/>
          <w:szCs w:val="24"/>
        </w:rPr>
        <w:t>（</w:t>
      </w:r>
      <w:r>
        <w:rPr>
          <w:rFonts w:ascii="宋体" w:hAnsi="宋体" w:cs="Arial" w:hint="eastAsia"/>
          <w:sz w:val="24"/>
          <w:szCs w:val="24"/>
        </w:rPr>
        <w:t>1+0.</w:t>
      </w:r>
      <w:r>
        <w:rPr>
          <w:rFonts w:ascii="宋体" w:hAnsi="宋体" w:cs="Arial"/>
          <w:sz w:val="24"/>
          <w:szCs w:val="24"/>
        </w:rPr>
        <w:t>4</w:t>
      </w:r>
      <w:r>
        <w:rPr>
          <w:rFonts w:ascii="宋体" w:hAnsi="宋体" w:cs="Arial" w:hint="eastAsia"/>
          <w:sz w:val="24"/>
          <w:szCs w:val="24"/>
        </w:rPr>
        <w:t>%</w:t>
      </w:r>
      <w:r>
        <w:rPr>
          <w:rFonts w:ascii="宋体" w:hAnsi="宋体" w:cs="Arial" w:hint="eastAsia"/>
          <w:sz w:val="24"/>
          <w:szCs w:val="24"/>
        </w:rPr>
        <w:t>）＝</w:t>
      </w:r>
      <w:r>
        <w:rPr>
          <w:rFonts w:ascii="宋体" w:hAnsi="宋体" w:cs="Arial"/>
          <w:sz w:val="24"/>
          <w:szCs w:val="24"/>
        </w:rPr>
        <w:t>298,804.</w:t>
      </w:r>
      <w:r>
        <w:rPr>
          <w:rFonts w:ascii="宋体" w:hAnsi="宋体" w:cs="Arial"/>
          <w:sz w:val="24"/>
          <w:szCs w:val="24"/>
        </w:rPr>
        <w:t>78</w:t>
      </w:r>
      <w:r>
        <w:rPr>
          <w:rFonts w:ascii="宋体" w:hAnsi="宋体" w:cs="Arial" w:hint="eastAsia"/>
          <w:sz w:val="24"/>
          <w:szCs w:val="24"/>
        </w:rPr>
        <w:t>元</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认购费用＝</w:t>
      </w:r>
      <w:r>
        <w:rPr>
          <w:rFonts w:ascii="宋体" w:hAnsi="宋体" w:cs="Arial" w:hint="eastAsia"/>
          <w:sz w:val="24"/>
          <w:szCs w:val="24"/>
        </w:rPr>
        <w:t>300,000.00</w:t>
      </w:r>
      <w:r>
        <w:rPr>
          <w:rFonts w:ascii="宋体" w:hAnsi="宋体" w:cs="Arial" w:hint="eastAsia"/>
          <w:sz w:val="24"/>
          <w:szCs w:val="24"/>
        </w:rPr>
        <w:t>－</w:t>
      </w:r>
      <w:r>
        <w:rPr>
          <w:rFonts w:ascii="宋体" w:hAnsi="宋体" w:cs="Arial"/>
          <w:sz w:val="24"/>
          <w:szCs w:val="24"/>
        </w:rPr>
        <w:t>298,804.78</w:t>
      </w:r>
      <w:r>
        <w:rPr>
          <w:rFonts w:ascii="宋体" w:hAnsi="宋体" w:cs="Arial" w:hint="eastAsia"/>
          <w:sz w:val="24"/>
          <w:szCs w:val="24"/>
        </w:rPr>
        <w:t>＝</w:t>
      </w:r>
      <w:r>
        <w:rPr>
          <w:rFonts w:ascii="宋体" w:hAnsi="宋体" w:cs="Arial"/>
          <w:sz w:val="24"/>
          <w:szCs w:val="24"/>
        </w:rPr>
        <w:t>1,195.22</w:t>
      </w:r>
      <w:r>
        <w:rPr>
          <w:rFonts w:ascii="宋体" w:hAnsi="宋体" w:cs="Arial" w:hint="eastAsia"/>
          <w:sz w:val="24"/>
          <w:szCs w:val="24"/>
        </w:rPr>
        <w:t>元</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认购份额＝</w:t>
      </w:r>
      <w:r>
        <w:rPr>
          <w:rFonts w:ascii="宋体" w:hAnsi="宋体" w:cs="Arial" w:hint="eastAsia"/>
          <w:sz w:val="24"/>
          <w:szCs w:val="24"/>
        </w:rPr>
        <w:t>(</w:t>
      </w:r>
      <w:r>
        <w:rPr>
          <w:rFonts w:ascii="宋体" w:hAnsi="宋体" w:cs="Arial"/>
          <w:sz w:val="24"/>
          <w:szCs w:val="24"/>
        </w:rPr>
        <w:t>298,804.78+30)</w:t>
      </w:r>
      <w:r>
        <w:rPr>
          <w:rFonts w:ascii="宋体" w:hAnsi="宋体" w:cs="Arial" w:hint="eastAsia"/>
          <w:sz w:val="24"/>
          <w:szCs w:val="24"/>
        </w:rPr>
        <w:t>/1.00</w:t>
      </w:r>
      <w:r>
        <w:rPr>
          <w:rFonts w:ascii="宋体" w:hAnsi="宋体" w:cs="Arial" w:hint="eastAsia"/>
          <w:sz w:val="24"/>
          <w:szCs w:val="24"/>
        </w:rPr>
        <w:t>＝</w:t>
      </w:r>
      <w:r>
        <w:rPr>
          <w:rFonts w:ascii="宋体" w:hAnsi="宋体" w:cs="Arial"/>
          <w:sz w:val="24"/>
          <w:szCs w:val="24"/>
        </w:rPr>
        <w:t>298,834.78</w:t>
      </w:r>
      <w:r>
        <w:rPr>
          <w:rFonts w:ascii="宋体" w:hAnsi="宋体" w:cs="Arial" w:hint="eastAsia"/>
          <w:sz w:val="24"/>
          <w:szCs w:val="24"/>
        </w:rPr>
        <w:t>份</w:t>
      </w:r>
    </w:p>
    <w:p w:rsidR="00CF09D4" w:rsidRDefault="009A3F8A">
      <w:pPr>
        <w:snapToGrid w:val="0"/>
        <w:spacing w:line="360" w:lineRule="auto"/>
        <w:ind w:firstLineChars="178" w:firstLine="427"/>
        <w:rPr>
          <w:rFonts w:ascii="宋体" w:hAnsi="宋体" w:cs="Arial"/>
          <w:sz w:val="24"/>
          <w:szCs w:val="24"/>
        </w:rPr>
      </w:pPr>
      <w:r>
        <w:rPr>
          <w:rFonts w:ascii="宋体" w:hAnsi="宋体" w:cs="Arial"/>
          <w:sz w:val="24"/>
          <w:szCs w:val="24"/>
        </w:rPr>
        <w:t>即：投资人投资</w:t>
      </w:r>
      <w:r>
        <w:rPr>
          <w:rFonts w:ascii="宋体" w:hAnsi="宋体" w:cs="Arial"/>
          <w:sz w:val="24"/>
          <w:szCs w:val="24"/>
        </w:rPr>
        <w:t>30</w:t>
      </w:r>
      <w:r>
        <w:rPr>
          <w:rFonts w:ascii="宋体" w:hAnsi="宋体" w:cs="Arial"/>
          <w:sz w:val="24"/>
          <w:szCs w:val="24"/>
        </w:rPr>
        <w:t>万元认购本基金</w:t>
      </w:r>
      <w:r>
        <w:rPr>
          <w:rFonts w:ascii="宋体" w:hAnsi="宋体" w:cs="Arial" w:hint="eastAsia"/>
          <w:sz w:val="24"/>
          <w:szCs w:val="24"/>
        </w:rPr>
        <w:t>A</w:t>
      </w:r>
      <w:r>
        <w:rPr>
          <w:rFonts w:ascii="宋体" w:hAnsi="宋体" w:cs="Arial" w:hint="eastAsia"/>
          <w:sz w:val="24"/>
          <w:szCs w:val="24"/>
        </w:rPr>
        <w:t>类基金份额</w:t>
      </w:r>
      <w:r>
        <w:rPr>
          <w:rFonts w:ascii="宋体" w:hAnsi="宋体" w:cs="Arial"/>
          <w:sz w:val="24"/>
          <w:szCs w:val="24"/>
        </w:rPr>
        <w:t>，假设其认购资金的利息为</w:t>
      </w:r>
      <w:r>
        <w:rPr>
          <w:rFonts w:ascii="宋体" w:hAnsi="宋体" w:cs="Arial"/>
          <w:sz w:val="24"/>
          <w:szCs w:val="24"/>
        </w:rPr>
        <w:t>30</w:t>
      </w:r>
      <w:r>
        <w:rPr>
          <w:rFonts w:ascii="宋体" w:hAnsi="宋体" w:cs="Arial"/>
          <w:sz w:val="24"/>
          <w:szCs w:val="24"/>
        </w:rPr>
        <w:t>元，则其可得到</w:t>
      </w:r>
      <w:r>
        <w:rPr>
          <w:rFonts w:ascii="宋体" w:hAnsi="宋体" w:cs="Arial"/>
          <w:sz w:val="24"/>
          <w:szCs w:val="24"/>
        </w:rPr>
        <w:t>298,834.78</w:t>
      </w:r>
      <w:r>
        <w:rPr>
          <w:rFonts w:ascii="宋体" w:hAnsi="宋体" w:cs="Arial"/>
          <w:sz w:val="24"/>
          <w:szCs w:val="24"/>
        </w:rPr>
        <w:t>份</w:t>
      </w:r>
      <w:r>
        <w:rPr>
          <w:rFonts w:ascii="宋体" w:hAnsi="宋体" w:cs="Arial" w:hint="eastAsia"/>
          <w:sz w:val="24"/>
          <w:szCs w:val="24"/>
        </w:rPr>
        <w:t>A</w:t>
      </w:r>
      <w:r>
        <w:rPr>
          <w:rFonts w:ascii="宋体" w:hAnsi="宋体" w:cs="Arial" w:hint="eastAsia"/>
          <w:sz w:val="24"/>
          <w:szCs w:val="24"/>
        </w:rPr>
        <w:t>类基金份额（含利息</w:t>
      </w:r>
      <w:r>
        <w:rPr>
          <w:rFonts w:ascii="宋体" w:hAnsi="宋体" w:cs="Arial"/>
          <w:sz w:val="24"/>
          <w:szCs w:val="24"/>
        </w:rPr>
        <w:t>折算</w:t>
      </w:r>
      <w:r>
        <w:rPr>
          <w:rFonts w:ascii="宋体" w:hAnsi="宋体" w:cs="Arial" w:hint="eastAsia"/>
          <w:sz w:val="24"/>
          <w:szCs w:val="24"/>
        </w:rPr>
        <w:t>份额部分）</w:t>
      </w:r>
      <w:r>
        <w:rPr>
          <w:rFonts w:ascii="宋体" w:hAnsi="宋体" w:cs="Arial"/>
          <w:sz w:val="24"/>
          <w:szCs w:val="24"/>
        </w:rPr>
        <w:t>。</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2</w:t>
      </w:r>
      <w:r>
        <w:rPr>
          <w:rFonts w:ascii="宋体" w:hAnsi="宋体" w:cs="Arial" w:hint="eastAsia"/>
          <w:sz w:val="24"/>
          <w:szCs w:val="24"/>
        </w:rPr>
        <w:t>）</w:t>
      </w:r>
      <w:r>
        <w:rPr>
          <w:rFonts w:ascii="宋体" w:hAnsi="宋体" w:cs="Arial" w:hint="eastAsia"/>
          <w:sz w:val="24"/>
          <w:szCs w:val="24"/>
        </w:rPr>
        <w:t>C</w:t>
      </w:r>
      <w:r>
        <w:rPr>
          <w:rFonts w:ascii="宋体" w:hAnsi="宋体" w:cs="Arial" w:hint="eastAsia"/>
          <w:sz w:val="24"/>
          <w:szCs w:val="24"/>
        </w:rPr>
        <w:t>类基金份额认购份额的计算及举例</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认购份额＝（认购金额＋认购利息）</w:t>
      </w:r>
      <w:r>
        <w:rPr>
          <w:rFonts w:ascii="宋体" w:hAnsi="宋体" w:cs="Arial" w:hint="eastAsia"/>
          <w:sz w:val="24"/>
          <w:szCs w:val="24"/>
        </w:rPr>
        <w:t>/</w:t>
      </w:r>
      <w:r>
        <w:rPr>
          <w:rFonts w:ascii="宋体" w:hAnsi="宋体" w:cs="Arial" w:hint="eastAsia"/>
          <w:sz w:val="24"/>
          <w:szCs w:val="24"/>
        </w:rPr>
        <w:t>基金份额发售面值</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认购份额计算结果保留到小数点后</w:t>
      </w:r>
      <w:r>
        <w:rPr>
          <w:rFonts w:ascii="宋体" w:hAnsi="宋体" w:cs="Arial" w:hint="eastAsia"/>
          <w:sz w:val="24"/>
          <w:szCs w:val="24"/>
        </w:rPr>
        <w:t>2</w:t>
      </w:r>
      <w:r>
        <w:rPr>
          <w:rFonts w:ascii="宋体" w:hAnsi="宋体" w:cs="Arial" w:hint="eastAsia"/>
          <w:sz w:val="24"/>
          <w:szCs w:val="24"/>
        </w:rPr>
        <w:t>位，小数点</w:t>
      </w:r>
      <w:r>
        <w:rPr>
          <w:rFonts w:ascii="宋体" w:hAnsi="宋体" w:cs="Arial" w:hint="eastAsia"/>
          <w:sz w:val="24"/>
          <w:szCs w:val="24"/>
        </w:rPr>
        <w:t>2</w:t>
      </w:r>
      <w:r>
        <w:rPr>
          <w:rFonts w:ascii="宋体" w:hAnsi="宋体" w:cs="Arial" w:hint="eastAsia"/>
          <w:sz w:val="24"/>
          <w:szCs w:val="24"/>
        </w:rPr>
        <w:t>位以后的部分四舍五入，由此误差产生的收益或损失由基金财产承担。</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例</w:t>
      </w:r>
      <w:r>
        <w:rPr>
          <w:rFonts w:ascii="宋体" w:hAnsi="宋体" w:cs="Arial" w:hint="eastAsia"/>
          <w:sz w:val="24"/>
          <w:szCs w:val="24"/>
        </w:rPr>
        <w:t>2</w:t>
      </w:r>
      <w:r>
        <w:rPr>
          <w:rFonts w:ascii="宋体" w:hAnsi="宋体" w:cs="Arial" w:hint="eastAsia"/>
          <w:sz w:val="24"/>
          <w:szCs w:val="24"/>
        </w:rPr>
        <w:t>：某</w:t>
      </w:r>
      <w:r>
        <w:rPr>
          <w:rFonts w:ascii="宋体" w:hAnsi="宋体" w:cs="Arial"/>
          <w:sz w:val="24"/>
          <w:szCs w:val="24"/>
        </w:rPr>
        <w:t>投资人</w:t>
      </w:r>
      <w:r>
        <w:rPr>
          <w:rFonts w:ascii="宋体" w:hAnsi="宋体" w:cs="Arial" w:hint="eastAsia"/>
          <w:sz w:val="24"/>
          <w:szCs w:val="24"/>
        </w:rPr>
        <w:t>投资</w:t>
      </w:r>
      <w:r>
        <w:rPr>
          <w:rFonts w:ascii="宋体" w:hAnsi="宋体" w:cs="Arial" w:hint="eastAsia"/>
          <w:sz w:val="24"/>
          <w:szCs w:val="24"/>
        </w:rPr>
        <w:t>10</w:t>
      </w:r>
      <w:r>
        <w:rPr>
          <w:rFonts w:ascii="宋体" w:hAnsi="宋体" w:cs="Arial" w:hint="eastAsia"/>
          <w:sz w:val="24"/>
          <w:szCs w:val="24"/>
        </w:rPr>
        <w:t>万元认购本基金</w:t>
      </w:r>
      <w:r>
        <w:rPr>
          <w:rFonts w:ascii="宋体" w:hAnsi="宋体" w:cs="Arial" w:hint="eastAsia"/>
          <w:sz w:val="24"/>
          <w:szCs w:val="24"/>
        </w:rPr>
        <w:t>C</w:t>
      </w:r>
      <w:r>
        <w:rPr>
          <w:rFonts w:ascii="宋体" w:hAnsi="宋体" w:cs="Arial" w:hint="eastAsia"/>
          <w:sz w:val="24"/>
          <w:szCs w:val="24"/>
        </w:rPr>
        <w:t>类基金份额，假设</w:t>
      </w:r>
      <w:r>
        <w:rPr>
          <w:rFonts w:ascii="宋体" w:hAnsi="宋体" w:cs="Arial"/>
          <w:sz w:val="24"/>
          <w:szCs w:val="24"/>
        </w:rPr>
        <w:t>其认购资金的利息</w:t>
      </w:r>
      <w:r>
        <w:rPr>
          <w:rFonts w:ascii="宋体" w:hAnsi="宋体" w:cs="Arial" w:hint="eastAsia"/>
          <w:sz w:val="24"/>
          <w:szCs w:val="24"/>
        </w:rPr>
        <w:t>为</w:t>
      </w:r>
      <w:r>
        <w:rPr>
          <w:rFonts w:ascii="宋体" w:hAnsi="宋体" w:cs="Arial" w:hint="eastAsia"/>
          <w:sz w:val="24"/>
          <w:szCs w:val="24"/>
        </w:rPr>
        <w:t>50</w:t>
      </w:r>
      <w:r>
        <w:rPr>
          <w:rFonts w:ascii="宋体" w:hAnsi="宋体" w:cs="Arial" w:hint="eastAsia"/>
          <w:sz w:val="24"/>
          <w:szCs w:val="24"/>
        </w:rPr>
        <w:t>元，则该投资人认购可得到的</w:t>
      </w:r>
      <w:r>
        <w:rPr>
          <w:rFonts w:ascii="宋体" w:hAnsi="宋体" w:cs="Arial" w:hint="eastAsia"/>
          <w:sz w:val="24"/>
          <w:szCs w:val="24"/>
        </w:rPr>
        <w:t>C</w:t>
      </w:r>
      <w:r>
        <w:rPr>
          <w:rFonts w:ascii="宋体" w:hAnsi="宋体" w:cs="Arial" w:hint="eastAsia"/>
          <w:sz w:val="24"/>
          <w:szCs w:val="24"/>
        </w:rPr>
        <w:t>类基金份额为：</w:t>
      </w:r>
    </w:p>
    <w:p w:rsidR="00CF09D4" w:rsidRDefault="009A3F8A">
      <w:pPr>
        <w:snapToGrid w:val="0"/>
        <w:spacing w:line="360" w:lineRule="auto"/>
        <w:ind w:firstLineChars="178" w:firstLine="427"/>
        <w:rPr>
          <w:rFonts w:ascii="宋体" w:hAnsi="宋体" w:cs="Arial"/>
          <w:sz w:val="24"/>
          <w:szCs w:val="24"/>
        </w:rPr>
      </w:pPr>
      <w:r>
        <w:rPr>
          <w:rFonts w:ascii="宋体" w:hAnsi="宋体" w:cs="Arial" w:hint="eastAsia"/>
          <w:sz w:val="24"/>
          <w:szCs w:val="24"/>
        </w:rPr>
        <w:t>认购份额</w:t>
      </w:r>
      <w:r>
        <w:rPr>
          <w:rFonts w:ascii="宋体" w:hAnsi="宋体" w:cs="Arial" w:hint="eastAsia"/>
          <w:sz w:val="24"/>
          <w:szCs w:val="24"/>
        </w:rPr>
        <w:t>=</w:t>
      </w:r>
      <w:r>
        <w:rPr>
          <w:rFonts w:ascii="宋体" w:hAnsi="宋体" w:cs="Arial" w:hint="eastAsia"/>
          <w:sz w:val="24"/>
          <w:szCs w:val="24"/>
        </w:rPr>
        <w:t>（</w:t>
      </w:r>
      <w:r>
        <w:rPr>
          <w:rFonts w:ascii="宋体" w:hAnsi="宋体" w:cs="Arial" w:hint="eastAsia"/>
          <w:sz w:val="24"/>
          <w:szCs w:val="24"/>
        </w:rPr>
        <w:t>100,000.00</w:t>
      </w:r>
      <w:r>
        <w:rPr>
          <w:rFonts w:ascii="宋体" w:hAnsi="宋体" w:cs="Arial" w:hint="eastAsia"/>
          <w:sz w:val="24"/>
          <w:szCs w:val="24"/>
        </w:rPr>
        <w:t>＋</w:t>
      </w:r>
      <w:r>
        <w:rPr>
          <w:rFonts w:ascii="宋体" w:hAnsi="宋体" w:cs="Arial" w:hint="eastAsia"/>
          <w:sz w:val="24"/>
          <w:szCs w:val="24"/>
        </w:rPr>
        <w:t>50</w:t>
      </w:r>
      <w:r>
        <w:rPr>
          <w:rFonts w:ascii="宋体" w:hAnsi="宋体" w:cs="Arial" w:hint="eastAsia"/>
          <w:sz w:val="24"/>
          <w:szCs w:val="24"/>
        </w:rPr>
        <w:t>）</w:t>
      </w:r>
      <w:r>
        <w:rPr>
          <w:rFonts w:ascii="宋体" w:hAnsi="宋体" w:cs="Arial" w:hint="eastAsia"/>
          <w:sz w:val="24"/>
          <w:szCs w:val="24"/>
        </w:rPr>
        <w:t>/1.00=100,050.00</w:t>
      </w:r>
      <w:r>
        <w:rPr>
          <w:rFonts w:ascii="宋体" w:hAnsi="宋体" w:cs="Arial" w:hint="eastAsia"/>
          <w:sz w:val="24"/>
          <w:szCs w:val="24"/>
        </w:rPr>
        <w:t>份</w:t>
      </w:r>
    </w:p>
    <w:p w:rsidR="00CF09D4" w:rsidRDefault="009A3F8A">
      <w:pPr>
        <w:snapToGrid w:val="0"/>
        <w:spacing w:line="360" w:lineRule="auto"/>
        <w:ind w:firstLineChars="178" w:firstLine="427"/>
        <w:rPr>
          <w:rFonts w:ascii="宋体" w:hAnsi="宋体" w:cs="Arial"/>
          <w:szCs w:val="21"/>
        </w:rPr>
      </w:pPr>
      <w:r>
        <w:rPr>
          <w:rFonts w:ascii="宋体" w:hAnsi="宋体" w:cs="Arial" w:hint="eastAsia"/>
          <w:sz w:val="24"/>
          <w:szCs w:val="24"/>
        </w:rPr>
        <w:t>即：该</w:t>
      </w:r>
      <w:r>
        <w:rPr>
          <w:rFonts w:ascii="宋体" w:hAnsi="宋体" w:cs="Arial"/>
          <w:sz w:val="24"/>
          <w:szCs w:val="24"/>
        </w:rPr>
        <w:t>投资人</w:t>
      </w:r>
      <w:r>
        <w:rPr>
          <w:rFonts w:ascii="宋体" w:hAnsi="宋体" w:cs="Arial" w:hint="eastAsia"/>
          <w:sz w:val="24"/>
          <w:szCs w:val="24"/>
        </w:rPr>
        <w:t>投资</w:t>
      </w:r>
      <w:r>
        <w:rPr>
          <w:rFonts w:ascii="宋体" w:hAnsi="宋体" w:cs="Arial" w:hint="eastAsia"/>
          <w:sz w:val="24"/>
          <w:szCs w:val="24"/>
        </w:rPr>
        <w:t>10</w:t>
      </w:r>
      <w:r>
        <w:rPr>
          <w:rFonts w:ascii="宋体" w:hAnsi="宋体" w:cs="Arial" w:hint="eastAsia"/>
          <w:sz w:val="24"/>
          <w:szCs w:val="24"/>
        </w:rPr>
        <w:t>万元认购本基金</w:t>
      </w:r>
      <w:r>
        <w:rPr>
          <w:rFonts w:ascii="宋体" w:hAnsi="宋体" w:cs="Arial" w:hint="eastAsia"/>
          <w:sz w:val="24"/>
          <w:szCs w:val="24"/>
        </w:rPr>
        <w:t>C</w:t>
      </w:r>
      <w:r>
        <w:rPr>
          <w:rFonts w:ascii="宋体" w:hAnsi="宋体" w:cs="Arial" w:hint="eastAsia"/>
          <w:sz w:val="24"/>
          <w:szCs w:val="24"/>
        </w:rPr>
        <w:t>类基金份额，假设</w:t>
      </w:r>
      <w:r>
        <w:rPr>
          <w:rFonts w:ascii="宋体" w:hAnsi="宋体" w:cs="Arial"/>
          <w:sz w:val="24"/>
          <w:szCs w:val="24"/>
        </w:rPr>
        <w:t>其认购资金的利息</w:t>
      </w:r>
      <w:r>
        <w:rPr>
          <w:rFonts w:ascii="宋体" w:hAnsi="宋体" w:cs="Arial" w:hint="eastAsia"/>
          <w:sz w:val="24"/>
          <w:szCs w:val="24"/>
        </w:rPr>
        <w:t>为</w:t>
      </w:r>
      <w:r>
        <w:rPr>
          <w:rFonts w:ascii="宋体" w:hAnsi="宋体" w:cs="Arial" w:hint="eastAsia"/>
          <w:sz w:val="24"/>
          <w:szCs w:val="24"/>
        </w:rPr>
        <w:t>50</w:t>
      </w:r>
      <w:r>
        <w:rPr>
          <w:rFonts w:ascii="宋体" w:hAnsi="宋体" w:cs="Arial" w:hint="eastAsia"/>
          <w:sz w:val="24"/>
          <w:szCs w:val="24"/>
        </w:rPr>
        <w:t>元，则其可得到</w:t>
      </w:r>
      <w:r>
        <w:rPr>
          <w:rFonts w:ascii="宋体" w:hAnsi="宋体" w:cs="Arial" w:hint="eastAsia"/>
          <w:sz w:val="24"/>
          <w:szCs w:val="24"/>
        </w:rPr>
        <w:t>100,050.00</w:t>
      </w:r>
      <w:r>
        <w:rPr>
          <w:rFonts w:ascii="宋体" w:hAnsi="宋体" w:cs="Arial" w:hint="eastAsia"/>
          <w:sz w:val="24"/>
          <w:szCs w:val="24"/>
        </w:rPr>
        <w:t>份</w:t>
      </w:r>
      <w:r>
        <w:rPr>
          <w:rFonts w:ascii="宋体" w:hAnsi="宋体" w:cs="Arial" w:hint="eastAsia"/>
          <w:sz w:val="24"/>
          <w:szCs w:val="24"/>
        </w:rPr>
        <w:t>C</w:t>
      </w:r>
      <w:r>
        <w:rPr>
          <w:rFonts w:ascii="宋体" w:hAnsi="宋体" w:cs="Arial" w:hint="eastAsia"/>
          <w:sz w:val="24"/>
          <w:szCs w:val="24"/>
        </w:rPr>
        <w:t>类基金份额（含利息</w:t>
      </w:r>
      <w:r>
        <w:rPr>
          <w:rFonts w:ascii="宋体" w:hAnsi="宋体" w:cs="Arial"/>
          <w:sz w:val="24"/>
          <w:szCs w:val="24"/>
        </w:rPr>
        <w:t>折算</w:t>
      </w:r>
      <w:r>
        <w:rPr>
          <w:rFonts w:ascii="宋体" w:hAnsi="宋体" w:cs="Arial" w:hint="eastAsia"/>
          <w:sz w:val="24"/>
          <w:szCs w:val="24"/>
        </w:rPr>
        <w:t>份额部分）</w:t>
      </w:r>
      <w:r>
        <w:rPr>
          <w:rFonts w:ascii="宋体" w:hAnsi="宋体" w:cs="Arial" w:hint="eastAsia"/>
          <w:szCs w:val="21"/>
        </w:rPr>
        <w:t>。</w:t>
      </w:r>
    </w:p>
    <w:p w:rsidR="00CF09D4" w:rsidRDefault="009A3F8A">
      <w:pPr>
        <w:pStyle w:val="af8"/>
        <w:widowControl/>
        <w:numPr>
          <w:ilvl w:val="0"/>
          <w:numId w:val="3"/>
        </w:numPr>
        <w:spacing w:line="360" w:lineRule="auto"/>
        <w:ind w:left="0" w:firstLineChars="0" w:firstLine="426"/>
        <w:jc w:val="left"/>
        <w:rPr>
          <w:rFonts w:ascii="Times New Roman" w:hAnsi="Times New Roman" w:cs="Times New Roman"/>
          <w:sz w:val="24"/>
          <w:szCs w:val="24"/>
        </w:rPr>
      </w:pPr>
      <w:r>
        <w:rPr>
          <w:rFonts w:ascii="Times New Roman" w:hAnsi="Times New Roman" w:cs="Times New Roman" w:hint="eastAsia"/>
          <w:sz w:val="24"/>
          <w:szCs w:val="24"/>
        </w:rPr>
        <w:t>募集期间利息的处理方式</w:t>
      </w:r>
    </w:p>
    <w:p w:rsidR="00CF09D4" w:rsidRDefault="009A3F8A">
      <w:pPr>
        <w:widowControl/>
        <w:spacing w:line="360" w:lineRule="auto"/>
        <w:ind w:firstLineChars="236" w:firstLine="566"/>
        <w:jc w:val="left"/>
        <w:rPr>
          <w:rFonts w:ascii="Times New Roman" w:hAnsi="Times New Roman" w:cs="Times New Roman"/>
          <w:sz w:val="24"/>
          <w:szCs w:val="24"/>
        </w:rPr>
      </w:pPr>
      <w:r>
        <w:rPr>
          <w:rFonts w:ascii="Times New Roman" w:hAnsi="Times New Roman" w:cs="Times New Roman" w:hint="eastAsia"/>
          <w:sz w:val="24"/>
          <w:szCs w:val="24"/>
        </w:rPr>
        <w:t>有效认购款项在募集期间产生的利息将折算为基金份额归基金份额持有人所有，其中利息转份额的数额以登记机构的记录为准。</w:t>
      </w:r>
    </w:p>
    <w:p w:rsidR="00CF09D4" w:rsidRDefault="009A3F8A">
      <w:pPr>
        <w:pStyle w:val="af8"/>
        <w:widowControl/>
        <w:numPr>
          <w:ilvl w:val="0"/>
          <w:numId w:val="3"/>
        </w:numPr>
        <w:spacing w:line="360" w:lineRule="auto"/>
        <w:ind w:left="0" w:firstLineChars="0" w:firstLine="426"/>
        <w:jc w:val="left"/>
        <w:rPr>
          <w:rFonts w:ascii="Times New Roman" w:hAnsi="Times New Roman" w:cs="Times New Roman"/>
          <w:sz w:val="24"/>
          <w:szCs w:val="24"/>
        </w:rPr>
      </w:pPr>
      <w:r>
        <w:rPr>
          <w:rFonts w:ascii="Times New Roman" w:hAnsi="Times New Roman" w:cs="Times New Roman" w:hint="eastAsia"/>
          <w:sz w:val="24"/>
          <w:szCs w:val="24"/>
        </w:rPr>
        <w:t>认购限额</w:t>
      </w:r>
    </w:p>
    <w:p w:rsidR="00CF09D4" w:rsidRDefault="009A3F8A">
      <w:pPr>
        <w:autoSpaceDE w:val="0"/>
        <w:autoSpaceDN w:val="0"/>
        <w:spacing w:line="360" w:lineRule="auto"/>
        <w:ind w:firstLineChars="236" w:firstLine="566"/>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投资人通过基金管理人以外的其他销售机构认购，首次最低认购金额为</w:t>
      </w:r>
      <w:r>
        <w:rPr>
          <w:rFonts w:ascii="Times New Roman" w:hAnsi="Times New Roman" w:cs="Times New Roman"/>
          <w:color w:val="000000"/>
          <w:sz w:val="24"/>
          <w:szCs w:val="24"/>
        </w:rPr>
        <w:t>1.00</w:t>
      </w:r>
      <w:r>
        <w:rPr>
          <w:rFonts w:ascii="Times New Roman" w:hAnsi="Times New Roman" w:cs="Times New Roman" w:hint="eastAsia"/>
          <w:color w:val="000000"/>
          <w:sz w:val="24"/>
          <w:szCs w:val="24"/>
        </w:rPr>
        <w:t>元（含认购费），追加认购单笔最低金额为</w:t>
      </w:r>
      <w:r>
        <w:rPr>
          <w:rFonts w:ascii="Times New Roman" w:hAnsi="Times New Roman" w:cs="Times New Roman"/>
          <w:color w:val="000000"/>
          <w:sz w:val="24"/>
          <w:szCs w:val="24"/>
        </w:rPr>
        <w:t>0.01</w:t>
      </w:r>
      <w:r>
        <w:rPr>
          <w:rFonts w:ascii="Times New Roman" w:hAnsi="Times New Roman" w:cs="Times New Roman" w:hint="eastAsia"/>
          <w:color w:val="000000"/>
          <w:sz w:val="24"/>
          <w:szCs w:val="24"/>
        </w:rPr>
        <w:t>元（含认购费）；通过本基金管理人直销机构认购，单个基金账户的首次最低认购金额为</w:t>
      </w:r>
      <w:r>
        <w:rPr>
          <w:rFonts w:ascii="Times New Roman" w:hAnsi="Times New Roman" w:cs="Times New Roman"/>
          <w:color w:val="000000"/>
          <w:sz w:val="24"/>
          <w:szCs w:val="24"/>
        </w:rPr>
        <w:t>1.00</w:t>
      </w:r>
      <w:r>
        <w:rPr>
          <w:rFonts w:ascii="Times New Roman" w:hAnsi="Times New Roman" w:cs="Times New Roman" w:hint="eastAsia"/>
          <w:color w:val="000000"/>
          <w:sz w:val="24"/>
          <w:szCs w:val="24"/>
        </w:rPr>
        <w:t>元（含认购费），追加认购单笔最低金额为</w:t>
      </w:r>
      <w:r>
        <w:rPr>
          <w:rFonts w:ascii="Times New Roman" w:hAnsi="Times New Roman" w:cs="Times New Roman"/>
          <w:color w:val="000000"/>
          <w:sz w:val="24"/>
          <w:szCs w:val="24"/>
        </w:rPr>
        <w:t>0.01</w:t>
      </w:r>
      <w:r>
        <w:rPr>
          <w:rFonts w:ascii="Times New Roman" w:hAnsi="Times New Roman" w:cs="Times New Roman" w:hint="eastAsia"/>
          <w:color w:val="000000"/>
          <w:sz w:val="24"/>
          <w:szCs w:val="24"/>
        </w:rPr>
        <w:t>元（含认购费）。详情请见当地销售机构公告。募集期间的单个投资人的累计认购金额不受限制，但单一投资者认购基金份额数不得达到或者超过基金份额总数的</w:t>
      </w:r>
      <w:r>
        <w:rPr>
          <w:rFonts w:ascii="Times New Roman" w:hAnsi="Times New Roman" w:cs="Times New Roman" w:hint="eastAsia"/>
          <w:color w:val="000000"/>
          <w:sz w:val="24"/>
          <w:szCs w:val="24"/>
        </w:rPr>
        <w:t>20%</w:t>
      </w:r>
      <w:r>
        <w:rPr>
          <w:rFonts w:ascii="Times New Roman" w:hAnsi="Times New Roman" w:cs="Times New Roman" w:hint="eastAsia"/>
          <w:color w:val="000000"/>
          <w:sz w:val="24"/>
          <w:szCs w:val="24"/>
        </w:rPr>
        <w:t>。如本基金单个投资人累计认购的基金份额数达到或者超过基金总份额的</w:t>
      </w:r>
      <w:r>
        <w:rPr>
          <w:rFonts w:ascii="Times New Roman" w:hAnsi="Times New Roman" w:cs="Times New Roman" w:hint="eastAsia"/>
          <w:color w:val="000000"/>
          <w:sz w:val="24"/>
          <w:szCs w:val="24"/>
        </w:rPr>
        <w:t>20%</w:t>
      </w:r>
      <w:r>
        <w:rPr>
          <w:rFonts w:ascii="Times New Roman" w:hAnsi="Times New Roman" w:cs="Times New Roman" w:hint="eastAsia"/>
          <w:color w:val="000000"/>
          <w:sz w:val="24"/>
          <w:szCs w:val="24"/>
        </w:rPr>
        <w:t>，基金管理人可以采取比例确认等方式对该投资人的</w:t>
      </w:r>
      <w:r>
        <w:rPr>
          <w:rFonts w:ascii="Times New Roman" w:hAnsi="Times New Roman" w:cs="Times New Roman" w:hint="eastAsia"/>
          <w:color w:val="000000"/>
          <w:sz w:val="24"/>
          <w:szCs w:val="24"/>
        </w:rPr>
        <w:t>认购申请进行限制。基金管理人接受某笔或者某些认购申请有可能导致投资者变相规避前述</w:t>
      </w:r>
      <w:r>
        <w:rPr>
          <w:rFonts w:ascii="Times New Roman" w:hAnsi="Times New Roman" w:cs="Times New Roman" w:hint="eastAsia"/>
          <w:color w:val="000000"/>
          <w:sz w:val="24"/>
          <w:szCs w:val="24"/>
        </w:rPr>
        <w:t>20%</w:t>
      </w:r>
      <w:r>
        <w:rPr>
          <w:rFonts w:ascii="Times New Roman" w:hAnsi="Times New Roman" w:cs="Times New Roman" w:hint="eastAsia"/>
          <w:color w:val="000000"/>
          <w:sz w:val="24"/>
          <w:szCs w:val="24"/>
        </w:rPr>
        <w:t>比例要求的，基金管理人有权拒绝该等全部或者部分认购申请。投资人认购的基金份额数以基金合同生效后登记机构的确认为准。</w:t>
      </w:r>
    </w:p>
    <w:p w:rsidR="00CF09D4" w:rsidRDefault="009A3F8A">
      <w:pPr>
        <w:autoSpaceDE w:val="0"/>
        <w:autoSpaceDN w:val="0"/>
        <w:spacing w:line="360" w:lineRule="auto"/>
        <w:ind w:firstLineChars="236" w:firstLine="566"/>
        <w:jc w:val="left"/>
        <w:rPr>
          <w:rFonts w:ascii="Times New Roman" w:hAnsi="Times New Roman" w:cs="Times New Roman"/>
          <w:sz w:val="24"/>
          <w:szCs w:val="24"/>
        </w:rPr>
      </w:pPr>
      <w:r>
        <w:rPr>
          <w:rFonts w:ascii="Times New Roman" w:hAnsi="Times New Roman" w:cs="Times New Roman" w:hint="eastAsia"/>
          <w:sz w:val="24"/>
          <w:szCs w:val="24"/>
        </w:rPr>
        <w:t>三、投资人开户</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sz w:val="24"/>
          <w:szCs w:val="24"/>
        </w:rPr>
        <w:t>投资者需具有华泰证券（上海）资产管理有限公司的开放式证券投资基金账户。若已经在华泰证券（上海）资产管理有限公司开立开放式证券投资基金账户的，则不需要再次办理开户手续。</w:t>
      </w:r>
    </w:p>
    <w:p w:rsidR="00CF09D4" w:rsidRDefault="009A3F8A">
      <w:pPr>
        <w:pStyle w:val="Heading1"/>
        <w:spacing w:before="120" w:after="120" w:line="360" w:lineRule="auto"/>
        <w:ind w:firstLineChars="200" w:firstLine="482"/>
        <w:rPr>
          <w:rFonts w:ascii="Times New Roman" w:hAnsi="Times New Roman" w:cs="Times New Roman"/>
          <w:sz w:val="24"/>
          <w:szCs w:val="24"/>
        </w:rPr>
      </w:pPr>
      <w:r>
        <w:rPr>
          <w:rFonts w:ascii="Times New Roman" w:hAnsi="Times New Roman" w:cs="Times New Roman" w:hint="eastAsia"/>
          <w:sz w:val="24"/>
          <w:szCs w:val="24"/>
        </w:rPr>
        <w:t>四、个人投资者的开户与认购程序</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（一）直销机构</w:t>
      </w:r>
    </w:p>
    <w:p w:rsidR="00CF09D4" w:rsidRDefault="009A3F8A">
      <w:pPr>
        <w:widowControl/>
        <w:snapToGrid w:val="0"/>
        <w:spacing w:line="360" w:lineRule="auto"/>
        <w:ind w:firstLineChars="176" w:firstLine="422"/>
        <w:jc w:val="left"/>
        <w:outlineLvl w:val="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、本公司直销网点受理个人投资者的开户与认购申请。</w:t>
      </w:r>
    </w:p>
    <w:p w:rsidR="00CF09D4" w:rsidRDefault="009A3F8A">
      <w:pPr>
        <w:widowControl/>
        <w:snapToGrid w:val="0"/>
        <w:spacing w:line="360" w:lineRule="auto"/>
        <w:ind w:firstLineChars="176" w:firstLine="422"/>
        <w:jc w:val="left"/>
        <w:outlineLvl w:val="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、受理开户及认购的时间：</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开户受理时间：正常工作日</w:t>
      </w:r>
      <w:r>
        <w:rPr>
          <w:rFonts w:ascii="Times New Roman" w:hAnsi="Times New Roman" w:cs="Times New Roman"/>
          <w:sz w:val="24"/>
          <w:szCs w:val="24"/>
        </w:rPr>
        <w:t>，周六、周日、法定节日的开户申请视同下一工作日的申请受理</w:t>
      </w:r>
      <w:r>
        <w:rPr>
          <w:rFonts w:ascii="Times New Roman" w:hAnsi="Times New Roman" w:cs="Times New Roman" w:hint="eastAsia"/>
          <w:sz w:val="24"/>
          <w:szCs w:val="24"/>
        </w:rPr>
        <w:t>。</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认购受理时间：认购期间</w:t>
      </w:r>
      <w:r>
        <w:rPr>
          <w:rFonts w:ascii="Times New Roman" w:hAnsi="Times New Roman" w:cs="Times New Roman" w:hint="eastAsia"/>
          <w:sz w:val="24"/>
          <w:szCs w:val="24"/>
        </w:rPr>
        <w:t>9:30</w:t>
      </w:r>
      <w:r>
        <w:rPr>
          <w:rFonts w:ascii="Times New Roman" w:hAnsi="Times New Roman" w:cs="Times New Roman" w:hint="eastAsia"/>
          <w:sz w:val="24"/>
          <w:szCs w:val="24"/>
        </w:rPr>
        <w:t>—</w:t>
      </w:r>
      <w:r>
        <w:rPr>
          <w:rFonts w:ascii="Times New Roman" w:hAnsi="Times New Roman" w:cs="Times New Roman" w:hint="eastAsia"/>
          <w:sz w:val="24"/>
          <w:szCs w:val="24"/>
        </w:rPr>
        <w:t>11:30</w:t>
      </w:r>
      <w:r>
        <w:rPr>
          <w:rFonts w:ascii="Times New Roman" w:hAnsi="Times New Roman" w:cs="Times New Roman" w:hint="eastAsia"/>
          <w:sz w:val="24"/>
          <w:szCs w:val="24"/>
        </w:rPr>
        <w:t>、</w:t>
      </w:r>
      <w:r>
        <w:rPr>
          <w:rFonts w:ascii="Times New Roman" w:hAnsi="Times New Roman" w:cs="Times New Roman" w:hint="eastAsia"/>
          <w:sz w:val="24"/>
          <w:szCs w:val="24"/>
        </w:rPr>
        <w:t>13:00</w:t>
      </w:r>
      <w:r>
        <w:rPr>
          <w:rFonts w:ascii="Times New Roman" w:hAnsi="Times New Roman" w:cs="Times New Roman" w:hint="eastAsia"/>
          <w:sz w:val="24"/>
          <w:szCs w:val="24"/>
        </w:rPr>
        <w:t>—</w:t>
      </w:r>
      <w:r>
        <w:rPr>
          <w:rFonts w:ascii="Times New Roman" w:hAnsi="Times New Roman" w:cs="Times New Roman" w:hint="eastAsia"/>
          <w:sz w:val="24"/>
          <w:szCs w:val="24"/>
        </w:rPr>
        <w:t>17:00</w:t>
      </w:r>
      <w:r>
        <w:rPr>
          <w:rFonts w:ascii="Times New Roman" w:hAnsi="Times New Roman" w:cs="Times New Roman" w:hint="eastAsia"/>
          <w:sz w:val="24"/>
          <w:szCs w:val="24"/>
        </w:rPr>
        <w:t>。</w:t>
      </w:r>
      <w:r>
        <w:rPr>
          <w:rFonts w:ascii="Times New Roman" w:hAnsi="Times New Roman" w:cs="Times New Roman" w:hint="eastAsia"/>
          <w:sz w:val="24"/>
          <w:szCs w:val="24"/>
        </w:rPr>
        <w:t>17:</w:t>
      </w:r>
      <w:r>
        <w:rPr>
          <w:rFonts w:ascii="Times New Roman" w:hAnsi="Times New Roman" w:cs="Times New Roman"/>
          <w:sz w:val="24"/>
          <w:szCs w:val="24"/>
        </w:rPr>
        <w:t>00</w:t>
      </w:r>
      <w:r>
        <w:rPr>
          <w:rFonts w:ascii="Times New Roman" w:hAnsi="Times New Roman" w:cs="Times New Roman"/>
          <w:sz w:val="24"/>
          <w:szCs w:val="24"/>
        </w:rPr>
        <w:t>以后及周六、周日、节假日的认购申请视同下一工作日的申请受理。</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本公司网上直销：个人客户认购业务的办理时间为基金份额发售日的任意时间（包括周六、周日及法定节假日），每一发售日</w:t>
      </w:r>
      <w:r>
        <w:rPr>
          <w:rFonts w:ascii="Times New Roman" w:hAnsi="Times New Roman" w:cs="Times New Roman" w:hint="eastAsia"/>
          <w:sz w:val="24"/>
          <w:szCs w:val="24"/>
        </w:rPr>
        <w:t>17:00</w:t>
      </w:r>
      <w:r>
        <w:rPr>
          <w:rFonts w:ascii="Times New Roman" w:hAnsi="Times New Roman" w:cs="Times New Roman" w:hint="eastAsia"/>
          <w:sz w:val="24"/>
          <w:szCs w:val="24"/>
        </w:rPr>
        <w:t>以后提交的申请，视为下一工作日提交的申请办理。发售末日截止为当日</w:t>
      </w:r>
      <w:r>
        <w:rPr>
          <w:rFonts w:ascii="Times New Roman" w:hAnsi="Times New Roman" w:cs="Times New Roman" w:hint="eastAsia"/>
          <w:sz w:val="24"/>
          <w:szCs w:val="24"/>
        </w:rPr>
        <w:t>17:00</w:t>
      </w:r>
      <w:r>
        <w:rPr>
          <w:rFonts w:ascii="Times New Roman" w:hAnsi="Times New Roman" w:cs="Times New Roman" w:hint="eastAsia"/>
          <w:sz w:val="24"/>
          <w:szCs w:val="24"/>
        </w:rPr>
        <w:t>前。</w:t>
      </w:r>
    </w:p>
    <w:p w:rsidR="00CF09D4" w:rsidRDefault="009A3F8A">
      <w:pPr>
        <w:widowControl/>
        <w:snapToGrid w:val="0"/>
        <w:spacing w:line="360" w:lineRule="auto"/>
        <w:ind w:firstLineChars="176" w:firstLine="422"/>
        <w:jc w:val="left"/>
        <w:outlineLvl w:val="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、个人投资者申请开立基金账户必须提交下列材料：</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）本人有效身份证明原件（身份证、</w:t>
      </w:r>
      <w:r>
        <w:rPr>
          <w:rFonts w:ascii="Times New Roman" w:hAnsi="Times New Roman" w:cs="Times New Roman" w:hint="eastAsia"/>
          <w:sz w:val="24"/>
          <w:szCs w:val="24"/>
        </w:rPr>
        <w:t>军人证或户口本等）；</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）填妥的《账户业务申请表》；</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）银行卡或储蓄存折复印件加上个人签名；</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4</w:t>
      </w:r>
      <w:r>
        <w:rPr>
          <w:rFonts w:ascii="Times New Roman" w:hAnsi="Times New Roman" w:cs="Times New Roman" w:hint="eastAsia"/>
          <w:sz w:val="24"/>
          <w:szCs w:val="24"/>
        </w:rPr>
        <w:t>）《一般风险揭示书》、《传真交易协议》、《个人投资者风险承受能力测评表》、《个人税收居民身份声明文件》；</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5</w:t>
      </w:r>
      <w:r>
        <w:rPr>
          <w:rFonts w:ascii="Times New Roman" w:hAnsi="Times New Roman" w:cs="Times New Roman" w:hint="eastAsia"/>
          <w:sz w:val="24"/>
          <w:szCs w:val="24"/>
        </w:rPr>
        <w:t>）管理人要求的其他材料。</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本公司网上直销：个人投资者申请开立基金账户时请按照华泰证券（上海）资产管理有限公司网站相关指南进行操作，无须提供书面材料。</w:t>
      </w:r>
    </w:p>
    <w:p w:rsidR="00CF09D4" w:rsidRDefault="009A3F8A">
      <w:pPr>
        <w:widowControl/>
        <w:snapToGrid w:val="0"/>
        <w:spacing w:line="360" w:lineRule="auto"/>
        <w:ind w:firstLineChars="200" w:firstLine="480"/>
        <w:jc w:val="left"/>
        <w:outlineLvl w:val="2"/>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、到直销网点办理认购申请时须提交下列材料：</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）本人有效身份证明原件（身份证、军人证或户口本等）；</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）填妥的《交易业务申请表》并签名；</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）填妥的《金融产品或金融服务适当性评估结果确认书》或《产品或服务不适当性警示及投资者确认书》并签字（专业投资者免填）；</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）管理人要求的其他材料。</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本公司网上直销：个人投资者办理认购申请时请按照华泰证券（上海）资产管理有限公司网站相关指南进行操作，无须提供书面材料。</w:t>
      </w:r>
    </w:p>
    <w:p w:rsidR="00CF09D4" w:rsidRDefault="009A3F8A">
      <w:pPr>
        <w:widowControl/>
        <w:snapToGrid w:val="0"/>
        <w:spacing w:line="360" w:lineRule="auto"/>
        <w:ind w:firstLineChars="176" w:firstLine="422"/>
        <w:jc w:val="left"/>
        <w:outlineLvl w:val="2"/>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、认购资金的划拨</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个人投资者在直销网点申请认购基金时不接受现金认购，办理认购前应将足额资金以</w:t>
      </w:r>
      <w:r>
        <w:rPr>
          <w:rFonts w:ascii="Times New Roman" w:hAnsi="Times New Roman" w:cs="Times New Roman"/>
          <w:sz w:val="24"/>
          <w:szCs w:val="24"/>
        </w:rPr>
        <w:t>“</w:t>
      </w:r>
      <w:r>
        <w:rPr>
          <w:rFonts w:ascii="Times New Roman" w:hAnsi="Times New Roman" w:cs="Times New Roman" w:hint="eastAsia"/>
          <w:sz w:val="24"/>
          <w:szCs w:val="24"/>
        </w:rPr>
        <w:t>汇款交易</w:t>
      </w:r>
      <w:r>
        <w:rPr>
          <w:rFonts w:ascii="Times New Roman" w:hAnsi="Times New Roman" w:cs="Times New Roman"/>
          <w:sz w:val="24"/>
          <w:szCs w:val="24"/>
        </w:rPr>
        <w:t>”</w:t>
      </w:r>
      <w:r>
        <w:rPr>
          <w:rFonts w:ascii="Times New Roman" w:hAnsi="Times New Roman" w:cs="Times New Roman" w:hint="eastAsia"/>
          <w:sz w:val="24"/>
          <w:szCs w:val="24"/>
        </w:rPr>
        <w:t>方式通过银行汇入华泰证券（上海）资产管理有限公司直销清算账户。</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户名：华泰证券（上海）资产管理有限公司</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开户银行：中国银行上海市中银大厦支行营业部</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银行账号：</w:t>
      </w:r>
      <w:r>
        <w:rPr>
          <w:rFonts w:ascii="Times New Roman" w:hAnsi="Times New Roman" w:cs="Times New Roman"/>
          <w:sz w:val="24"/>
          <w:szCs w:val="24"/>
        </w:rPr>
        <w:t>439068357540</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投资人在汇款用途中必须注明购买的基金名称和基金代码，并确保认购期间每日</w:t>
      </w:r>
      <w:r>
        <w:rPr>
          <w:rFonts w:ascii="Times New Roman" w:hAnsi="Times New Roman" w:cs="Times New Roman" w:hint="eastAsia"/>
          <w:sz w:val="24"/>
          <w:szCs w:val="24"/>
        </w:rPr>
        <w:t>17:</w:t>
      </w:r>
      <w:r>
        <w:rPr>
          <w:rFonts w:ascii="Times New Roman" w:hAnsi="Times New Roman" w:cs="Times New Roman"/>
          <w:sz w:val="24"/>
          <w:szCs w:val="24"/>
        </w:rPr>
        <w:t>00</w:t>
      </w:r>
      <w:r>
        <w:rPr>
          <w:rFonts w:ascii="Times New Roman" w:hAnsi="Times New Roman" w:cs="Times New Roman" w:hint="eastAsia"/>
          <w:sz w:val="24"/>
          <w:szCs w:val="24"/>
        </w:rPr>
        <w:t>前到账。投资人若未按上述规定划付，造成认购无效的，华泰证券（上海）资产管理有限公司及直销网点清算账户的开户银行不承担任何责任。</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本公司网上直销：通过本公司网上直销认购的个人投资者，应按照本公司网上直销业务相关规定缴款。尚未开户者可同时办理开户和认购手续。</w:t>
      </w:r>
    </w:p>
    <w:p w:rsidR="00CF09D4" w:rsidRDefault="009A3F8A">
      <w:pPr>
        <w:widowControl/>
        <w:snapToGrid w:val="0"/>
        <w:spacing w:line="360" w:lineRule="auto"/>
        <w:ind w:firstLineChars="176" w:firstLine="422"/>
        <w:jc w:val="left"/>
        <w:outlineLvl w:val="2"/>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hint="eastAsia"/>
          <w:sz w:val="24"/>
          <w:szCs w:val="24"/>
        </w:rPr>
        <w:t>、注意事项：</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）一个投资人只能开立一个基金账户。</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）投资人</w:t>
      </w:r>
      <w:r>
        <w:rPr>
          <w:rFonts w:ascii="Times New Roman" w:hAnsi="Times New Roman" w:cs="Times New Roman"/>
          <w:sz w:val="24"/>
          <w:szCs w:val="24"/>
        </w:rPr>
        <w:t>T</w:t>
      </w:r>
      <w:r>
        <w:rPr>
          <w:rFonts w:ascii="Times New Roman" w:hAnsi="Times New Roman" w:cs="Times New Roman" w:hint="eastAsia"/>
          <w:sz w:val="24"/>
          <w:szCs w:val="24"/>
        </w:rPr>
        <w:t>日提交开户申请后，可于</w:t>
      </w:r>
      <w:r>
        <w:rPr>
          <w:rFonts w:ascii="Times New Roman" w:hAnsi="Times New Roman" w:cs="Times New Roman"/>
          <w:sz w:val="24"/>
          <w:szCs w:val="24"/>
        </w:rPr>
        <w:t>T+</w:t>
      </w:r>
      <w:r>
        <w:rPr>
          <w:rFonts w:ascii="Times New Roman" w:hAnsi="Times New Roman" w:cs="Times New Roman"/>
          <w:sz w:val="24"/>
          <w:szCs w:val="24"/>
        </w:rPr>
        <w:t>2</w:t>
      </w:r>
      <w:r>
        <w:rPr>
          <w:rFonts w:ascii="Times New Roman" w:hAnsi="Times New Roman" w:cs="Times New Roman" w:hint="eastAsia"/>
          <w:sz w:val="24"/>
          <w:szCs w:val="24"/>
        </w:rPr>
        <w:t>日后（包括</w:t>
      </w:r>
      <w:r>
        <w:rPr>
          <w:rFonts w:ascii="Times New Roman" w:hAnsi="Times New Roman" w:cs="Times New Roman"/>
          <w:sz w:val="24"/>
          <w:szCs w:val="24"/>
        </w:rPr>
        <w:t>T+2</w:t>
      </w:r>
      <w:r>
        <w:rPr>
          <w:rFonts w:ascii="Times New Roman" w:hAnsi="Times New Roman" w:cs="Times New Roman" w:hint="eastAsia"/>
          <w:sz w:val="24"/>
          <w:szCs w:val="24"/>
        </w:rPr>
        <w:t>日，如遇非工作日网点不办公则顺延）到办理开户网点查询确认结果，或通过本公司客户服务中心、网上查询系统查询，通过网上交易系统提交开户申请的还可通过网上交易系统查询。</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）投资人</w:t>
      </w:r>
      <w:r>
        <w:rPr>
          <w:rFonts w:ascii="Times New Roman" w:hAnsi="Times New Roman" w:cs="Times New Roman"/>
          <w:sz w:val="24"/>
          <w:szCs w:val="24"/>
        </w:rPr>
        <w:t>T</w:t>
      </w:r>
      <w:r>
        <w:rPr>
          <w:rFonts w:ascii="Times New Roman" w:hAnsi="Times New Roman" w:cs="Times New Roman" w:hint="eastAsia"/>
          <w:sz w:val="24"/>
          <w:szCs w:val="24"/>
        </w:rPr>
        <w:t>日提交认购申请后，可于</w:t>
      </w:r>
      <w:r>
        <w:rPr>
          <w:rFonts w:ascii="Times New Roman" w:hAnsi="Times New Roman" w:cs="Times New Roman"/>
          <w:sz w:val="24"/>
          <w:szCs w:val="24"/>
        </w:rPr>
        <w:t>T+2</w:t>
      </w:r>
      <w:r>
        <w:rPr>
          <w:rFonts w:ascii="Times New Roman" w:hAnsi="Times New Roman" w:cs="Times New Roman" w:hint="eastAsia"/>
          <w:sz w:val="24"/>
          <w:szCs w:val="24"/>
        </w:rPr>
        <w:t>日后（包括</w:t>
      </w:r>
      <w:r>
        <w:rPr>
          <w:rFonts w:ascii="Times New Roman" w:hAnsi="Times New Roman" w:cs="Times New Roman"/>
          <w:sz w:val="24"/>
          <w:szCs w:val="24"/>
        </w:rPr>
        <w:t>T+2</w:t>
      </w:r>
      <w:r>
        <w:rPr>
          <w:rFonts w:ascii="Times New Roman" w:hAnsi="Times New Roman" w:cs="Times New Roman" w:hint="eastAsia"/>
          <w:sz w:val="24"/>
          <w:szCs w:val="24"/>
        </w:rPr>
        <w:t>日，如遇非工作日网点不办公则顺延）到办理认购网点查询认购接受情况，或通过本公司客户服务中心、网上查询系统查询。认购确认结果可于《基金合同》生效后到本公司直销中心查询，或通过本公司客户服务中心、网上查询系统查询，通过网上交易系统提交认购申请的还可通过网上交易系统查询。</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4</w:t>
      </w:r>
      <w:r>
        <w:rPr>
          <w:rFonts w:ascii="Times New Roman" w:hAnsi="Times New Roman" w:cs="Times New Roman" w:hint="eastAsia"/>
          <w:sz w:val="24"/>
          <w:szCs w:val="24"/>
        </w:rPr>
        <w:t>）投资人必须本人亲自办理开户和认购手续。</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5</w:t>
      </w:r>
      <w:r>
        <w:rPr>
          <w:rFonts w:ascii="Times New Roman" w:hAnsi="Times New Roman" w:cs="Times New Roman" w:hint="eastAsia"/>
          <w:sz w:val="24"/>
          <w:szCs w:val="24"/>
        </w:rPr>
        <w:t>）个人投资者申请认购基金时不接受现金，投资人必须预先在用于认购基金的银行卡（折）中存入足额的资金。</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6</w:t>
      </w:r>
      <w:r>
        <w:rPr>
          <w:rFonts w:ascii="Times New Roman" w:hAnsi="Times New Roman" w:cs="Times New Roman" w:hint="eastAsia"/>
          <w:sz w:val="24"/>
          <w:szCs w:val="24"/>
        </w:rPr>
        <w:t>）个人投资者认购基金申请须在公布的个人投资者认购时间内办理。</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（二）其他销售机构</w:t>
      </w:r>
      <w:r>
        <w:rPr>
          <w:rFonts w:ascii="Times New Roman" w:hAnsi="Times New Roman" w:cs="Times New Roman"/>
          <w:sz w:val="24"/>
          <w:szCs w:val="24"/>
        </w:rPr>
        <w:t>:</w:t>
      </w:r>
    </w:p>
    <w:p w:rsidR="00CF09D4" w:rsidRDefault="009A3F8A">
      <w:pPr>
        <w:ind w:firstLineChars="177" w:firstLine="425"/>
        <w:rPr>
          <w:rFonts w:ascii="Times New Roman" w:hAnsi="Times New Roman" w:cs="Times New Roman"/>
          <w:sz w:val="24"/>
          <w:szCs w:val="24"/>
        </w:rPr>
      </w:pPr>
      <w:r>
        <w:rPr>
          <w:rFonts w:ascii="Times New Roman" w:hAnsi="Times New Roman" w:cs="Times New Roman" w:hint="eastAsia"/>
          <w:bCs/>
          <w:sz w:val="24"/>
          <w:szCs w:val="24"/>
        </w:rPr>
        <w:t>具体程序以各销售机构的规定和说明为准。</w:t>
      </w:r>
    </w:p>
    <w:p w:rsidR="00CF09D4" w:rsidRDefault="009A3F8A">
      <w:pPr>
        <w:pStyle w:val="Heading1"/>
        <w:spacing w:before="120" w:after="120" w:line="360" w:lineRule="auto"/>
        <w:ind w:firstLineChars="200" w:firstLine="482"/>
        <w:rPr>
          <w:rFonts w:ascii="Times New Roman" w:hAnsi="Times New Roman" w:cs="Times New Roman"/>
          <w:sz w:val="24"/>
          <w:szCs w:val="24"/>
        </w:rPr>
      </w:pPr>
      <w:r>
        <w:rPr>
          <w:rFonts w:ascii="Times New Roman" w:hAnsi="Times New Roman" w:cs="Times New Roman" w:hint="eastAsia"/>
          <w:sz w:val="24"/>
          <w:szCs w:val="24"/>
        </w:rPr>
        <w:t>五、机构投资者的开户与认购程序</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（一）直销机构</w:t>
      </w:r>
    </w:p>
    <w:p w:rsidR="00CF09D4" w:rsidRDefault="009A3F8A">
      <w:pPr>
        <w:widowControl/>
        <w:snapToGrid w:val="0"/>
        <w:spacing w:line="360" w:lineRule="auto"/>
        <w:ind w:firstLineChars="176" w:firstLine="422"/>
        <w:jc w:val="left"/>
        <w:outlineLvl w:val="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、本公司直销网点受理机构投资者开户与认购申请。</w:t>
      </w:r>
    </w:p>
    <w:p w:rsidR="00CF09D4" w:rsidRDefault="009A3F8A">
      <w:pPr>
        <w:widowControl/>
        <w:snapToGrid w:val="0"/>
        <w:spacing w:line="360" w:lineRule="auto"/>
        <w:ind w:firstLineChars="176" w:firstLine="422"/>
        <w:jc w:val="left"/>
        <w:outlineLvl w:val="2"/>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、受理开户及认购时间：</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sz w:val="24"/>
          <w:szCs w:val="24"/>
        </w:rPr>
        <w:t>开户受理时间：正常工作日，周六、周日、法定节假日的开户申请视同下一工作日的申请受理</w:t>
      </w:r>
      <w:r>
        <w:rPr>
          <w:rFonts w:ascii="Times New Roman" w:hAnsi="Times New Roman" w:cs="Times New Roman" w:hint="eastAsia"/>
          <w:sz w:val="24"/>
          <w:szCs w:val="24"/>
        </w:rPr>
        <w:t>。</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sz w:val="24"/>
          <w:szCs w:val="24"/>
        </w:rPr>
        <w:t>认购受理时间：认购期间</w:t>
      </w:r>
      <w:r>
        <w:rPr>
          <w:rFonts w:ascii="Times New Roman" w:hAnsi="Times New Roman" w:cs="Times New Roman" w:hint="eastAsia"/>
          <w:sz w:val="24"/>
          <w:szCs w:val="24"/>
        </w:rPr>
        <w:t>9</w:t>
      </w:r>
      <w:r>
        <w:rPr>
          <w:rFonts w:ascii="Times New Roman" w:hAnsi="Times New Roman" w:cs="Times New Roman" w:hint="eastAsia"/>
          <w:sz w:val="24"/>
          <w:szCs w:val="24"/>
        </w:rPr>
        <w:t>:30</w:t>
      </w:r>
      <w:r>
        <w:rPr>
          <w:rFonts w:ascii="Times New Roman" w:hAnsi="Times New Roman" w:cs="Times New Roman" w:hint="eastAsia"/>
          <w:sz w:val="24"/>
          <w:szCs w:val="24"/>
        </w:rPr>
        <w:t>—</w:t>
      </w:r>
      <w:r>
        <w:rPr>
          <w:rFonts w:ascii="Times New Roman" w:hAnsi="Times New Roman" w:cs="Times New Roman" w:hint="eastAsia"/>
          <w:sz w:val="24"/>
          <w:szCs w:val="24"/>
        </w:rPr>
        <w:t>11:30</w:t>
      </w:r>
      <w:r>
        <w:rPr>
          <w:rFonts w:ascii="Times New Roman" w:hAnsi="Times New Roman" w:cs="Times New Roman" w:hint="eastAsia"/>
          <w:sz w:val="24"/>
          <w:szCs w:val="24"/>
        </w:rPr>
        <w:t>、</w:t>
      </w:r>
      <w:r>
        <w:rPr>
          <w:rFonts w:ascii="Times New Roman" w:hAnsi="Times New Roman" w:cs="Times New Roman" w:hint="eastAsia"/>
          <w:sz w:val="24"/>
          <w:szCs w:val="24"/>
        </w:rPr>
        <w:t>13:00</w:t>
      </w:r>
      <w:r>
        <w:rPr>
          <w:rFonts w:ascii="Times New Roman" w:hAnsi="Times New Roman" w:cs="Times New Roman" w:hint="eastAsia"/>
          <w:sz w:val="24"/>
          <w:szCs w:val="24"/>
        </w:rPr>
        <w:t>—</w:t>
      </w:r>
      <w:r>
        <w:rPr>
          <w:rFonts w:ascii="Times New Roman" w:hAnsi="Times New Roman" w:cs="Times New Roman" w:hint="eastAsia"/>
          <w:sz w:val="24"/>
          <w:szCs w:val="24"/>
        </w:rPr>
        <w:t>17:00</w:t>
      </w:r>
      <w:r>
        <w:rPr>
          <w:rFonts w:ascii="Times New Roman" w:hAnsi="Times New Roman" w:cs="Times New Roman"/>
          <w:sz w:val="24"/>
          <w:szCs w:val="24"/>
        </w:rPr>
        <w:t>。</w:t>
      </w:r>
      <w:r>
        <w:rPr>
          <w:rFonts w:ascii="Times New Roman" w:hAnsi="Times New Roman" w:cs="Times New Roman" w:hint="eastAsia"/>
          <w:sz w:val="24"/>
          <w:szCs w:val="24"/>
        </w:rPr>
        <w:t>17:</w:t>
      </w:r>
      <w:r>
        <w:rPr>
          <w:rFonts w:ascii="Times New Roman" w:hAnsi="Times New Roman" w:cs="Times New Roman"/>
          <w:sz w:val="24"/>
          <w:szCs w:val="24"/>
        </w:rPr>
        <w:t>00</w:t>
      </w:r>
      <w:r>
        <w:rPr>
          <w:rFonts w:ascii="Times New Roman" w:hAnsi="Times New Roman" w:cs="Times New Roman"/>
          <w:sz w:val="24"/>
          <w:szCs w:val="24"/>
        </w:rPr>
        <w:t>以后及周六、周日、节假日的认购申请视同下一工作日的申请受理。</w:t>
      </w:r>
    </w:p>
    <w:p w:rsidR="00CF09D4" w:rsidRDefault="009A3F8A">
      <w:pPr>
        <w:widowControl/>
        <w:snapToGrid w:val="0"/>
        <w:spacing w:line="360" w:lineRule="auto"/>
        <w:ind w:firstLineChars="176" w:firstLine="422"/>
        <w:jc w:val="left"/>
        <w:outlineLvl w:val="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、机构投资者申请开立基金账户时须提交下列材料：</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w:t>
      </w:r>
      <w:r>
        <w:rPr>
          <w:sz w:val="24"/>
          <w:szCs w:val="24"/>
        </w:rPr>
        <w:t>工商行政管理机关颁发的有效法人营业执照</w:t>
      </w:r>
      <w:r>
        <w:rPr>
          <w:sz w:val="24"/>
          <w:szCs w:val="24"/>
        </w:rPr>
        <w:t>(</w:t>
      </w:r>
      <w:r>
        <w:rPr>
          <w:sz w:val="24"/>
          <w:szCs w:val="24"/>
        </w:rPr>
        <w:t>三证合一</w:t>
      </w:r>
      <w:r>
        <w:rPr>
          <w:sz w:val="24"/>
          <w:szCs w:val="24"/>
        </w:rPr>
        <w:t>)</w:t>
      </w:r>
      <w:r>
        <w:rPr>
          <w:sz w:val="24"/>
          <w:szCs w:val="24"/>
        </w:rPr>
        <w:t>复印件并加盖单位公章（事业法人、社会团体或其他组织提供民政部门或主管部门颁发的注册登记证书复印件）；</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）法定代表人授权经办人办理业务的授权委托书；</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）法人、业务经办人有效身份证件复印件（身份证或军人证等）；</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4</w:t>
      </w:r>
      <w:r>
        <w:rPr>
          <w:rFonts w:ascii="Times New Roman" w:hAnsi="Times New Roman" w:cs="Times New Roman" w:hint="eastAsia"/>
          <w:sz w:val="24"/>
          <w:szCs w:val="24"/>
        </w:rPr>
        <w:t>）加盖预留印鉴的《业务预留印鉴卡》一式三份（需公章确认）；</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5</w:t>
      </w:r>
      <w:r>
        <w:rPr>
          <w:rFonts w:ascii="Times New Roman" w:hAnsi="Times New Roman" w:cs="Times New Roman" w:hint="eastAsia"/>
          <w:sz w:val="24"/>
          <w:szCs w:val="24"/>
        </w:rPr>
        <w:t>）加盖</w:t>
      </w:r>
      <w:r>
        <w:rPr>
          <w:rFonts w:ascii="Times New Roman" w:hAnsi="Times New Roman" w:cs="Times New Roman" w:hint="eastAsia"/>
          <w:sz w:val="24"/>
          <w:szCs w:val="24"/>
        </w:rPr>
        <w:t>单位公章的指定银行账户的银行《开户许可证》或《开立银行账户申请表》复印件（或指定银行出具的开户证明）；</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6</w:t>
      </w:r>
      <w:r>
        <w:rPr>
          <w:rFonts w:ascii="Times New Roman" w:hAnsi="Times New Roman" w:cs="Times New Roman" w:hint="eastAsia"/>
          <w:sz w:val="24"/>
          <w:szCs w:val="24"/>
        </w:rPr>
        <w:t>）填妥的《账户申请表》，并加盖单位公章、法定代表人私章及经办人签字；</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7</w:t>
      </w:r>
      <w:r>
        <w:rPr>
          <w:rFonts w:ascii="Times New Roman" w:hAnsi="Times New Roman" w:cs="Times New Roman" w:hint="eastAsia"/>
          <w:sz w:val="24"/>
          <w:szCs w:val="24"/>
        </w:rPr>
        <w:t>）《传真交易协议》一式两份；</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8</w:t>
      </w:r>
      <w:r>
        <w:rPr>
          <w:rFonts w:ascii="Times New Roman" w:hAnsi="Times New Roman" w:cs="Times New Roman" w:hint="eastAsia"/>
          <w:sz w:val="24"/>
          <w:szCs w:val="24"/>
        </w:rPr>
        <w:t>）《机构投资者风险承受能力评估问卷》、《一般风险揭示书》、《机构税收居民声明文件》、《控制人税收居民身份声明文件》；</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9</w:t>
      </w:r>
      <w:r>
        <w:rPr>
          <w:rFonts w:ascii="Times New Roman" w:hAnsi="Times New Roman" w:cs="Times New Roman" w:hint="eastAsia"/>
          <w:sz w:val="24"/>
          <w:szCs w:val="24"/>
        </w:rPr>
        <w:t>）管理人要求的其他材料。</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注：指定银行账户是指投资人开户时预留的作为赎回、分红、退款的结算账户，账户名称必须同投资人在直销网点账户的户名一致。</w:t>
      </w:r>
    </w:p>
    <w:p w:rsidR="00CF09D4" w:rsidRDefault="009A3F8A">
      <w:pPr>
        <w:widowControl/>
        <w:snapToGrid w:val="0"/>
        <w:spacing w:line="360" w:lineRule="auto"/>
        <w:ind w:firstLineChars="176" w:firstLine="422"/>
        <w:jc w:val="left"/>
        <w:outlineLvl w:val="2"/>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、机构投资者办理认购申请时须</w:t>
      </w:r>
      <w:r>
        <w:rPr>
          <w:rFonts w:ascii="Times New Roman" w:hAnsi="Times New Roman" w:cs="Times New Roman" w:hint="eastAsia"/>
          <w:sz w:val="24"/>
          <w:szCs w:val="24"/>
        </w:rPr>
        <w:t>提交下列材料：</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）已填好的《交易业务申请表》，并加盖预留印鉴；</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）前来办理认购申请的机构经办人身份证明原件及复印件；</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）填妥的《金融产品或金融服务适当性评估结果确认书》或《产品或服务不适当性警示及投资者确认书》并签字（专业投资者免填）；</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）管理人要求的其他材料。</w:t>
      </w:r>
    </w:p>
    <w:p w:rsidR="00CF09D4" w:rsidRDefault="009A3F8A">
      <w:pPr>
        <w:widowControl/>
        <w:snapToGrid w:val="0"/>
        <w:spacing w:line="360" w:lineRule="auto"/>
        <w:ind w:firstLineChars="176" w:firstLine="422"/>
        <w:jc w:val="left"/>
        <w:outlineLvl w:val="2"/>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、资金划拨：</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机构投资者办理认购前应将足额资金以</w:t>
      </w:r>
      <w:r>
        <w:rPr>
          <w:rFonts w:ascii="Times New Roman" w:hAnsi="Times New Roman" w:cs="Times New Roman"/>
          <w:sz w:val="24"/>
          <w:szCs w:val="24"/>
        </w:rPr>
        <w:t>“</w:t>
      </w:r>
      <w:r>
        <w:rPr>
          <w:rFonts w:ascii="Times New Roman" w:hAnsi="Times New Roman" w:cs="Times New Roman" w:hint="eastAsia"/>
          <w:sz w:val="24"/>
          <w:szCs w:val="24"/>
        </w:rPr>
        <w:t>汇款交易</w:t>
      </w:r>
      <w:r>
        <w:rPr>
          <w:rFonts w:ascii="Times New Roman" w:hAnsi="Times New Roman" w:cs="Times New Roman"/>
          <w:sz w:val="24"/>
          <w:szCs w:val="24"/>
        </w:rPr>
        <w:t>”</w:t>
      </w:r>
      <w:r>
        <w:rPr>
          <w:rFonts w:ascii="Times New Roman" w:hAnsi="Times New Roman" w:cs="Times New Roman" w:hint="eastAsia"/>
          <w:sz w:val="24"/>
          <w:szCs w:val="24"/>
        </w:rPr>
        <w:t>方式通过银行汇入华泰证券（上海）资产管理有限公司直销清算账户。</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户名：华泰证券（上海）资产管理有限公司</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开户银行：中国银行上海市中银大厦支行营业部</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银行账号：</w:t>
      </w:r>
      <w:r>
        <w:rPr>
          <w:rFonts w:ascii="Times New Roman" w:hAnsi="Times New Roman" w:cs="Times New Roman"/>
          <w:sz w:val="24"/>
          <w:szCs w:val="24"/>
        </w:rPr>
        <w:t>439068357540</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投资人在汇款用途中必须注明购买的基金名称和基金代码，并确保在认购期间每日</w:t>
      </w:r>
      <w:r>
        <w:rPr>
          <w:rFonts w:ascii="Times New Roman" w:hAnsi="Times New Roman" w:cs="Times New Roman" w:hint="eastAsia"/>
          <w:sz w:val="24"/>
          <w:szCs w:val="24"/>
        </w:rPr>
        <w:t>17:</w:t>
      </w:r>
      <w:r>
        <w:rPr>
          <w:rFonts w:ascii="Times New Roman" w:hAnsi="Times New Roman" w:cs="Times New Roman"/>
          <w:sz w:val="24"/>
          <w:szCs w:val="24"/>
        </w:rPr>
        <w:t>00</w:t>
      </w:r>
      <w:r>
        <w:rPr>
          <w:rFonts w:ascii="Times New Roman" w:hAnsi="Times New Roman" w:cs="Times New Roman" w:hint="eastAsia"/>
          <w:sz w:val="24"/>
          <w:szCs w:val="24"/>
        </w:rPr>
        <w:t>前到账。投资人若未按上述规定划付，造成认购无效的，华泰证券（上海）资产管理有限公司及直销网点清算账户的开户银行不承担任何责任。</w:t>
      </w:r>
    </w:p>
    <w:p w:rsidR="00CF09D4" w:rsidRDefault="009A3F8A">
      <w:pPr>
        <w:widowControl/>
        <w:snapToGrid w:val="0"/>
        <w:spacing w:line="360" w:lineRule="auto"/>
        <w:ind w:firstLineChars="176" w:firstLine="422"/>
        <w:jc w:val="left"/>
        <w:outlineLvl w:val="2"/>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hint="eastAsia"/>
          <w:sz w:val="24"/>
          <w:szCs w:val="24"/>
        </w:rPr>
        <w:t>、注意事项</w:t>
      </w:r>
      <w:r>
        <w:rPr>
          <w:rFonts w:ascii="Times New Roman" w:hAnsi="Times New Roman" w:cs="Times New Roman"/>
          <w:sz w:val="24"/>
          <w:szCs w:val="24"/>
        </w:rPr>
        <w:t>:</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）一个投资人只能开立一个基金账户。</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）投资人</w:t>
      </w:r>
      <w:r>
        <w:rPr>
          <w:rFonts w:ascii="Times New Roman" w:hAnsi="Times New Roman" w:cs="Times New Roman"/>
          <w:sz w:val="24"/>
          <w:szCs w:val="24"/>
        </w:rPr>
        <w:t>T</w:t>
      </w:r>
      <w:r>
        <w:rPr>
          <w:rFonts w:ascii="Times New Roman" w:hAnsi="Times New Roman" w:cs="Times New Roman" w:hint="eastAsia"/>
          <w:sz w:val="24"/>
          <w:szCs w:val="24"/>
        </w:rPr>
        <w:t>日提交开户申请后，可于</w:t>
      </w:r>
      <w:r>
        <w:rPr>
          <w:rFonts w:ascii="Times New Roman" w:hAnsi="Times New Roman" w:cs="Times New Roman"/>
          <w:sz w:val="24"/>
          <w:szCs w:val="24"/>
        </w:rPr>
        <w:t>T+2</w:t>
      </w:r>
      <w:r>
        <w:rPr>
          <w:rFonts w:ascii="Times New Roman" w:hAnsi="Times New Roman" w:cs="Times New Roman" w:hint="eastAsia"/>
          <w:sz w:val="24"/>
          <w:szCs w:val="24"/>
        </w:rPr>
        <w:t>日到本公司查询确认结果，或通过本公司客户服务中心、网上查询系统查询。</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）投资人</w:t>
      </w:r>
      <w:r>
        <w:rPr>
          <w:rFonts w:ascii="Times New Roman" w:hAnsi="Times New Roman" w:cs="Times New Roman"/>
          <w:sz w:val="24"/>
          <w:szCs w:val="24"/>
        </w:rPr>
        <w:t>T</w:t>
      </w:r>
      <w:r>
        <w:rPr>
          <w:rFonts w:ascii="Times New Roman" w:hAnsi="Times New Roman" w:cs="Times New Roman" w:hint="eastAsia"/>
          <w:sz w:val="24"/>
          <w:szCs w:val="24"/>
        </w:rPr>
        <w:t>日提交认购申请后，可于</w:t>
      </w:r>
      <w:r>
        <w:rPr>
          <w:rFonts w:ascii="Times New Roman" w:hAnsi="Times New Roman" w:cs="Times New Roman"/>
          <w:sz w:val="24"/>
          <w:szCs w:val="24"/>
        </w:rPr>
        <w:t>T+2</w:t>
      </w:r>
      <w:r>
        <w:rPr>
          <w:rFonts w:ascii="Times New Roman" w:hAnsi="Times New Roman" w:cs="Times New Roman" w:hint="eastAsia"/>
          <w:sz w:val="24"/>
          <w:szCs w:val="24"/>
        </w:rPr>
        <w:t>日到本公司直销中心查询认购接受结果，或通过本公司客</w:t>
      </w:r>
      <w:r>
        <w:rPr>
          <w:rFonts w:ascii="Times New Roman" w:hAnsi="Times New Roman" w:cs="Times New Roman" w:hint="eastAsia"/>
          <w:sz w:val="24"/>
          <w:szCs w:val="24"/>
        </w:rPr>
        <w:t>户服务中心、网上查询系统查询。认购份额确认结果可于《基金合同》生效后到本公司直销中心查询，或通过本公司客户服务中心、网上查询系统查询。</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4</w:t>
      </w:r>
      <w:r>
        <w:rPr>
          <w:rFonts w:ascii="Times New Roman" w:hAnsi="Times New Roman" w:cs="Times New Roman" w:hint="eastAsia"/>
          <w:sz w:val="24"/>
          <w:szCs w:val="24"/>
        </w:rPr>
        <w:t>）机构投资者认购基金申请须在公布的机构投资者认购时间内办理。</w:t>
      </w:r>
    </w:p>
    <w:p w:rsidR="00CF09D4" w:rsidRDefault="009A3F8A">
      <w:pPr>
        <w:widowControl/>
        <w:snapToGrid w:val="0"/>
        <w:spacing w:line="360" w:lineRule="auto"/>
        <w:ind w:firstLineChars="150" w:firstLine="360"/>
        <w:jc w:val="left"/>
        <w:outlineLvl w:val="1"/>
        <w:rPr>
          <w:rFonts w:ascii="Times New Roman" w:hAnsi="Times New Roman" w:cs="Times New Roman"/>
          <w:sz w:val="24"/>
          <w:szCs w:val="24"/>
        </w:rPr>
      </w:pPr>
      <w:r>
        <w:rPr>
          <w:rFonts w:ascii="Times New Roman" w:hAnsi="Times New Roman" w:cs="Times New Roman" w:hint="eastAsia"/>
          <w:sz w:val="24"/>
          <w:szCs w:val="24"/>
        </w:rPr>
        <w:t>（二）其他销售机构</w:t>
      </w:r>
      <w:r>
        <w:rPr>
          <w:rFonts w:ascii="Times New Roman" w:hAnsi="Times New Roman" w:cs="Times New Roman"/>
          <w:sz w:val="24"/>
          <w:szCs w:val="24"/>
        </w:rPr>
        <w:t>:</w:t>
      </w:r>
    </w:p>
    <w:p w:rsidR="00CF09D4" w:rsidRDefault="009A3F8A">
      <w:pPr>
        <w:widowControl/>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具体程序以各销售机构的规定和说明为准。</w:t>
      </w:r>
    </w:p>
    <w:p w:rsidR="00CF09D4" w:rsidRDefault="009A3F8A">
      <w:pPr>
        <w:pStyle w:val="Heading1"/>
        <w:spacing w:before="120" w:after="120" w:line="360" w:lineRule="auto"/>
        <w:ind w:firstLineChars="200" w:firstLine="482"/>
        <w:rPr>
          <w:rFonts w:ascii="Times New Roman" w:hAnsi="Times New Roman" w:cs="Times New Roman"/>
          <w:sz w:val="24"/>
          <w:szCs w:val="24"/>
        </w:rPr>
      </w:pPr>
      <w:r>
        <w:rPr>
          <w:rFonts w:ascii="Times New Roman" w:hAnsi="Times New Roman" w:cs="Times New Roman" w:hint="eastAsia"/>
          <w:sz w:val="24"/>
          <w:szCs w:val="24"/>
        </w:rPr>
        <w:t>六、清算与交割</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、有效认购款项在募集期间产生的利息将折算为基金份额归基金份额持有人所有，其中利息转份额以基金登记机构的记录为准。</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、本基金权益登记由登记机构在基金募集结束后完成。</w:t>
      </w:r>
    </w:p>
    <w:p w:rsidR="00CF09D4" w:rsidRDefault="009A3F8A">
      <w:pPr>
        <w:pStyle w:val="Heading1"/>
        <w:spacing w:before="120" w:after="120" w:line="360" w:lineRule="auto"/>
        <w:ind w:firstLineChars="200" w:firstLine="482"/>
        <w:rPr>
          <w:rFonts w:ascii="Times New Roman" w:hAnsi="Times New Roman" w:cs="Times New Roman"/>
          <w:sz w:val="24"/>
          <w:szCs w:val="24"/>
        </w:rPr>
      </w:pPr>
      <w:r>
        <w:rPr>
          <w:rFonts w:ascii="Times New Roman" w:hAnsi="Times New Roman" w:cs="Times New Roman" w:hint="eastAsia"/>
          <w:sz w:val="24"/>
          <w:szCs w:val="24"/>
        </w:rPr>
        <w:t>七、基金的验资与基金合同的生效</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本基金自基金份额发售之日起</w:t>
      </w:r>
      <w:r>
        <w:rPr>
          <w:rFonts w:ascii="Times New Roman" w:hAnsi="Times New Roman" w:cs="Times New Roman" w:hint="eastAsia"/>
          <w:sz w:val="24"/>
          <w:szCs w:val="24"/>
        </w:rPr>
        <w:t>3</w:t>
      </w:r>
      <w:r>
        <w:rPr>
          <w:rFonts w:ascii="Times New Roman" w:hAnsi="Times New Roman" w:cs="Times New Roman" w:hint="eastAsia"/>
          <w:sz w:val="24"/>
          <w:szCs w:val="24"/>
        </w:rPr>
        <w:t>个月</w:t>
      </w:r>
      <w:r>
        <w:rPr>
          <w:rFonts w:ascii="Times New Roman" w:hAnsi="Times New Roman" w:cs="Times New Roman" w:hint="eastAsia"/>
          <w:sz w:val="24"/>
          <w:szCs w:val="24"/>
        </w:rPr>
        <w:t>内，在基金募集份额总额不少于</w:t>
      </w:r>
      <w:r>
        <w:rPr>
          <w:rFonts w:ascii="Times New Roman" w:hAnsi="Times New Roman" w:cs="Times New Roman" w:hint="eastAsia"/>
          <w:sz w:val="24"/>
          <w:szCs w:val="24"/>
        </w:rPr>
        <w:t>2</w:t>
      </w:r>
      <w:r>
        <w:rPr>
          <w:rFonts w:ascii="Times New Roman" w:hAnsi="Times New Roman" w:cs="Times New Roman" w:hint="eastAsia"/>
          <w:sz w:val="24"/>
          <w:szCs w:val="24"/>
        </w:rPr>
        <w:t>亿份，基金募集金额不少于</w:t>
      </w:r>
      <w:r>
        <w:rPr>
          <w:rFonts w:ascii="Times New Roman" w:hAnsi="Times New Roman" w:cs="Times New Roman" w:hint="eastAsia"/>
          <w:sz w:val="24"/>
          <w:szCs w:val="24"/>
        </w:rPr>
        <w:t>2</w:t>
      </w:r>
      <w:r>
        <w:rPr>
          <w:rFonts w:ascii="Times New Roman" w:hAnsi="Times New Roman" w:cs="Times New Roman" w:hint="eastAsia"/>
          <w:sz w:val="24"/>
          <w:szCs w:val="24"/>
        </w:rPr>
        <w:t>亿元人民币且基金认购人数不少于</w:t>
      </w:r>
      <w:r>
        <w:rPr>
          <w:rFonts w:ascii="Times New Roman" w:hAnsi="Times New Roman" w:cs="Times New Roman" w:hint="eastAsia"/>
          <w:sz w:val="24"/>
          <w:szCs w:val="24"/>
        </w:rPr>
        <w:t>200</w:t>
      </w:r>
      <w:r>
        <w:rPr>
          <w:rFonts w:ascii="Times New Roman" w:hAnsi="Times New Roman" w:cs="Times New Roman" w:hint="eastAsia"/>
          <w:sz w:val="24"/>
          <w:szCs w:val="24"/>
        </w:rPr>
        <w:t>人的条件下，基金募集期届满或基金管理人依据法律法规及招募说明书可以决定停止基金发售，并在</w:t>
      </w:r>
      <w:r>
        <w:rPr>
          <w:rFonts w:ascii="Times New Roman" w:hAnsi="Times New Roman" w:cs="Times New Roman" w:hint="eastAsia"/>
          <w:sz w:val="24"/>
          <w:szCs w:val="24"/>
        </w:rPr>
        <w:t>10</w:t>
      </w:r>
      <w:r>
        <w:rPr>
          <w:rFonts w:ascii="Times New Roman" w:hAnsi="Times New Roman" w:cs="Times New Roman" w:hint="eastAsia"/>
          <w:sz w:val="24"/>
          <w:szCs w:val="24"/>
        </w:rPr>
        <w:t>日内聘请法定验资机构验资，自收到验资报告之日起</w:t>
      </w:r>
      <w:r>
        <w:rPr>
          <w:rFonts w:ascii="Times New Roman" w:hAnsi="Times New Roman" w:cs="Times New Roman" w:hint="eastAsia"/>
          <w:sz w:val="24"/>
          <w:szCs w:val="24"/>
        </w:rPr>
        <w:t>10</w:t>
      </w:r>
      <w:r>
        <w:rPr>
          <w:rFonts w:ascii="Times New Roman" w:hAnsi="Times New Roman" w:cs="Times New Roman" w:hint="eastAsia"/>
          <w:sz w:val="24"/>
          <w:szCs w:val="24"/>
        </w:rPr>
        <w:t>日内，向中国证监会办理基金备案手续。</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w:t>
      </w:r>
      <w:r>
        <w:rPr>
          <w:rFonts w:ascii="Times New Roman" w:hAnsi="Times New Roman" w:cs="Times New Roman" w:hint="eastAsia"/>
          <w:sz w:val="24"/>
          <w:szCs w:val="24"/>
        </w:rPr>
        <w:t>金存入专门账户，在基金募集行为结束前，任何人不得动用。</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如果募集期限届满，未满足基金备案条件，基金管理人应当承担下列责任：</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、以其固有财产承担因募集行为而产生的债务和费用；</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、在基金募集期限届满后</w:t>
      </w:r>
      <w:r>
        <w:rPr>
          <w:rFonts w:ascii="Times New Roman" w:hAnsi="Times New Roman" w:cs="Times New Roman" w:hint="eastAsia"/>
          <w:sz w:val="24"/>
          <w:szCs w:val="24"/>
        </w:rPr>
        <w:t>30</w:t>
      </w:r>
      <w:r>
        <w:rPr>
          <w:rFonts w:ascii="Times New Roman" w:hAnsi="Times New Roman" w:cs="Times New Roman" w:hint="eastAsia"/>
          <w:sz w:val="24"/>
          <w:szCs w:val="24"/>
        </w:rPr>
        <w:t>日内返还投资者已缴纳的款项，并加计银行同期活期存款利息；</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、如基金募集失败，基金管理人、基金托管人及销售机构不得请求报酬。基金管理人、基金托管人和销售机构为基金募集支付之一切费用应由各方各自承担。</w:t>
      </w:r>
    </w:p>
    <w:p w:rsidR="00CF09D4" w:rsidRDefault="009A3F8A">
      <w:pPr>
        <w:pStyle w:val="Heading1"/>
        <w:spacing w:before="120" w:after="120" w:line="360" w:lineRule="auto"/>
        <w:ind w:firstLineChars="200" w:firstLine="482"/>
        <w:rPr>
          <w:rFonts w:ascii="Times New Roman" w:hAnsi="Times New Roman" w:cs="Times New Roman"/>
          <w:sz w:val="24"/>
          <w:szCs w:val="24"/>
        </w:rPr>
      </w:pPr>
      <w:r>
        <w:rPr>
          <w:rFonts w:ascii="Times New Roman" w:hAnsi="Times New Roman" w:cs="Times New Roman" w:hint="eastAsia"/>
          <w:sz w:val="24"/>
          <w:szCs w:val="24"/>
        </w:rPr>
        <w:t>八、本次发售当事人或中介机构</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（一）基金管理人</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名称：华泰证券（上海）资产管理有限公司</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住所：中国（上海）自由贸易试验区基隆路</w:t>
      </w:r>
      <w:r>
        <w:rPr>
          <w:rFonts w:ascii="Times New Roman" w:hAnsi="Times New Roman" w:cs="Times New Roman" w:hint="eastAsia"/>
          <w:sz w:val="24"/>
          <w:szCs w:val="24"/>
        </w:rPr>
        <w:t>6</w:t>
      </w:r>
      <w:r>
        <w:rPr>
          <w:rFonts w:ascii="Times New Roman" w:hAnsi="Times New Roman" w:cs="Times New Roman" w:hint="eastAsia"/>
          <w:sz w:val="24"/>
          <w:szCs w:val="24"/>
        </w:rPr>
        <w:t>号</w:t>
      </w:r>
      <w:r>
        <w:rPr>
          <w:rFonts w:ascii="Times New Roman" w:hAnsi="Times New Roman" w:cs="Times New Roman" w:hint="eastAsia"/>
          <w:sz w:val="24"/>
          <w:szCs w:val="24"/>
        </w:rPr>
        <w:t>1222</w:t>
      </w:r>
      <w:r>
        <w:rPr>
          <w:rFonts w:ascii="Times New Roman" w:hAnsi="Times New Roman" w:cs="Times New Roman" w:hint="eastAsia"/>
          <w:sz w:val="24"/>
          <w:szCs w:val="24"/>
        </w:rPr>
        <w:t>室</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办公地址：上海市浦东新区东方路</w:t>
      </w:r>
      <w:r>
        <w:rPr>
          <w:rFonts w:ascii="Times New Roman" w:hAnsi="Times New Roman" w:cs="Times New Roman"/>
          <w:sz w:val="24"/>
          <w:szCs w:val="24"/>
        </w:rPr>
        <w:t>18</w:t>
      </w:r>
      <w:r>
        <w:rPr>
          <w:rFonts w:ascii="Times New Roman" w:hAnsi="Times New Roman" w:cs="Times New Roman" w:hint="eastAsia"/>
          <w:sz w:val="24"/>
          <w:szCs w:val="24"/>
        </w:rPr>
        <w:t>号</w:t>
      </w:r>
      <w:r>
        <w:rPr>
          <w:rFonts w:ascii="Times New Roman" w:hAnsi="Times New Roman" w:cs="Times New Roman"/>
          <w:sz w:val="24"/>
          <w:szCs w:val="24"/>
        </w:rPr>
        <w:t>21</w:t>
      </w:r>
      <w:r>
        <w:rPr>
          <w:rFonts w:ascii="Times New Roman" w:hAnsi="Times New Roman" w:cs="Times New Roman" w:hint="eastAsia"/>
          <w:sz w:val="24"/>
          <w:szCs w:val="24"/>
        </w:rPr>
        <w:t>层</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成立时间：</w:t>
      </w:r>
      <w:r>
        <w:rPr>
          <w:rFonts w:ascii="Times New Roman" w:hAnsi="Times New Roman" w:cs="Times New Roman"/>
          <w:sz w:val="24"/>
          <w:szCs w:val="24"/>
        </w:rPr>
        <w:t>2014</w:t>
      </w:r>
      <w:r>
        <w:rPr>
          <w:rFonts w:ascii="Times New Roman" w:hAnsi="Times New Roman" w:cs="Times New Roman" w:hint="eastAsia"/>
          <w:sz w:val="24"/>
          <w:szCs w:val="24"/>
        </w:rPr>
        <w:t>年</w:t>
      </w:r>
      <w:r>
        <w:rPr>
          <w:rFonts w:ascii="Times New Roman" w:hAnsi="Times New Roman" w:cs="Times New Roman"/>
          <w:sz w:val="24"/>
          <w:szCs w:val="24"/>
        </w:rPr>
        <w:t>10</w:t>
      </w:r>
      <w:r>
        <w:rPr>
          <w:rFonts w:ascii="Times New Roman" w:hAnsi="Times New Roman" w:cs="Times New Roman" w:hint="eastAsia"/>
          <w:sz w:val="24"/>
          <w:szCs w:val="24"/>
        </w:rPr>
        <w:t>月</w:t>
      </w:r>
      <w:r>
        <w:rPr>
          <w:rFonts w:ascii="Times New Roman" w:hAnsi="Times New Roman" w:cs="Times New Roman"/>
          <w:sz w:val="24"/>
          <w:szCs w:val="24"/>
        </w:rPr>
        <w:t>16</w:t>
      </w:r>
      <w:r>
        <w:rPr>
          <w:rFonts w:ascii="Times New Roman" w:hAnsi="Times New Roman" w:cs="Times New Roman" w:hint="eastAsia"/>
          <w:sz w:val="24"/>
          <w:szCs w:val="24"/>
        </w:rPr>
        <w:t>日</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法定代表人：崔春</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注册资本：</w:t>
      </w:r>
      <w:r>
        <w:rPr>
          <w:rFonts w:ascii="Times New Roman" w:hAnsi="Times New Roman" w:cs="Times New Roman"/>
          <w:sz w:val="24"/>
          <w:szCs w:val="24"/>
        </w:rPr>
        <w:t>26</w:t>
      </w:r>
      <w:r>
        <w:rPr>
          <w:rFonts w:ascii="Times New Roman" w:hAnsi="Times New Roman" w:cs="Times New Roman" w:hint="eastAsia"/>
          <w:sz w:val="24"/>
          <w:szCs w:val="24"/>
        </w:rPr>
        <w:t>亿元人民币</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（二）基金托管人</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名称：上海银行股份有限公司</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住所：中国（上海）自由贸易试验区银城中路</w:t>
      </w:r>
      <w:r>
        <w:rPr>
          <w:rFonts w:ascii="Times New Roman" w:hAnsi="Times New Roman" w:cs="Times New Roman" w:hint="eastAsia"/>
          <w:sz w:val="24"/>
          <w:szCs w:val="24"/>
        </w:rPr>
        <w:t>168</w:t>
      </w:r>
      <w:r>
        <w:rPr>
          <w:rFonts w:ascii="Times New Roman" w:hAnsi="Times New Roman" w:cs="Times New Roman" w:hint="eastAsia"/>
          <w:sz w:val="24"/>
          <w:szCs w:val="24"/>
        </w:rPr>
        <w:t>号</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办公地址：中国（上海）自由贸易试验区银城中路</w:t>
      </w:r>
      <w:r>
        <w:rPr>
          <w:rFonts w:ascii="Times New Roman" w:hAnsi="Times New Roman" w:cs="Times New Roman" w:hint="eastAsia"/>
          <w:sz w:val="24"/>
          <w:szCs w:val="24"/>
        </w:rPr>
        <w:t>168</w:t>
      </w:r>
      <w:r>
        <w:rPr>
          <w:rFonts w:ascii="Times New Roman" w:hAnsi="Times New Roman" w:cs="Times New Roman" w:hint="eastAsia"/>
          <w:sz w:val="24"/>
          <w:szCs w:val="24"/>
        </w:rPr>
        <w:t>号</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法定代表人：金煜</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成立时间：</w:t>
      </w:r>
      <w:r>
        <w:rPr>
          <w:rFonts w:ascii="Times New Roman" w:hAnsi="Times New Roman" w:cs="Times New Roman" w:hint="eastAsia"/>
          <w:sz w:val="24"/>
          <w:szCs w:val="24"/>
        </w:rPr>
        <w:t>1995</w:t>
      </w:r>
      <w:r>
        <w:rPr>
          <w:rFonts w:ascii="Times New Roman" w:hAnsi="Times New Roman" w:cs="Times New Roman" w:hint="eastAsia"/>
          <w:sz w:val="24"/>
          <w:szCs w:val="24"/>
        </w:rPr>
        <w:t>年</w:t>
      </w:r>
      <w:r>
        <w:rPr>
          <w:rFonts w:ascii="Times New Roman" w:hAnsi="Times New Roman" w:cs="Times New Roman" w:hint="eastAsia"/>
          <w:sz w:val="24"/>
          <w:szCs w:val="24"/>
        </w:rPr>
        <w:t>12</w:t>
      </w:r>
      <w:r>
        <w:rPr>
          <w:rFonts w:ascii="Times New Roman" w:hAnsi="Times New Roman" w:cs="Times New Roman" w:hint="eastAsia"/>
          <w:sz w:val="24"/>
          <w:szCs w:val="24"/>
        </w:rPr>
        <w:t>月</w:t>
      </w:r>
      <w:r>
        <w:rPr>
          <w:rFonts w:ascii="Times New Roman" w:hAnsi="Times New Roman" w:cs="Times New Roman" w:hint="eastAsia"/>
          <w:sz w:val="24"/>
          <w:szCs w:val="24"/>
        </w:rPr>
        <w:t>29</w:t>
      </w:r>
      <w:r>
        <w:rPr>
          <w:rFonts w:ascii="Times New Roman" w:hAnsi="Times New Roman" w:cs="Times New Roman" w:hint="eastAsia"/>
          <w:sz w:val="24"/>
          <w:szCs w:val="24"/>
        </w:rPr>
        <w:t>日</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批准设立机关及批准设立文号：中国人民银行</w:t>
      </w:r>
      <w:r>
        <w:rPr>
          <w:rFonts w:ascii="Times New Roman" w:hAnsi="Times New Roman" w:cs="Times New Roman" w:hint="eastAsia"/>
          <w:sz w:val="24"/>
          <w:szCs w:val="24"/>
        </w:rPr>
        <w:t xml:space="preserve"> </w:t>
      </w:r>
      <w:r>
        <w:rPr>
          <w:rFonts w:ascii="Times New Roman" w:hAnsi="Times New Roman" w:cs="Times New Roman" w:hint="eastAsia"/>
          <w:sz w:val="24"/>
          <w:szCs w:val="24"/>
        </w:rPr>
        <w:t>银复</w:t>
      </w:r>
      <w:r>
        <w:rPr>
          <w:rFonts w:ascii="Times New Roman" w:hAnsi="Times New Roman" w:cs="Times New Roman" w:hint="eastAsia"/>
          <w:sz w:val="24"/>
          <w:szCs w:val="24"/>
        </w:rPr>
        <w:t>[1995]469</w:t>
      </w:r>
      <w:r>
        <w:rPr>
          <w:rFonts w:ascii="Times New Roman" w:hAnsi="Times New Roman" w:cs="Times New Roman" w:hint="eastAsia"/>
          <w:sz w:val="24"/>
          <w:szCs w:val="24"/>
        </w:rPr>
        <w:t>号《关于上海城市合作银行开业的批复》，中国人民银行</w:t>
      </w:r>
      <w:r>
        <w:rPr>
          <w:rFonts w:ascii="Times New Roman" w:hAnsi="Times New Roman" w:cs="Times New Roman" w:hint="eastAsia"/>
          <w:sz w:val="24"/>
          <w:szCs w:val="24"/>
        </w:rPr>
        <w:t xml:space="preserve"> </w:t>
      </w:r>
      <w:r>
        <w:rPr>
          <w:rFonts w:ascii="Times New Roman" w:hAnsi="Times New Roman" w:cs="Times New Roman" w:hint="eastAsia"/>
          <w:sz w:val="24"/>
          <w:szCs w:val="24"/>
        </w:rPr>
        <w:t>银复</w:t>
      </w:r>
      <w:r>
        <w:rPr>
          <w:rFonts w:ascii="Times New Roman" w:hAnsi="Times New Roman" w:cs="Times New Roman" w:hint="eastAsia"/>
          <w:sz w:val="24"/>
          <w:szCs w:val="24"/>
        </w:rPr>
        <w:t>[1998]215</w:t>
      </w:r>
      <w:r>
        <w:rPr>
          <w:rFonts w:ascii="Times New Roman" w:hAnsi="Times New Roman" w:cs="Times New Roman" w:hint="eastAsia"/>
          <w:sz w:val="24"/>
          <w:szCs w:val="24"/>
        </w:rPr>
        <w:t>号《关于上海城市合作银行更改行名的批复》</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组织形式：股份有限公司（中外合资、上市）</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注册资本：人民币</w:t>
      </w:r>
      <w:r>
        <w:rPr>
          <w:rFonts w:ascii="Times New Roman" w:hAnsi="Times New Roman" w:cs="Times New Roman" w:hint="eastAsia"/>
          <w:sz w:val="24"/>
          <w:szCs w:val="24"/>
        </w:rPr>
        <w:t>142.065287</w:t>
      </w:r>
      <w:r>
        <w:rPr>
          <w:rFonts w:ascii="Times New Roman" w:hAnsi="Times New Roman" w:cs="Times New Roman" w:hint="eastAsia"/>
          <w:sz w:val="24"/>
          <w:szCs w:val="24"/>
        </w:rPr>
        <w:t>亿元</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存续期间：持续经营</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基金托管业务批准文号：中国证监会</w:t>
      </w:r>
      <w:r>
        <w:rPr>
          <w:rFonts w:ascii="Times New Roman" w:hAnsi="Times New Roman" w:cs="Times New Roman" w:hint="eastAsia"/>
          <w:sz w:val="24"/>
          <w:szCs w:val="24"/>
        </w:rPr>
        <w:t xml:space="preserve"> </w:t>
      </w:r>
      <w:r>
        <w:rPr>
          <w:rFonts w:ascii="Times New Roman" w:hAnsi="Times New Roman" w:cs="Times New Roman" w:hint="eastAsia"/>
          <w:sz w:val="24"/>
          <w:szCs w:val="24"/>
        </w:rPr>
        <w:t>证监许可</w:t>
      </w:r>
      <w:r>
        <w:rPr>
          <w:rFonts w:ascii="Times New Roman" w:hAnsi="Times New Roman" w:cs="Times New Roman" w:hint="eastAsia"/>
          <w:sz w:val="24"/>
          <w:szCs w:val="24"/>
        </w:rPr>
        <w:t>[2009]814</w:t>
      </w:r>
      <w:r>
        <w:rPr>
          <w:rFonts w:ascii="Times New Roman" w:hAnsi="Times New Roman" w:cs="Times New Roman" w:hint="eastAsia"/>
          <w:sz w:val="24"/>
          <w:szCs w:val="24"/>
        </w:rPr>
        <w:t>号</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（三）销售机构</w:t>
      </w:r>
    </w:p>
    <w:p w:rsidR="00CF09D4" w:rsidRDefault="009A3F8A">
      <w:pPr>
        <w:widowControl/>
        <w:snapToGrid w:val="0"/>
        <w:spacing w:line="360" w:lineRule="auto"/>
        <w:ind w:firstLineChars="176" w:firstLine="422"/>
        <w:jc w:val="left"/>
        <w:outlineLvl w:val="2"/>
        <w:rPr>
          <w:rFonts w:ascii="宋体" w:cs="Times New Roman"/>
          <w:sz w:val="24"/>
          <w:szCs w:val="24"/>
        </w:rPr>
      </w:pPr>
      <w:r>
        <w:rPr>
          <w:rFonts w:ascii="宋体" w:cs="Times New Roman" w:hint="eastAsia"/>
          <w:sz w:val="24"/>
          <w:szCs w:val="24"/>
        </w:rPr>
        <w:t>1</w:t>
      </w:r>
      <w:r>
        <w:rPr>
          <w:rFonts w:ascii="宋体" w:cs="Times New Roman" w:hint="eastAsia"/>
          <w:sz w:val="24"/>
          <w:szCs w:val="24"/>
        </w:rPr>
        <w:t>、直销机构</w:t>
      </w:r>
    </w:p>
    <w:p w:rsidR="00CF09D4" w:rsidRDefault="009A3F8A">
      <w:pPr>
        <w:widowControl/>
        <w:snapToGrid w:val="0"/>
        <w:spacing w:line="360" w:lineRule="auto"/>
        <w:ind w:firstLineChars="176" w:firstLine="422"/>
        <w:jc w:val="left"/>
        <w:rPr>
          <w:rFonts w:ascii="宋体" w:cs="Times New Roman"/>
          <w:sz w:val="24"/>
          <w:szCs w:val="24"/>
        </w:rPr>
      </w:pPr>
      <w:r>
        <w:rPr>
          <w:rFonts w:ascii="宋体" w:cs="Times New Roman"/>
          <w:sz w:val="24"/>
          <w:szCs w:val="24"/>
        </w:rPr>
        <w:t>名称：华泰证券（上海）资产管理有限公司</w:t>
      </w:r>
    </w:p>
    <w:p w:rsidR="00CF09D4" w:rsidRDefault="009A3F8A">
      <w:pPr>
        <w:widowControl/>
        <w:snapToGrid w:val="0"/>
        <w:spacing w:line="360" w:lineRule="auto"/>
        <w:ind w:firstLineChars="176" w:firstLine="422"/>
        <w:jc w:val="left"/>
        <w:rPr>
          <w:rFonts w:ascii="宋体" w:cs="Times New Roman"/>
          <w:sz w:val="24"/>
          <w:szCs w:val="24"/>
        </w:rPr>
      </w:pPr>
      <w:r>
        <w:rPr>
          <w:rFonts w:ascii="宋体" w:cs="Times New Roman"/>
          <w:sz w:val="24"/>
          <w:szCs w:val="24"/>
        </w:rPr>
        <w:t>住所</w:t>
      </w:r>
      <w:r>
        <w:rPr>
          <w:rFonts w:ascii="宋体" w:cs="Times New Roman" w:hint="eastAsia"/>
          <w:sz w:val="24"/>
          <w:szCs w:val="24"/>
        </w:rPr>
        <w:t>：中国（上海）自由贸易试验区基隆路</w:t>
      </w:r>
      <w:r>
        <w:rPr>
          <w:rFonts w:ascii="宋体" w:cs="Times New Roman" w:hint="eastAsia"/>
          <w:sz w:val="24"/>
          <w:szCs w:val="24"/>
        </w:rPr>
        <w:t>6</w:t>
      </w:r>
      <w:r>
        <w:rPr>
          <w:rFonts w:ascii="宋体" w:cs="Times New Roman" w:hint="eastAsia"/>
          <w:sz w:val="24"/>
          <w:szCs w:val="24"/>
        </w:rPr>
        <w:t>号</w:t>
      </w:r>
      <w:r>
        <w:rPr>
          <w:rFonts w:ascii="宋体" w:cs="Times New Roman" w:hint="eastAsia"/>
          <w:sz w:val="24"/>
          <w:szCs w:val="24"/>
        </w:rPr>
        <w:t>1222</w:t>
      </w:r>
      <w:r>
        <w:rPr>
          <w:rFonts w:ascii="宋体" w:cs="Times New Roman" w:hint="eastAsia"/>
          <w:sz w:val="24"/>
          <w:szCs w:val="24"/>
        </w:rPr>
        <w:t>室</w:t>
      </w:r>
    </w:p>
    <w:p w:rsidR="00CF09D4" w:rsidRDefault="009A3F8A">
      <w:pPr>
        <w:widowControl/>
        <w:snapToGrid w:val="0"/>
        <w:spacing w:line="360" w:lineRule="auto"/>
        <w:ind w:firstLineChars="176" w:firstLine="422"/>
        <w:jc w:val="left"/>
        <w:rPr>
          <w:rFonts w:ascii="宋体" w:cs="Times New Roman"/>
          <w:sz w:val="24"/>
          <w:szCs w:val="24"/>
        </w:rPr>
      </w:pPr>
      <w:r>
        <w:rPr>
          <w:rFonts w:ascii="宋体" w:cs="Times New Roman"/>
          <w:sz w:val="24"/>
          <w:szCs w:val="24"/>
        </w:rPr>
        <w:t>办公地址：</w:t>
      </w:r>
      <w:r>
        <w:rPr>
          <w:rFonts w:ascii="宋体" w:cs="Times New Roman" w:hint="eastAsia"/>
          <w:sz w:val="24"/>
          <w:szCs w:val="24"/>
        </w:rPr>
        <w:t>上海市浦东新区</w:t>
      </w:r>
      <w:r>
        <w:rPr>
          <w:rFonts w:ascii="宋体" w:cs="Times New Roman"/>
          <w:sz w:val="24"/>
          <w:szCs w:val="24"/>
        </w:rPr>
        <w:t>东方路</w:t>
      </w:r>
      <w:r>
        <w:rPr>
          <w:rFonts w:ascii="宋体" w:cs="Times New Roman"/>
          <w:sz w:val="24"/>
          <w:szCs w:val="24"/>
        </w:rPr>
        <w:t>18</w:t>
      </w:r>
      <w:r>
        <w:rPr>
          <w:rFonts w:ascii="宋体" w:cs="Times New Roman"/>
          <w:sz w:val="24"/>
          <w:szCs w:val="24"/>
        </w:rPr>
        <w:t>号</w:t>
      </w:r>
      <w:r>
        <w:rPr>
          <w:rFonts w:ascii="宋体" w:cs="Times New Roman"/>
          <w:sz w:val="24"/>
          <w:szCs w:val="24"/>
        </w:rPr>
        <w:t>21</w:t>
      </w:r>
      <w:r>
        <w:rPr>
          <w:rFonts w:ascii="宋体" w:cs="Times New Roman"/>
          <w:sz w:val="24"/>
          <w:szCs w:val="24"/>
        </w:rPr>
        <w:t>层</w:t>
      </w:r>
    </w:p>
    <w:p w:rsidR="00CF09D4" w:rsidRDefault="009A3F8A">
      <w:pPr>
        <w:widowControl/>
        <w:snapToGrid w:val="0"/>
        <w:spacing w:line="360" w:lineRule="auto"/>
        <w:ind w:firstLineChars="176" w:firstLine="422"/>
        <w:jc w:val="left"/>
        <w:rPr>
          <w:rFonts w:ascii="宋体" w:cs="Times New Roman"/>
          <w:sz w:val="24"/>
          <w:szCs w:val="24"/>
        </w:rPr>
      </w:pPr>
      <w:r>
        <w:rPr>
          <w:rFonts w:ascii="宋体" w:cs="Times New Roman"/>
          <w:sz w:val="24"/>
          <w:szCs w:val="24"/>
        </w:rPr>
        <w:t>法定代表人：崔春</w:t>
      </w:r>
    </w:p>
    <w:p w:rsidR="00CF09D4" w:rsidRDefault="009A3F8A">
      <w:pPr>
        <w:widowControl/>
        <w:snapToGrid w:val="0"/>
        <w:spacing w:line="360" w:lineRule="auto"/>
        <w:ind w:firstLineChars="176" w:firstLine="422"/>
        <w:jc w:val="left"/>
        <w:rPr>
          <w:rFonts w:ascii="宋体" w:cs="Times New Roman"/>
          <w:sz w:val="24"/>
          <w:szCs w:val="24"/>
        </w:rPr>
      </w:pPr>
      <w:r>
        <w:rPr>
          <w:rFonts w:ascii="宋体" w:cs="Times New Roman"/>
          <w:sz w:val="24"/>
          <w:szCs w:val="24"/>
        </w:rPr>
        <w:t>客服电话</w:t>
      </w:r>
      <w:r>
        <w:rPr>
          <w:rFonts w:ascii="宋体" w:cs="Times New Roman" w:hint="eastAsia"/>
          <w:sz w:val="24"/>
          <w:szCs w:val="24"/>
        </w:rPr>
        <w:t>：</w:t>
      </w:r>
      <w:r>
        <w:rPr>
          <w:rFonts w:ascii="宋体" w:cs="Times New Roman" w:hint="eastAsia"/>
          <w:sz w:val="24"/>
          <w:szCs w:val="24"/>
        </w:rPr>
        <w:t>4008895597/95597</w:t>
      </w:r>
    </w:p>
    <w:p w:rsidR="00CF09D4" w:rsidRDefault="009A3F8A">
      <w:pPr>
        <w:widowControl/>
        <w:snapToGrid w:val="0"/>
        <w:spacing w:line="360" w:lineRule="auto"/>
        <w:ind w:firstLineChars="176" w:firstLine="422"/>
        <w:jc w:val="left"/>
        <w:rPr>
          <w:rFonts w:ascii="宋体" w:cs="Times New Roman"/>
          <w:sz w:val="24"/>
          <w:szCs w:val="24"/>
        </w:rPr>
      </w:pPr>
      <w:r>
        <w:rPr>
          <w:rFonts w:ascii="宋体" w:cs="Times New Roman" w:hint="eastAsia"/>
          <w:sz w:val="24"/>
          <w:szCs w:val="24"/>
        </w:rPr>
        <w:t>公司网站：</w:t>
      </w:r>
      <w:r>
        <w:rPr>
          <w:rFonts w:ascii="宋体" w:cs="Times New Roman" w:hint="eastAsia"/>
          <w:sz w:val="24"/>
          <w:szCs w:val="24"/>
        </w:rPr>
        <w:t>htamc.htsc.com.cn</w:t>
      </w:r>
    </w:p>
    <w:p w:rsidR="00CF09D4" w:rsidRDefault="009A3F8A">
      <w:pPr>
        <w:widowControl/>
        <w:numPr>
          <w:ilvl w:val="0"/>
          <w:numId w:val="4"/>
        </w:numPr>
        <w:snapToGrid w:val="0"/>
        <w:spacing w:line="360" w:lineRule="auto"/>
        <w:ind w:firstLineChars="176" w:firstLine="422"/>
        <w:jc w:val="left"/>
        <w:outlineLvl w:val="2"/>
        <w:rPr>
          <w:rFonts w:ascii="宋体" w:cs="Times New Roman"/>
          <w:sz w:val="24"/>
          <w:szCs w:val="24"/>
        </w:rPr>
      </w:pPr>
      <w:r>
        <w:rPr>
          <w:rFonts w:ascii="宋体" w:cs="Times New Roman" w:hint="eastAsia"/>
          <w:sz w:val="24"/>
          <w:szCs w:val="24"/>
        </w:rPr>
        <w:t>其他销售机构</w:t>
      </w:r>
    </w:p>
    <w:tbl>
      <w:tblPr>
        <w:tblOverlap w:val="never"/>
        <w:tblW w:w="8642" w:type="dxa"/>
        <w:tblLayout w:type="fixed"/>
        <w:tblLook w:val="04A0"/>
      </w:tblPr>
      <w:tblGrid>
        <w:gridCol w:w="3539"/>
        <w:gridCol w:w="2835"/>
        <w:gridCol w:w="2268"/>
      </w:tblGrid>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widowControl/>
              <w:rPr>
                <w:rFonts w:ascii="宋体" w:cs="等线"/>
                <w:b/>
                <w:bCs/>
                <w:color w:val="000000"/>
                <w:szCs w:val="21"/>
              </w:rPr>
            </w:pPr>
            <w:r>
              <w:rPr>
                <w:rFonts w:ascii="宋体" w:cs="等线" w:hint="eastAsia"/>
                <w:b/>
                <w:bCs/>
                <w:color w:val="000000"/>
                <w:szCs w:val="21"/>
                <w:lang/>
              </w:rPr>
              <w:t>其他销售机构名称</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widowControl/>
              <w:rPr>
                <w:rFonts w:ascii="宋体" w:cs="等线"/>
                <w:b/>
                <w:bCs/>
                <w:color w:val="000000"/>
                <w:szCs w:val="21"/>
              </w:rPr>
            </w:pPr>
            <w:r>
              <w:rPr>
                <w:rFonts w:ascii="宋体" w:cs="等线" w:hint="eastAsia"/>
                <w:b/>
                <w:bCs/>
                <w:color w:val="000000"/>
                <w:szCs w:val="21"/>
                <w:lang/>
              </w:rPr>
              <w:t>网址</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widowControl/>
              <w:rPr>
                <w:rFonts w:ascii="宋体" w:cs="等线"/>
                <w:b/>
                <w:bCs/>
                <w:color w:val="000000"/>
                <w:szCs w:val="21"/>
              </w:rPr>
            </w:pPr>
            <w:r>
              <w:rPr>
                <w:rFonts w:ascii="宋体" w:cs="等线" w:hint="eastAsia"/>
                <w:b/>
                <w:bCs/>
                <w:color w:val="000000"/>
                <w:szCs w:val="21"/>
                <w:lang/>
              </w:rPr>
              <w:t>电话</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widowControl/>
              <w:jc w:val="center"/>
              <w:rPr>
                <w:rFonts w:ascii="宋体" w:cs="宋体"/>
              </w:rPr>
            </w:pPr>
            <w:r>
              <w:rPr>
                <w:rFonts w:ascii="宋体" w:hint="eastAsia"/>
                <w:sz w:val="22"/>
              </w:rPr>
              <w:t>华泰证券股份有限公司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https://www.htsc.com.cn/</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95597</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上海利得基金销售有限公司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http://www.leadfund.com.cn/</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95733</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宁波银行股份有限公司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www.nbcb.com.cn</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021-23262703</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博时财富基金销售有限公司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https://trade.boserawealth.com/</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4006105568</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京东肯特瑞基金销售有限公司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http://kenterui.jd.com/</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400-088-8816</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诺亚正行基金销售有限公司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https://www.noah-fund.com/</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400-821-5399</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浙江同花顺基金销售有限公司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www.5ifund.com</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952555</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深圳众禄基金销售股份有限公司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https://www.zlfund.cn/</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4006-788-887</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上海联泰基金销售有限公司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http://www.66liantai.com/</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400-118-1188</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上海陆金所基金销售有限公司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www.lujinlicai.com</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4008219031</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上海天天基金销售有限公司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http://www.1234567.com.cn/</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95021/400-181-8188</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东方财富证券股份有限公司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http://www.18.cn/</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95357</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北京雪球基金销售有限公司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www.danjuanfunds.com</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400-159-9288</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珠海盈米基金销售有限公司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www.yingmi.cn</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400-021-1768</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泰信财富基金销售有限公司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www.taixincf.com</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4000048821</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上海攀赢基金销售有限公司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http://www.pytz.cn</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021-68889206</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蚂蚁（杭州）基金销售有限公司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https://www.fund123.cn/</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4000-766-123</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上海中正达广基金销售有限公司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http://www.zzwealth.cn</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400-6767-523</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北京汇成基金销售有限公司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http://www.hcjijin.com/</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400-619-9059</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上海基煜基金销售有限公司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https://www.jiyufund.com.cn/</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400-820-5369</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上海长量基金销售有限公司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http://www.erichfund.com/</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400-820-2899</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济安财富（北京）基金销售有限公司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http://www.jianfortune.com</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400-673-7010</w:t>
            </w:r>
          </w:p>
        </w:tc>
      </w:tr>
      <w:tr w:rsidR="00CF09D4">
        <w:trPr>
          <w:trHeight w:val="315"/>
        </w:trPr>
        <w:tc>
          <w:tcPr>
            <w:tcW w:w="3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大连网金基金销售有限公司</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www.yibaijin.com</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09D4" w:rsidRDefault="009A3F8A">
            <w:pPr>
              <w:jc w:val="center"/>
              <w:rPr>
                <w:rFonts w:ascii="宋体"/>
              </w:rPr>
            </w:pPr>
            <w:r>
              <w:rPr>
                <w:rFonts w:ascii="宋体" w:hint="eastAsia"/>
                <w:sz w:val="22"/>
              </w:rPr>
              <w:t>4000-899-100</w:t>
            </w:r>
          </w:p>
        </w:tc>
      </w:tr>
    </w:tbl>
    <w:p w:rsidR="00CF09D4" w:rsidRDefault="00CF09D4">
      <w:pPr>
        <w:widowControl/>
        <w:snapToGrid w:val="0"/>
        <w:spacing w:line="360" w:lineRule="auto"/>
        <w:ind w:firstLineChars="176" w:firstLine="422"/>
        <w:jc w:val="left"/>
        <w:rPr>
          <w:rFonts w:ascii="宋体" w:cs="Times New Roman"/>
          <w:sz w:val="24"/>
          <w:szCs w:val="24"/>
          <w:highlight w:val="yellow"/>
        </w:rPr>
      </w:pPr>
    </w:p>
    <w:p w:rsidR="00CF09D4" w:rsidRDefault="009A3F8A">
      <w:pPr>
        <w:widowControl/>
        <w:snapToGrid w:val="0"/>
        <w:spacing w:line="360" w:lineRule="auto"/>
        <w:ind w:firstLineChars="176" w:firstLine="422"/>
        <w:jc w:val="left"/>
        <w:rPr>
          <w:rFonts w:ascii="宋体" w:cs="Times New Roman"/>
          <w:sz w:val="24"/>
          <w:szCs w:val="24"/>
        </w:rPr>
      </w:pPr>
      <w:r>
        <w:rPr>
          <w:rFonts w:ascii="宋体" w:cs="Times New Roman" w:hint="eastAsia"/>
          <w:sz w:val="24"/>
          <w:szCs w:val="24"/>
        </w:rPr>
        <w:t>基金管理人可根据有关法律法规的要求，选择其它符合要求的机构销售本基金，请详见基金管理人官网公示的销售机构信息。投资者在各代销机构办理本基金认购业务请遵循各代销机构的业务规则与操作流程。</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（四）登记机构</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华泰证券（上海）资产管理有限公司</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住所：中国（上海）自由贸易试验区基隆路</w:t>
      </w:r>
      <w:r>
        <w:rPr>
          <w:rFonts w:ascii="Times New Roman" w:hAnsi="Times New Roman" w:cs="Times New Roman" w:hint="eastAsia"/>
          <w:sz w:val="24"/>
          <w:szCs w:val="24"/>
        </w:rPr>
        <w:t>6</w:t>
      </w:r>
      <w:r>
        <w:rPr>
          <w:rFonts w:ascii="Times New Roman" w:hAnsi="Times New Roman" w:cs="Times New Roman" w:hint="eastAsia"/>
          <w:sz w:val="24"/>
          <w:szCs w:val="24"/>
        </w:rPr>
        <w:t>号</w:t>
      </w:r>
      <w:r>
        <w:rPr>
          <w:rFonts w:ascii="Times New Roman" w:hAnsi="Times New Roman" w:cs="Times New Roman" w:hint="eastAsia"/>
          <w:sz w:val="24"/>
          <w:szCs w:val="24"/>
        </w:rPr>
        <w:t>1222</w:t>
      </w:r>
      <w:r>
        <w:rPr>
          <w:rFonts w:ascii="Times New Roman" w:hAnsi="Times New Roman" w:cs="Times New Roman" w:hint="eastAsia"/>
          <w:sz w:val="24"/>
          <w:szCs w:val="24"/>
        </w:rPr>
        <w:t>室</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办公地址：</w:t>
      </w:r>
      <w:bookmarkStart w:id="0" w:name="_GoBack"/>
      <w:r>
        <w:rPr>
          <w:rFonts w:ascii="Times New Roman" w:hAnsi="Times New Roman" w:cs="Times New Roman" w:hint="eastAsia"/>
          <w:sz w:val="24"/>
          <w:szCs w:val="24"/>
        </w:rPr>
        <w:t>上海市浦东新区</w:t>
      </w:r>
      <w:bookmarkEnd w:id="0"/>
      <w:r>
        <w:rPr>
          <w:rFonts w:ascii="Times New Roman" w:hAnsi="Times New Roman" w:cs="Times New Roman" w:hint="eastAsia"/>
          <w:sz w:val="24"/>
          <w:szCs w:val="24"/>
        </w:rPr>
        <w:t>东方路</w:t>
      </w:r>
      <w:r>
        <w:rPr>
          <w:rFonts w:ascii="Times New Roman" w:hAnsi="Times New Roman" w:cs="Times New Roman"/>
          <w:sz w:val="24"/>
          <w:szCs w:val="24"/>
        </w:rPr>
        <w:t>18</w:t>
      </w:r>
      <w:r>
        <w:rPr>
          <w:rFonts w:ascii="Times New Roman" w:hAnsi="Times New Roman" w:cs="Times New Roman" w:hint="eastAsia"/>
          <w:sz w:val="24"/>
          <w:szCs w:val="24"/>
        </w:rPr>
        <w:t>号</w:t>
      </w:r>
      <w:r>
        <w:rPr>
          <w:rFonts w:ascii="Times New Roman" w:hAnsi="Times New Roman" w:cs="Times New Roman"/>
          <w:sz w:val="24"/>
          <w:szCs w:val="24"/>
        </w:rPr>
        <w:t>21</w:t>
      </w:r>
      <w:r>
        <w:rPr>
          <w:rFonts w:ascii="Times New Roman" w:hAnsi="Times New Roman" w:cs="Times New Roman" w:hint="eastAsia"/>
          <w:sz w:val="24"/>
          <w:szCs w:val="24"/>
        </w:rPr>
        <w:t>层</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法定代表人：崔春</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电话：</w:t>
      </w:r>
      <w:r>
        <w:rPr>
          <w:rFonts w:ascii="Times New Roman" w:hAnsi="Times New Roman" w:cs="Times New Roman"/>
          <w:sz w:val="24"/>
          <w:szCs w:val="24"/>
        </w:rPr>
        <w:t>4008895597</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传真：（</w:t>
      </w:r>
      <w:r>
        <w:rPr>
          <w:rFonts w:ascii="Times New Roman" w:hAnsi="Times New Roman" w:cs="Times New Roman"/>
          <w:sz w:val="24"/>
          <w:szCs w:val="24"/>
        </w:rPr>
        <w:t>021</w:t>
      </w:r>
      <w:r>
        <w:rPr>
          <w:rFonts w:ascii="Times New Roman" w:hAnsi="Times New Roman" w:cs="Times New Roman" w:hint="eastAsia"/>
          <w:sz w:val="24"/>
          <w:szCs w:val="24"/>
        </w:rPr>
        <w:t>）</w:t>
      </w:r>
      <w:r>
        <w:rPr>
          <w:rFonts w:ascii="Times New Roman" w:hAnsi="Times New Roman" w:cs="Times New Roman"/>
          <w:sz w:val="24"/>
          <w:szCs w:val="24"/>
        </w:rPr>
        <w:t>28972120</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联系人：白海燕</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（五）律师事务所</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名称：上海市通力律师事务所</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住所：上海市银城中路</w:t>
      </w:r>
      <w:r>
        <w:rPr>
          <w:rFonts w:ascii="Times New Roman" w:hAnsi="Times New Roman" w:cs="Times New Roman" w:hint="eastAsia"/>
          <w:sz w:val="24"/>
          <w:szCs w:val="24"/>
        </w:rPr>
        <w:t>68</w:t>
      </w:r>
      <w:r>
        <w:rPr>
          <w:rFonts w:ascii="Times New Roman" w:hAnsi="Times New Roman" w:cs="Times New Roman" w:hint="eastAsia"/>
          <w:sz w:val="24"/>
          <w:szCs w:val="24"/>
        </w:rPr>
        <w:t>号时代金融中心</w:t>
      </w:r>
      <w:r>
        <w:rPr>
          <w:rFonts w:ascii="Times New Roman" w:hAnsi="Times New Roman" w:cs="Times New Roman" w:hint="eastAsia"/>
          <w:sz w:val="24"/>
          <w:szCs w:val="24"/>
        </w:rPr>
        <w:t>19</w:t>
      </w:r>
      <w:r>
        <w:rPr>
          <w:rFonts w:ascii="Times New Roman" w:hAnsi="Times New Roman" w:cs="Times New Roman" w:hint="eastAsia"/>
          <w:sz w:val="24"/>
          <w:szCs w:val="24"/>
        </w:rPr>
        <w:t>楼</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办公地址：上海市银城中路</w:t>
      </w:r>
      <w:r>
        <w:rPr>
          <w:rFonts w:ascii="Times New Roman" w:hAnsi="Times New Roman" w:cs="Times New Roman" w:hint="eastAsia"/>
          <w:sz w:val="24"/>
          <w:szCs w:val="24"/>
        </w:rPr>
        <w:t>68</w:t>
      </w:r>
      <w:r>
        <w:rPr>
          <w:rFonts w:ascii="Times New Roman" w:hAnsi="Times New Roman" w:cs="Times New Roman" w:hint="eastAsia"/>
          <w:sz w:val="24"/>
          <w:szCs w:val="24"/>
        </w:rPr>
        <w:t>号时代金融中心</w:t>
      </w:r>
      <w:r>
        <w:rPr>
          <w:rFonts w:ascii="Times New Roman" w:hAnsi="Times New Roman" w:cs="Times New Roman" w:hint="eastAsia"/>
          <w:sz w:val="24"/>
          <w:szCs w:val="24"/>
        </w:rPr>
        <w:t>19</w:t>
      </w:r>
      <w:r>
        <w:rPr>
          <w:rFonts w:ascii="Times New Roman" w:hAnsi="Times New Roman" w:cs="Times New Roman" w:hint="eastAsia"/>
          <w:sz w:val="24"/>
          <w:szCs w:val="24"/>
        </w:rPr>
        <w:t>楼</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负责人：韩炯</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电话：</w:t>
      </w:r>
      <w:r>
        <w:rPr>
          <w:rFonts w:ascii="Times New Roman" w:hAnsi="Times New Roman" w:cs="Times New Roman" w:hint="eastAsia"/>
          <w:sz w:val="24"/>
          <w:szCs w:val="24"/>
        </w:rPr>
        <w:t>021-31358666</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传真：</w:t>
      </w:r>
      <w:r>
        <w:rPr>
          <w:rFonts w:ascii="Times New Roman" w:hAnsi="Times New Roman" w:cs="Times New Roman" w:hint="eastAsia"/>
          <w:sz w:val="24"/>
          <w:szCs w:val="24"/>
        </w:rPr>
        <w:t>021-31358600</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联系人：丁媛</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经办律师：黎明、丁媛</w:t>
      </w:r>
    </w:p>
    <w:p w:rsidR="00CF09D4" w:rsidRDefault="009A3F8A">
      <w:pPr>
        <w:widowControl/>
        <w:snapToGrid w:val="0"/>
        <w:spacing w:line="360" w:lineRule="auto"/>
        <w:ind w:firstLineChars="176" w:firstLine="422"/>
        <w:jc w:val="left"/>
        <w:outlineLvl w:val="1"/>
        <w:rPr>
          <w:rFonts w:ascii="Times New Roman" w:hAnsi="Times New Roman" w:cs="Times New Roman"/>
          <w:sz w:val="24"/>
          <w:szCs w:val="24"/>
        </w:rPr>
      </w:pPr>
      <w:r>
        <w:rPr>
          <w:rFonts w:ascii="Times New Roman" w:hAnsi="Times New Roman" w:cs="Times New Roman" w:hint="eastAsia"/>
          <w:sz w:val="24"/>
          <w:szCs w:val="24"/>
        </w:rPr>
        <w:t>（六）会计师事务所</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名称：毕马威华振会计师事务所（特殊普通合伙）</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住所：中国北京东长安街</w:t>
      </w:r>
      <w:r>
        <w:rPr>
          <w:rFonts w:ascii="Times New Roman" w:hAnsi="Times New Roman" w:cs="Times New Roman" w:hint="eastAsia"/>
          <w:sz w:val="24"/>
          <w:szCs w:val="24"/>
        </w:rPr>
        <w:t>1</w:t>
      </w:r>
      <w:r>
        <w:rPr>
          <w:rFonts w:ascii="Times New Roman" w:hAnsi="Times New Roman" w:cs="Times New Roman" w:hint="eastAsia"/>
          <w:sz w:val="24"/>
          <w:szCs w:val="24"/>
        </w:rPr>
        <w:t>号东方广场毕马威大楼</w:t>
      </w:r>
      <w:r>
        <w:rPr>
          <w:rFonts w:ascii="Times New Roman" w:hAnsi="Times New Roman" w:cs="Times New Roman" w:hint="eastAsia"/>
          <w:sz w:val="24"/>
          <w:szCs w:val="24"/>
        </w:rPr>
        <w:t>8</w:t>
      </w:r>
      <w:r>
        <w:rPr>
          <w:rFonts w:ascii="Times New Roman" w:hAnsi="Times New Roman" w:cs="Times New Roman" w:hint="eastAsia"/>
          <w:sz w:val="24"/>
          <w:szCs w:val="24"/>
        </w:rPr>
        <w:t>层</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办公地址：中国北京东长安街</w:t>
      </w:r>
      <w:r>
        <w:rPr>
          <w:rFonts w:ascii="Times New Roman" w:hAnsi="Times New Roman" w:cs="Times New Roman" w:hint="eastAsia"/>
          <w:sz w:val="24"/>
          <w:szCs w:val="24"/>
        </w:rPr>
        <w:t>1</w:t>
      </w:r>
      <w:r>
        <w:rPr>
          <w:rFonts w:ascii="Times New Roman" w:hAnsi="Times New Roman" w:cs="Times New Roman" w:hint="eastAsia"/>
          <w:sz w:val="24"/>
          <w:szCs w:val="24"/>
        </w:rPr>
        <w:t>号东方广场毕马威大楼</w:t>
      </w:r>
      <w:r>
        <w:rPr>
          <w:rFonts w:ascii="Times New Roman" w:hAnsi="Times New Roman" w:cs="Times New Roman" w:hint="eastAsia"/>
          <w:sz w:val="24"/>
          <w:szCs w:val="24"/>
        </w:rPr>
        <w:t>8</w:t>
      </w:r>
      <w:r>
        <w:rPr>
          <w:rFonts w:ascii="Times New Roman" w:hAnsi="Times New Roman" w:cs="Times New Roman" w:hint="eastAsia"/>
          <w:sz w:val="24"/>
          <w:szCs w:val="24"/>
        </w:rPr>
        <w:t>层</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执行事务合伙人：</w:t>
      </w:r>
      <w:r>
        <w:rPr>
          <w:rFonts w:ascii="Times New Roman" w:hAnsi="Times New Roman" w:cs="Times New Roman" w:hint="eastAsia"/>
          <w:sz w:val="24"/>
          <w:szCs w:val="24"/>
          <w:lang/>
        </w:rPr>
        <w:t>邹俊</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联系电话：（</w:t>
      </w:r>
      <w:r>
        <w:rPr>
          <w:rFonts w:ascii="Times New Roman" w:hAnsi="Times New Roman" w:cs="Times New Roman" w:hint="eastAsia"/>
          <w:sz w:val="24"/>
          <w:szCs w:val="24"/>
        </w:rPr>
        <w:t>010</w:t>
      </w:r>
      <w:r>
        <w:rPr>
          <w:rFonts w:ascii="Times New Roman" w:hAnsi="Times New Roman" w:cs="Times New Roman" w:hint="eastAsia"/>
          <w:sz w:val="24"/>
          <w:szCs w:val="24"/>
        </w:rPr>
        <w:t>）</w:t>
      </w:r>
      <w:r>
        <w:rPr>
          <w:rFonts w:ascii="Times New Roman" w:hAnsi="Times New Roman" w:cs="Times New Roman" w:hint="eastAsia"/>
          <w:sz w:val="24"/>
          <w:szCs w:val="24"/>
        </w:rPr>
        <w:t>85085000</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传真：（</w:t>
      </w:r>
      <w:r>
        <w:rPr>
          <w:rFonts w:ascii="Times New Roman" w:hAnsi="Times New Roman" w:cs="Times New Roman" w:hint="eastAsia"/>
          <w:sz w:val="24"/>
          <w:szCs w:val="24"/>
        </w:rPr>
        <w:t>010</w:t>
      </w:r>
      <w:r>
        <w:rPr>
          <w:rFonts w:ascii="Times New Roman" w:hAnsi="Times New Roman" w:cs="Times New Roman" w:hint="eastAsia"/>
          <w:sz w:val="24"/>
          <w:szCs w:val="24"/>
        </w:rPr>
        <w:t>）</w:t>
      </w:r>
      <w:r>
        <w:rPr>
          <w:rFonts w:ascii="Times New Roman" w:hAnsi="Times New Roman" w:cs="Times New Roman" w:hint="eastAsia"/>
          <w:sz w:val="24"/>
          <w:szCs w:val="24"/>
        </w:rPr>
        <w:t>85185111</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联系人：钱茹雯</w:t>
      </w:r>
    </w:p>
    <w:p w:rsidR="00CF09D4" w:rsidRDefault="009A3F8A">
      <w:pPr>
        <w:widowControl/>
        <w:snapToGrid w:val="0"/>
        <w:spacing w:line="360" w:lineRule="auto"/>
        <w:ind w:firstLineChars="176" w:firstLine="422"/>
        <w:jc w:val="left"/>
        <w:rPr>
          <w:rFonts w:ascii="Times New Roman" w:hAnsi="Times New Roman" w:cs="Times New Roman"/>
          <w:sz w:val="24"/>
          <w:szCs w:val="24"/>
        </w:rPr>
      </w:pPr>
      <w:r>
        <w:rPr>
          <w:rFonts w:ascii="Times New Roman" w:hAnsi="Times New Roman" w:cs="Times New Roman" w:hint="eastAsia"/>
          <w:sz w:val="24"/>
          <w:szCs w:val="24"/>
        </w:rPr>
        <w:t>经办注册会计师：张楠</w:t>
      </w:r>
      <w:r>
        <w:rPr>
          <w:rFonts w:ascii="Times New Roman" w:hAnsi="Times New Roman" w:cs="Times New Roman" w:hint="eastAsia"/>
          <w:sz w:val="24"/>
          <w:szCs w:val="24"/>
        </w:rPr>
        <w:t xml:space="preserve"> </w:t>
      </w:r>
      <w:r>
        <w:rPr>
          <w:rFonts w:ascii="Times New Roman" w:hAnsi="Times New Roman" w:cs="Times New Roman" w:hint="eastAsia"/>
          <w:sz w:val="24"/>
          <w:szCs w:val="24"/>
        </w:rPr>
        <w:t>钱茹雯</w:t>
      </w:r>
      <w:r>
        <w:rPr>
          <w:rFonts w:ascii="Times New Roman" w:hAnsi="Times New Roman" w:cs="Times New Roman"/>
          <w:sz w:val="24"/>
          <w:szCs w:val="24"/>
        </w:rPr>
        <w:t> </w:t>
      </w:r>
    </w:p>
    <w:p w:rsidR="00CF09D4" w:rsidRDefault="009A3F8A">
      <w:pPr>
        <w:pStyle w:val="Heading1"/>
        <w:spacing w:before="120" w:after="120" w:line="360" w:lineRule="auto"/>
        <w:ind w:firstLineChars="200" w:firstLine="482"/>
        <w:rPr>
          <w:rFonts w:ascii="Times New Roman" w:hAnsi="Times New Roman" w:cs="Times New Roman"/>
          <w:sz w:val="24"/>
          <w:szCs w:val="24"/>
        </w:rPr>
      </w:pPr>
      <w:r>
        <w:rPr>
          <w:rFonts w:ascii="Times New Roman" w:hAnsi="Times New Roman" w:cs="Times New Roman" w:hint="eastAsia"/>
          <w:sz w:val="24"/>
          <w:szCs w:val="24"/>
        </w:rPr>
        <w:t>九、发售费用</w:t>
      </w:r>
    </w:p>
    <w:p w:rsidR="00CF09D4" w:rsidRDefault="009A3F8A">
      <w:pPr>
        <w:widowControl/>
        <w:snapToGrid w:val="0"/>
        <w:spacing w:line="360" w:lineRule="auto"/>
        <w:ind w:firstLineChars="176" w:firstLine="422"/>
        <w:jc w:val="left"/>
        <w:rPr>
          <w:rFonts w:ascii="宋体" w:cs="Times New Roman"/>
          <w:sz w:val="24"/>
          <w:szCs w:val="24"/>
        </w:rPr>
      </w:pPr>
      <w:r>
        <w:rPr>
          <w:rFonts w:ascii="宋体" w:cs="Times New Roman" w:hint="eastAsia"/>
          <w:sz w:val="24"/>
          <w:szCs w:val="24"/>
        </w:rPr>
        <w:t>本次基金发售过程中发生的与基金销售有关法定信息披露费用、会计师费、律师费等发行费用由基金管理人承担，不从基金财产中支付。</w:t>
      </w:r>
    </w:p>
    <w:p w:rsidR="00CF09D4" w:rsidRDefault="00CF09D4">
      <w:pPr>
        <w:widowControl/>
        <w:snapToGrid w:val="0"/>
        <w:spacing w:line="360" w:lineRule="auto"/>
        <w:ind w:firstLineChars="176" w:firstLine="422"/>
        <w:jc w:val="left"/>
        <w:rPr>
          <w:rFonts w:ascii="Times New Roman" w:hAnsi="Times New Roman" w:cs="Times New Roman"/>
          <w:sz w:val="24"/>
          <w:szCs w:val="24"/>
        </w:rPr>
      </w:pPr>
    </w:p>
    <w:p w:rsidR="00CF09D4" w:rsidRDefault="00CF09D4">
      <w:pPr>
        <w:widowControl/>
        <w:snapToGrid w:val="0"/>
        <w:spacing w:line="360" w:lineRule="auto"/>
        <w:ind w:firstLineChars="176" w:firstLine="422"/>
        <w:jc w:val="right"/>
        <w:rPr>
          <w:rFonts w:ascii="Times New Roman" w:hAnsi="Times New Roman" w:cs="Times New Roman"/>
          <w:sz w:val="24"/>
          <w:szCs w:val="24"/>
        </w:rPr>
      </w:pPr>
    </w:p>
    <w:p w:rsidR="00CF09D4" w:rsidRDefault="00CF09D4">
      <w:pPr>
        <w:widowControl/>
        <w:snapToGrid w:val="0"/>
        <w:spacing w:line="360" w:lineRule="auto"/>
        <w:ind w:firstLineChars="176" w:firstLine="422"/>
        <w:jc w:val="right"/>
        <w:rPr>
          <w:rFonts w:ascii="Times New Roman" w:hAnsi="Times New Roman" w:cs="Times New Roman"/>
          <w:sz w:val="24"/>
          <w:szCs w:val="24"/>
        </w:rPr>
      </w:pPr>
    </w:p>
    <w:p w:rsidR="00CF09D4" w:rsidRDefault="009A3F8A">
      <w:pPr>
        <w:widowControl/>
        <w:snapToGrid w:val="0"/>
        <w:spacing w:line="360" w:lineRule="auto"/>
        <w:ind w:firstLineChars="176" w:firstLine="422"/>
        <w:jc w:val="right"/>
        <w:rPr>
          <w:rFonts w:ascii="Times New Roman" w:hAnsi="Times New Roman" w:cs="Times New Roman"/>
          <w:sz w:val="24"/>
          <w:szCs w:val="24"/>
        </w:rPr>
      </w:pPr>
      <w:r>
        <w:rPr>
          <w:rFonts w:ascii="Times New Roman" w:hAnsi="Times New Roman" w:cs="Times New Roman" w:hint="eastAsia"/>
          <w:sz w:val="24"/>
          <w:szCs w:val="24"/>
        </w:rPr>
        <w:t>华泰证券（上海）资产管理有限公司</w:t>
      </w:r>
    </w:p>
    <w:p w:rsidR="00CF09D4" w:rsidRDefault="009A3F8A">
      <w:pPr>
        <w:widowControl/>
        <w:snapToGrid w:val="0"/>
        <w:spacing w:line="360" w:lineRule="auto"/>
        <w:ind w:firstLineChars="176" w:firstLine="422"/>
        <w:jc w:val="right"/>
        <w:rPr>
          <w:rFonts w:ascii="Times New Roman" w:hAnsi="Times New Roman" w:cs="Times New Roman"/>
          <w:sz w:val="24"/>
          <w:szCs w:val="24"/>
        </w:rPr>
      </w:pPr>
      <w:r>
        <w:rPr>
          <w:rFonts w:ascii="Times New Roman" w:hAnsi="Times New Roman" w:cs="Times New Roman" w:hint="eastAsia"/>
          <w:sz w:val="24"/>
          <w:szCs w:val="24"/>
        </w:rPr>
        <w:t>20</w:t>
      </w:r>
      <w:r>
        <w:rPr>
          <w:rFonts w:ascii="Times New Roman" w:hAnsi="Times New Roman" w:cs="Times New Roman"/>
          <w:sz w:val="24"/>
          <w:szCs w:val="24"/>
        </w:rPr>
        <w:t>24</w:t>
      </w:r>
      <w:r>
        <w:rPr>
          <w:rFonts w:ascii="Times New Roman" w:hAnsi="Times New Roman" w:cs="Times New Roman" w:hint="eastAsia"/>
          <w:sz w:val="24"/>
          <w:szCs w:val="24"/>
        </w:rPr>
        <w:t>年</w:t>
      </w:r>
      <w:r>
        <w:rPr>
          <w:rFonts w:ascii="Times New Roman" w:hAnsi="Times New Roman" w:cs="Times New Roman"/>
          <w:sz w:val="24"/>
          <w:szCs w:val="24"/>
        </w:rPr>
        <w:t>11</w:t>
      </w:r>
      <w:r>
        <w:rPr>
          <w:rFonts w:ascii="Times New Roman" w:hAnsi="Times New Roman" w:cs="Times New Roman" w:hint="eastAsia"/>
          <w:sz w:val="24"/>
          <w:szCs w:val="24"/>
        </w:rPr>
        <w:t>月</w:t>
      </w:r>
    </w:p>
    <w:sectPr w:rsidR="00CF09D4" w:rsidSect="00CF09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9D4" w:rsidRDefault="009A3F8A">
      <w:r>
        <w:separator/>
      </w:r>
    </w:p>
  </w:endnote>
  <w:endnote w:type="continuationSeparator" w:id="0">
    <w:p w:rsidR="00CF09D4" w:rsidRDefault="009A3F8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五">
    <w:charset w:val="00"/>
    <w:family w:val="auto"/>
    <w:pitch w:val="default"/>
    <w:sig w:usb0="00000000" w:usb1="00000000" w:usb2="00000000" w:usb3="00000000" w:csb0="00000000" w:csb1="00000000"/>
  </w:font>
  <w:font w:name="等线">
    <w:charset w:val="00"/>
    <w:family w:val="auto"/>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9D4" w:rsidRDefault="009A3F8A">
      <w:r>
        <w:separator/>
      </w:r>
    </w:p>
  </w:footnote>
  <w:footnote w:type="continuationSeparator" w:id="0">
    <w:p w:rsidR="00CF09D4" w:rsidRDefault="009A3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7240"/>
    <w:multiLevelType w:val="hybridMultilevel"/>
    <w:tmpl w:val="A91C4AEA"/>
    <w:lvl w:ilvl="0" w:tplc="7426695A">
      <w:start w:val="2"/>
      <w:numFmt w:val="decimal"/>
      <w:suff w:val="nothing"/>
      <w:lvlText w:val="%1、"/>
      <w:lvlJc w:val="left"/>
      <w:pPr>
        <w:snapToGrid/>
      </w:pPr>
    </w:lvl>
    <w:lvl w:ilvl="1" w:tplc="0D8E4BAC">
      <w:start w:val="1"/>
      <w:numFmt w:val="bullet"/>
      <w:lvlText w:val="o"/>
      <w:lvlJc w:val="left"/>
      <w:pPr>
        <w:snapToGrid/>
        <w:ind w:left="840" w:hanging="420"/>
      </w:pPr>
      <w:rPr>
        <w:rFonts w:ascii="Courier New" w:eastAsia="Courier New" w:hAnsi="Courier New" w:cs="Courier New" w:hint="default"/>
      </w:rPr>
    </w:lvl>
    <w:lvl w:ilvl="2" w:tplc="70ACDE14">
      <w:start w:val="1"/>
      <w:numFmt w:val="bullet"/>
      <w:lvlText w:val="§"/>
      <w:lvlJc w:val="left"/>
      <w:pPr>
        <w:snapToGrid/>
        <w:ind w:left="1260" w:hanging="420"/>
      </w:pPr>
      <w:rPr>
        <w:rFonts w:ascii="Wingdings" w:eastAsia="Wingdings" w:hAnsi="Wingdings" w:cs="Wingdings" w:hint="default"/>
      </w:rPr>
    </w:lvl>
    <w:lvl w:ilvl="3" w:tplc="3A3676A6">
      <w:start w:val="1"/>
      <w:numFmt w:val="bullet"/>
      <w:lvlText w:val="·"/>
      <w:lvlJc w:val="left"/>
      <w:pPr>
        <w:snapToGrid/>
        <w:ind w:left="1680" w:hanging="420"/>
      </w:pPr>
      <w:rPr>
        <w:rFonts w:ascii="Symbol" w:eastAsia="Symbol" w:hAnsi="Symbol" w:cs="Symbol" w:hint="default"/>
      </w:rPr>
    </w:lvl>
    <w:lvl w:ilvl="4" w:tplc="4BD20840">
      <w:start w:val="1"/>
      <w:numFmt w:val="bullet"/>
      <w:lvlText w:val="o"/>
      <w:lvlJc w:val="left"/>
      <w:pPr>
        <w:snapToGrid/>
        <w:ind w:left="2100" w:hanging="420"/>
      </w:pPr>
      <w:rPr>
        <w:rFonts w:ascii="Courier New" w:eastAsia="Courier New" w:hAnsi="Courier New" w:cs="Courier New" w:hint="default"/>
      </w:rPr>
    </w:lvl>
    <w:lvl w:ilvl="5" w:tplc="FFEA4736">
      <w:start w:val="1"/>
      <w:numFmt w:val="bullet"/>
      <w:lvlText w:val="§"/>
      <w:lvlJc w:val="left"/>
      <w:pPr>
        <w:snapToGrid/>
        <w:ind w:left="2520" w:hanging="420"/>
      </w:pPr>
      <w:rPr>
        <w:rFonts w:ascii="Wingdings" w:eastAsia="Wingdings" w:hAnsi="Wingdings" w:cs="Wingdings" w:hint="default"/>
      </w:rPr>
    </w:lvl>
    <w:lvl w:ilvl="6" w:tplc="3EA008A2">
      <w:start w:val="1"/>
      <w:numFmt w:val="bullet"/>
      <w:lvlText w:val="·"/>
      <w:lvlJc w:val="left"/>
      <w:pPr>
        <w:snapToGrid/>
        <w:ind w:left="2940" w:hanging="420"/>
      </w:pPr>
      <w:rPr>
        <w:rFonts w:ascii="Symbol" w:eastAsia="Symbol" w:hAnsi="Symbol" w:cs="Symbol" w:hint="default"/>
      </w:rPr>
    </w:lvl>
    <w:lvl w:ilvl="7" w:tplc="9CF00D72">
      <w:start w:val="1"/>
      <w:numFmt w:val="bullet"/>
      <w:lvlText w:val="o"/>
      <w:lvlJc w:val="left"/>
      <w:pPr>
        <w:snapToGrid/>
        <w:ind w:left="3360" w:hanging="420"/>
      </w:pPr>
      <w:rPr>
        <w:rFonts w:ascii="Courier New" w:eastAsia="Courier New" w:hAnsi="Courier New" w:cs="Courier New" w:hint="default"/>
      </w:rPr>
    </w:lvl>
    <w:lvl w:ilvl="8" w:tplc="14682D78">
      <w:start w:val="1"/>
      <w:numFmt w:val="bullet"/>
      <w:lvlText w:val="§"/>
      <w:lvlJc w:val="left"/>
      <w:pPr>
        <w:snapToGrid/>
        <w:ind w:left="3780" w:hanging="420"/>
      </w:pPr>
      <w:rPr>
        <w:rFonts w:ascii="Wingdings" w:eastAsia="Wingdings" w:hAnsi="Wingdings" w:cs="Wingdings" w:hint="default"/>
      </w:rPr>
    </w:lvl>
  </w:abstractNum>
  <w:abstractNum w:abstractNumId="1">
    <w:nsid w:val="3DC01F8B"/>
    <w:multiLevelType w:val="hybridMultilevel"/>
    <w:tmpl w:val="82823326"/>
    <w:lvl w:ilvl="0" w:tplc="9ED6010E">
      <w:start w:val="1"/>
      <w:numFmt w:val="decimal"/>
      <w:lvlText w:val="%1、"/>
      <w:lvlJc w:val="left"/>
      <w:pPr>
        <w:snapToGrid/>
        <w:ind w:left="2766" w:hanging="360"/>
      </w:pPr>
      <w:rPr>
        <w:rFonts w:hint="default"/>
      </w:rPr>
    </w:lvl>
    <w:lvl w:ilvl="1" w:tplc="D3481CCE">
      <w:start w:val="1"/>
      <w:numFmt w:val="lowerLetter"/>
      <w:lvlText w:val="%2)"/>
      <w:lvlJc w:val="left"/>
      <w:pPr>
        <w:snapToGrid/>
        <w:ind w:left="1682" w:hanging="420"/>
      </w:pPr>
    </w:lvl>
    <w:lvl w:ilvl="2" w:tplc="6E0C1A64">
      <w:start w:val="1"/>
      <w:numFmt w:val="lowerRoman"/>
      <w:lvlText w:val="%3."/>
      <w:lvlJc w:val="right"/>
      <w:pPr>
        <w:snapToGrid/>
        <w:ind w:left="2102" w:hanging="420"/>
      </w:pPr>
    </w:lvl>
    <w:lvl w:ilvl="3" w:tplc="F718D6F6">
      <w:start w:val="1"/>
      <w:numFmt w:val="decimal"/>
      <w:lvlText w:val="%4."/>
      <w:lvlJc w:val="left"/>
      <w:pPr>
        <w:snapToGrid/>
        <w:ind w:left="2522" w:hanging="420"/>
      </w:pPr>
    </w:lvl>
    <w:lvl w:ilvl="4" w:tplc="1DE2BD24">
      <w:start w:val="1"/>
      <w:numFmt w:val="lowerLetter"/>
      <w:lvlText w:val="%5)"/>
      <w:lvlJc w:val="left"/>
      <w:pPr>
        <w:snapToGrid/>
        <w:ind w:left="2942" w:hanging="420"/>
      </w:pPr>
    </w:lvl>
    <w:lvl w:ilvl="5" w:tplc="B238A5C2">
      <w:start w:val="1"/>
      <w:numFmt w:val="lowerRoman"/>
      <w:lvlText w:val="%6."/>
      <w:lvlJc w:val="right"/>
      <w:pPr>
        <w:snapToGrid/>
        <w:ind w:left="3362" w:hanging="420"/>
      </w:pPr>
    </w:lvl>
    <w:lvl w:ilvl="6" w:tplc="A556528A">
      <w:start w:val="1"/>
      <w:numFmt w:val="decimal"/>
      <w:lvlText w:val="%7."/>
      <w:lvlJc w:val="left"/>
      <w:pPr>
        <w:snapToGrid/>
        <w:ind w:left="3782" w:hanging="420"/>
      </w:pPr>
    </w:lvl>
    <w:lvl w:ilvl="7" w:tplc="E4BA33A6">
      <w:start w:val="1"/>
      <w:numFmt w:val="lowerLetter"/>
      <w:lvlText w:val="%8)"/>
      <w:lvlJc w:val="left"/>
      <w:pPr>
        <w:snapToGrid/>
        <w:ind w:left="4202" w:hanging="420"/>
      </w:pPr>
    </w:lvl>
    <w:lvl w:ilvl="8" w:tplc="B1128022">
      <w:start w:val="1"/>
      <w:numFmt w:val="lowerRoman"/>
      <w:lvlText w:val="%9."/>
      <w:lvlJc w:val="right"/>
      <w:pPr>
        <w:snapToGrid/>
        <w:ind w:left="4622" w:hanging="420"/>
      </w:pPr>
    </w:lvl>
  </w:abstractNum>
  <w:abstractNum w:abstractNumId="2">
    <w:nsid w:val="56802C87"/>
    <w:multiLevelType w:val="hybridMultilevel"/>
    <w:tmpl w:val="EFCE65C2"/>
    <w:lvl w:ilvl="0" w:tplc="1FD8F23E">
      <w:start w:val="1"/>
      <w:numFmt w:val="chineseCountingThousand"/>
      <w:lvlText w:val="(%1)"/>
      <w:lvlJc w:val="left"/>
      <w:pPr>
        <w:snapToGrid/>
        <w:ind w:left="849" w:hanging="420"/>
      </w:pPr>
      <w:rPr>
        <w:rFonts w:ascii="宋体" w:eastAsia="宋体" w:hAnsi="Calibri"/>
      </w:rPr>
    </w:lvl>
    <w:lvl w:ilvl="1" w:tplc="D13EEAC4">
      <w:start w:val="1"/>
      <w:numFmt w:val="lowerLetter"/>
      <w:lvlText w:val="%2)"/>
      <w:lvlJc w:val="left"/>
      <w:pPr>
        <w:snapToGrid/>
        <w:ind w:left="1269" w:hanging="420"/>
      </w:pPr>
    </w:lvl>
    <w:lvl w:ilvl="2" w:tplc="25301FBE">
      <w:start w:val="1"/>
      <w:numFmt w:val="lowerRoman"/>
      <w:lvlText w:val="%3."/>
      <w:lvlJc w:val="right"/>
      <w:pPr>
        <w:snapToGrid/>
        <w:ind w:left="1689" w:hanging="420"/>
      </w:pPr>
    </w:lvl>
    <w:lvl w:ilvl="3" w:tplc="0BE22B24">
      <w:start w:val="1"/>
      <w:numFmt w:val="decimal"/>
      <w:lvlText w:val="%4."/>
      <w:lvlJc w:val="left"/>
      <w:pPr>
        <w:snapToGrid/>
        <w:ind w:left="2109" w:hanging="420"/>
      </w:pPr>
    </w:lvl>
    <w:lvl w:ilvl="4" w:tplc="8E0267A4">
      <w:start w:val="1"/>
      <w:numFmt w:val="lowerLetter"/>
      <w:lvlText w:val="%5)"/>
      <w:lvlJc w:val="left"/>
      <w:pPr>
        <w:snapToGrid/>
        <w:ind w:left="2529" w:hanging="420"/>
      </w:pPr>
    </w:lvl>
    <w:lvl w:ilvl="5" w:tplc="974492B0">
      <w:start w:val="1"/>
      <w:numFmt w:val="lowerRoman"/>
      <w:lvlText w:val="%6."/>
      <w:lvlJc w:val="right"/>
      <w:pPr>
        <w:snapToGrid/>
        <w:ind w:left="2949" w:hanging="420"/>
      </w:pPr>
    </w:lvl>
    <w:lvl w:ilvl="6" w:tplc="CCCA1446">
      <w:start w:val="1"/>
      <w:numFmt w:val="decimal"/>
      <w:lvlText w:val="%7."/>
      <w:lvlJc w:val="left"/>
      <w:pPr>
        <w:snapToGrid/>
        <w:ind w:left="3369" w:hanging="420"/>
      </w:pPr>
    </w:lvl>
    <w:lvl w:ilvl="7" w:tplc="054CB5E2">
      <w:start w:val="1"/>
      <w:numFmt w:val="lowerLetter"/>
      <w:lvlText w:val="%8)"/>
      <w:lvlJc w:val="left"/>
      <w:pPr>
        <w:snapToGrid/>
        <w:ind w:left="3789" w:hanging="420"/>
      </w:pPr>
    </w:lvl>
    <w:lvl w:ilvl="8" w:tplc="3C3C27A6">
      <w:start w:val="1"/>
      <w:numFmt w:val="lowerRoman"/>
      <w:lvlText w:val="%9."/>
      <w:lvlJc w:val="right"/>
      <w:pPr>
        <w:snapToGrid/>
        <w:ind w:left="4209" w:hanging="420"/>
      </w:pPr>
    </w:lvl>
  </w:abstractNum>
  <w:abstractNum w:abstractNumId="3">
    <w:nsid w:val="75F91994"/>
    <w:multiLevelType w:val="hybridMultilevel"/>
    <w:tmpl w:val="6CF0A106"/>
    <w:lvl w:ilvl="0" w:tplc="E3BC347C">
      <w:start w:val="1"/>
      <w:numFmt w:val="chineseCountingThousand"/>
      <w:lvlText w:val="(%1)"/>
      <w:lvlJc w:val="left"/>
      <w:pPr>
        <w:snapToGrid/>
        <w:ind w:left="6246" w:hanging="720"/>
      </w:pPr>
      <w:rPr>
        <w:rFonts w:ascii="宋体" w:eastAsia="宋体" w:hAnsi="Calibri" w:hint="default"/>
      </w:rPr>
    </w:lvl>
    <w:lvl w:ilvl="1" w:tplc="F848A54C">
      <w:start w:val="1"/>
      <w:numFmt w:val="lowerLetter"/>
      <w:lvlText w:val="%2)"/>
      <w:lvlJc w:val="left"/>
      <w:pPr>
        <w:snapToGrid/>
        <w:ind w:left="6366" w:hanging="420"/>
      </w:pPr>
    </w:lvl>
    <w:lvl w:ilvl="2" w:tplc="E2C42B16">
      <w:start w:val="1"/>
      <w:numFmt w:val="lowerRoman"/>
      <w:lvlText w:val="%3."/>
      <w:lvlJc w:val="right"/>
      <w:pPr>
        <w:snapToGrid/>
        <w:ind w:left="6786" w:hanging="420"/>
      </w:pPr>
    </w:lvl>
    <w:lvl w:ilvl="3" w:tplc="51D01948">
      <w:start w:val="1"/>
      <w:numFmt w:val="decimal"/>
      <w:lvlText w:val="%4."/>
      <w:lvlJc w:val="left"/>
      <w:pPr>
        <w:snapToGrid/>
        <w:ind w:left="7206" w:hanging="420"/>
      </w:pPr>
    </w:lvl>
    <w:lvl w:ilvl="4" w:tplc="45649D78">
      <w:start w:val="1"/>
      <w:numFmt w:val="lowerLetter"/>
      <w:lvlText w:val="%5)"/>
      <w:lvlJc w:val="left"/>
      <w:pPr>
        <w:snapToGrid/>
        <w:ind w:left="7626" w:hanging="420"/>
      </w:pPr>
    </w:lvl>
    <w:lvl w:ilvl="5" w:tplc="AC3E633A">
      <w:start w:val="1"/>
      <w:numFmt w:val="lowerRoman"/>
      <w:lvlText w:val="%6."/>
      <w:lvlJc w:val="right"/>
      <w:pPr>
        <w:snapToGrid/>
        <w:ind w:left="8046" w:hanging="420"/>
      </w:pPr>
    </w:lvl>
    <w:lvl w:ilvl="6" w:tplc="395E5C86">
      <w:start w:val="1"/>
      <w:numFmt w:val="decimal"/>
      <w:lvlText w:val="%7."/>
      <w:lvlJc w:val="left"/>
      <w:pPr>
        <w:snapToGrid/>
        <w:ind w:left="8466" w:hanging="420"/>
      </w:pPr>
    </w:lvl>
    <w:lvl w:ilvl="7" w:tplc="17EC1524">
      <w:start w:val="1"/>
      <w:numFmt w:val="lowerLetter"/>
      <w:lvlText w:val="%8)"/>
      <w:lvlJc w:val="left"/>
      <w:pPr>
        <w:snapToGrid/>
        <w:ind w:left="8886" w:hanging="420"/>
      </w:pPr>
    </w:lvl>
    <w:lvl w:ilvl="8" w:tplc="73D2E32C">
      <w:start w:val="1"/>
      <w:numFmt w:val="lowerRoman"/>
      <w:lvlText w:val="%9."/>
      <w:lvlJc w:val="right"/>
      <w:pPr>
        <w:snapToGrid/>
        <w:ind w:left="9306"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compressPunctuation"/>
  <w:footnotePr>
    <w:footnote w:id="-1"/>
    <w:footnote w:id="0"/>
  </w:footnotePr>
  <w:endnotePr>
    <w:endnote w:id="-1"/>
    <w:endnote w:id="0"/>
  </w:endnotePr>
  <w:compat>
    <w:balanceSingleByteDoubleByteWidth/>
    <w:ulTrailSpace/>
    <w:doNotExpandShiftReturn/>
    <w:useFELayout/>
  </w:compat>
  <w:rsids>
    <w:rsidRoot w:val="00CF09D4"/>
    <w:rsid w:val="009A3F8A"/>
    <w:rsid w:val="00CF09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9D4"/>
    <w:pPr>
      <w:widowControl w:val="0"/>
      <w:jc w:val="both"/>
    </w:pPr>
    <w:rPr>
      <w:rFonts w:ascii="Calibri" w:eastAsia="宋体" w:hAnsi="Calibri" w:cs="Calibr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CF09D4"/>
    <w:rPr>
      <w:rFonts w:ascii="Arial" w:eastAsia="Arial" w:hAnsi="Arial" w:cs="Arial"/>
      <w:sz w:val="40"/>
      <w:szCs w:val="40"/>
    </w:rPr>
  </w:style>
  <w:style w:type="character" w:customStyle="1" w:styleId="Heading2Char">
    <w:name w:val="Heading 2 Char"/>
    <w:basedOn w:val="a0"/>
    <w:link w:val="Heading2"/>
    <w:uiPriority w:val="9"/>
    <w:rsid w:val="00CF09D4"/>
    <w:rPr>
      <w:rFonts w:ascii="Arial" w:eastAsia="Arial" w:hAnsi="Arial" w:cs="Arial"/>
      <w:sz w:val="34"/>
    </w:rPr>
  </w:style>
  <w:style w:type="paragraph" w:customStyle="1" w:styleId="Heading3">
    <w:name w:val="Heading 3"/>
    <w:basedOn w:val="a"/>
    <w:next w:val="a"/>
    <w:link w:val="Heading3Char"/>
    <w:uiPriority w:val="9"/>
    <w:unhideWhenUsed/>
    <w:qFormat/>
    <w:rsid w:val="00CF09D4"/>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CF09D4"/>
    <w:rPr>
      <w:rFonts w:ascii="Arial" w:eastAsia="Arial" w:hAnsi="Arial" w:cs="Arial"/>
      <w:sz w:val="30"/>
      <w:szCs w:val="30"/>
    </w:rPr>
  </w:style>
  <w:style w:type="paragraph" w:customStyle="1" w:styleId="Heading4">
    <w:name w:val="Heading 4"/>
    <w:basedOn w:val="a"/>
    <w:next w:val="a"/>
    <w:link w:val="Heading4Char"/>
    <w:uiPriority w:val="9"/>
    <w:unhideWhenUsed/>
    <w:qFormat/>
    <w:rsid w:val="00CF09D4"/>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CF09D4"/>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F09D4"/>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CF09D4"/>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F09D4"/>
    <w:pPr>
      <w:keepNext/>
      <w:keepLines/>
      <w:spacing w:before="320" w:after="200"/>
      <w:outlineLvl w:val="5"/>
    </w:pPr>
    <w:rPr>
      <w:rFonts w:ascii="Arial" w:eastAsia="Arial" w:hAnsi="Arial" w:cs="Arial"/>
      <w:b/>
      <w:bCs/>
      <w:sz w:val="22"/>
    </w:rPr>
  </w:style>
  <w:style w:type="character" w:customStyle="1" w:styleId="Heading6Char">
    <w:name w:val="Heading 6 Char"/>
    <w:basedOn w:val="a0"/>
    <w:link w:val="Heading6"/>
    <w:uiPriority w:val="9"/>
    <w:rsid w:val="00CF09D4"/>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F09D4"/>
    <w:pPr>
      <w:keepNext/>
      <w:keepLines/>
      <w:spacing w:before="320" w:after="200"/>
      <w:outlineLvl w:val="6"/>
    </w:pPr>
    <w:rPr>
      <w:rFonts w:ascii="Arial" w:eastAsia="Arial" w:hAnsi="Arial" w:cs="Arial"/>
      <w:b/>
      <w:bCs/>
      <w:i/>
      <w:iCs/>
      <w:sz w:val="22"/>
    </w:rPr>
  </w:style>
  <w:style w:type="character" w:customStyle="1" w:styleId="Heading7Char">
    <w:name w:val="Heading 7 Char"/>
    <w:basedOn w:val="a0"/>
    <w:link w:val="Heading7"/>
    <w:uiPriority w:val="9"/>
    <w:rsid w:val="00CF09D4"/>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F09D4"/>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Heading8"/>
    <w:uiPriority w:val="9"/>
    <w:rsid w:val="00CF09D4"/>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F09D4"/>
    <w:pPr>
      <w:keepNext/>
      <w:keepLines/>
      <w:spacing w:before="320" w:after="200"/>
      <w:outlineLvl w:val="8"/>
    </w:pPr>
    <w:rPr>
      <w:rFonts w:ascii="Arial" w:eastAsia="Arial" w:hAnsi="Arial" w:cs="Arial"/>
      <w:i/>
      <w:iCs/>
      <w:szCs w:val="21"/>
    </w:rPr>
  </w:style>
  <w:style w:type="character" w:customStyle="1" w:styleId="Heading9Char">
    <w:name w:val="Heading 9 Char"/>
    <w:basedOn w:val="a0"/>
    <w:link w:val="Heading9"/>
    <w:uiPriority w:val="9"/>
    <w:rsid w:val="00CF09D4"/>
    <w:rPr>
      <w:rFonts w:ascii="Arial" w:eastAsia="Arial" w:hAnsi="Arial" w:cs="Arial"/>
      <w:i/>
      <w:iCs/>
      <w:sz w:val="21"/>
      <w:szCs w:val="21"/>
    </w:rPr>
  </w:style>
  <w:style w:type="paragraph" w:styleId="a3">
    <w:name w:val="No Spacing"/>
    <w:uiPriority w:val="1"/>
    <w:qFormat/>
    <w:rsid w:val="00CF09D4"/>
  </w:style>
  <w:style w:type="paragraph" w:styleId="a4">
    <w:name w:val="Title"/>
    <w:basedOn w:val="a"/>
    <w:next w:val="a"/>
    <w:link w:val="Char"/>
    <w:uiPriority w:val="10"/>
    <w:qFormat/>
    <w:rsid w:val="00CF09D4"/>
    <w:pPr>
      <w:spacing w:before="300" w:after="200"/>
      <w:contextualSpacing/>
    </w:pPr>
    <w:rPr>
      <w:sz w:val="48"/>
      <w:szCs w:val="48"/>
    </w:rPr>
  </w:style>
  <w:style w:type="character" w:customStyle="1" w:styleId="Char">
    <w:name w:val="标题 Char"/>
    <w:basedOn w:val="a0"/>
    <w:link w:val="a4"/>
    <w:uiPriority w:val="10"/>
    <w:rsid w:val="00CF09D4"/>
    <w:rPr>
      <w:sz w:val="48"/>
      <w:szCs w:val="48"/>
    </w:rPr>
  </w:style>
  <w:style w:type="paragraph" w:styleId="a5">
    <w:name w:val="Subtitle"/>
    <w:basedOn w:val="a"/>
    <w:next w:val="a"/>
    <w:link w:val="Char0"/>
    <w:uiPriority w:val="11"/>
    <w:qFormat/>
    <w:rsid w:val="00CF09D4"/>
    <w:pPr>
      <w:spacing w:before="200" w:after="200"/>
    </w:pPr>
    <w:rPr>
      <w:sz w:val="24"/>
      <w:szCs w:val="24"/>
    </w:rPr>
  </w:style>
  <w:style w:type="character" w:customStyle="1" w:styleId="Char0">
    <w:name w:val="副标题 Char"/>
    <w:basedOn w:val="a0"/>
    <w:link w:val="a5"/>
    <w:uiPriority w:val="11"/>
    <w:rsid w:val="00CF09D4"/>
    <w:rPr>
      <w:sz w:val="24"/>
      <w:szCs w:val="24"/>
    </w:rPr>
  </w:style>
  <w:style w:type="paragraph" w:styleId="a6">
    <w:name w:val="Quote"/>
    <w:basedOn w:val="a"/>
    <w:next w:val="a"/>
    <w:link w:val="Char1"/>
    <w:uiPriority w:val="29"/>
    <w:qFormat/>
    <w:rsid w:val="00CF09D4"/>
    <w:pPr>
      <w:ind w:left="720" w:right="720"/>
    </w:pPr>
    <w:rPr>
      <w:i/>
    </w:rPr>
  </w:style>
  <w:style w:type="character" w:customStyle="1" w:styleId="Char1">
    <w:name w:val="引用 Char"/>
    <w:link w:val="a6"/>
    <w:uiPriority w:val="29"/>
    <w:rsid w:val="00CF09D4"/>
    <w:rPr>
      <w:i/>
    </w:rPr>
  </w:style>
  <w:style w:type="paragraph" w:styleId="a7">
    <w:name w:val="Intense Quote"/>
    <w:basedOn w:val="a"/>
    <w:next w:val="a"/>
    <w:link w:val="Char2"/>
    <w:uiPriority w:val="30"/>
    <w:qFormat/>
    <w:rsid w:val="00CF09D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a7"/>
    <w:uiPriority w:val="30"/>
    <w:rsid w:val="00CF09D4"/>
    <w:rPr>
      <w:i/>
    </w:rPr>
  </w:style>
  <w:style w:type="character" w:customStyle="1" w:styleId="HeaderChar">
    <w:name w:val="Header Char"/>
    <w:basedOn w:val="a0"/>
    <w:link w:val="Header"/>
    <w:uiPriority w:val="99"/>
    <w:rsid w:val="00CF09D4"/>
  </w:style>
  <w:style w:type="character" w:customStyle="1" w:styleId="FooterChar">
    <w:name w:val="Footer Char"/>
    <w:basedOn w:val="a0"/>
    <w:link w:val="Footer"/>
    <w:uiPriority w:val="99"/>
    <w:rsid w:val="00CF09D4"/>
  </w:style>
  <w:style w:type="paragraph" w:customStyle="1" w:styleId="Caption">
    <w:name w:val="Caption"/>
    <w:basedOn w:val="a"/>
    <w:next w:val="a"/>
    <w:uiPriority w:val="35"/>
    <w:semiHidden/>
    <w:unhideWhenUsed/>
    <w:qFormat/>
    <w:rsid w:val="00CF09D4"/>
    <w:pPr>
      <w:spacing w:line="276" w:lineRule="auto"/>
    </w:pPr>
    <w:rPr>
      <w:b/>
      <w:bCs/>
      <w:color w:val="4F81BD" w:themeColor="accent1"/>
      <w:sz w:val="18"/>
      <w:szCs w:val="18"/>
    </w:rPr>
  </w:style>
  <w:style w:type="character" w:customStyle="1" w:styleId="CaptionChar">
    <w:name w:val="Caption Char"/>
    <w:link w:val="Footer"/>
    <w:uiPriority w:val="99"/>
    <w:rsid w:val="00CF09D4"/>
  </w:style>
  <w:style w:type="table" w:customStyle="1" w:styleId="TableGridLight">
    <w:name w:val="Table Grid Light"/>
    <w:basedOn w:val="a1"/>
    <w:uiPriority w:val="59"/>
    <w:rsid w:val="00CF09D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1">
    <w:name w:val="Plain Table 1"/>
    <w:basedOn w:val="a1"/>
    <w:uiPriority w:val="59"/>
    <w:rsid w:val="00CF09D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D"/>
      </w:tcPr>
    </w:tblStylePr>
    <w:tblStylePr w:type="band2Vert">
      <w:pPr>
        <w:snapToGrid/>
      </w:pPr>
    </w:tblStylePr>
    <w:tblStylePr w:type="band1Horz">
      <w:pPr>
        <w:snapToGrid/>
      </w:p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2">
    <w:name w:val="Plain Table 2"/>
    <w:basedOn w:val="a1"/>
    <w:uiPriority w:val="59"/>
    <w:rsid w:val="00CF09D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3">
    <w:name w:val="Plain Table 3"/>
    <w:basedOn w:val="a1"/>
    <w:uiPriority w:val="99"/>
    <w:rsid w:val="00CF09D4"/>
    <w:tblPr>
      <w:tblStyleRowBandSize w:val="1"/>
      <w:tblStyleColBandSize w:val="1"/>
      <w:tblInd w:w="0" w:type="dxa"/>
      <w:tblCellMar>
        <w:top w:w="0" w:type="dxa"/>
        <w:left w:w="108" w:type="dxa"/>
        <w:bottom w:w="0" w:type="dxa"/>
        <w:right w:w="108" w:type="dxa"/>
      </w:tblCellMar>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4">
    <w:name w:val="Plain Table 4"/>
    <w:basedOn w:val="a1"/>
    <w:uiPriority w:val="99"/>
    <w:rsid w:val="00CF09D4"/>
    <w:tblPr>
      <w:tblStyleRowBandSize w:val="1"/>
      <w:tblStyleColBandSize w:val="1"/>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5">
    <w:name w:val="Plain Table 5"/>
    <w:basedOn w:val="a1"/>
    <w:uiPriority w:val="99"/>
    <w:rsid w:val="00CF09D4"/>
    <w:tblPr>
      <w:tblStyleRowBandSize w:val="1"/>
      <w:tblStyleColBandSize w:val="1"/>
      <w:tblInd w:w="0" w:type="dxa"/>
      <w:tblCellMar>
        <w:top w:w="0" w:type="dxa"/>
        <w:left w:w="108" w:type="dxa"/>
        <w:bottom w:w="0" w:type="dxa"/>
        <w:right w:w="108" w:type="dxa"/>
      </w:tblCellMar>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
    <w:name w:val="Grid Table 1 Light"/>
    <w:basedOn w:val="a1"/>
    <w:uiPriority w:val="99"/>
    <w:rsid w:val="00CF09D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rsid w:val="00CF09D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rsid w:val="00CF09D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rsid w:val="00CF09D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rsid w:val="00CF09D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rsid w:val="00CF09D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rsid w:val="00CF09D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
    <w:name w:val="Grid Table 2"/>
    <w:basedOn w:val="a1"/>
    <w:uiPriority w:val="99"/>
    <w:rsid w:val="00CF09D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rsid w:val="00CF09D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rsid w:val="00CF09D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rsid w:val="00CF09D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rsid w:val="00CF09D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rsid w:val="00CF09D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rsid w:val="00CF09D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
    <w:name w:val="Grid Table 3"/>
    <w:basedOn w:val="a1"/>
    <w:uiPriority w:val="99"/>
    <w:rsid w:val="00CF09D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rsid w:val="00CF09D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rsid w:val="00CF09D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rsid w:val="00CF09D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rsid w:val="00CF09D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rsid w:val="00CF09D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rsid w:val="00CF09D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
    <w:name w:val="Grid Table 4"/>
    <w:basedOn w:val="a1"/>
    <w:uiPriority w:val="59"/>
    <w:rsid w:val="00CF09D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rsid w:val="00CF09D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rsid w:val="00CF09D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rsid w:val="00CF09D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rsid w:val="00CF09D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rsid w:val="00CF09D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rsid w:val="00CF09D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
    <w:name w:val="Grid Table 5 Dark"/>
    <w:basedOn w:val="a1"/>
    <w:uiPriority w:val="99"/>
    <w:rsid w:val="00CF09D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rsid w:val="00CF09D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rsid w:val="00CF09D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rsid w:val="00CF09D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rsid w:val="00CF09D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rsid w:val="00CF09D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rsid w:val="00CF09D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
    <w:name w:val="Grid Table 6 Colorful"/>
    <w:basedOn w:val="a1"/>
    <w:uiPriority w:val="99"/>
    <w:rsid w:val="00CF09D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rsid w:val="00CF09D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rsid w:val="00CF09D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rsid w:val="00CF09D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rsid w:val="00CF09D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rsid w:val="00CF09D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rsid w:val="00CF09D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
    <w:name w:val="Grid Table 7 Colorful"/>
    <w:basedOn w:val="a1"/>
    <w:uiPriority w:val="99"/>
    <w:rsid w:val="00CF09D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rsid w:val="00CF09D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rsid w:val="00CF09D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rsid w:val="00CF09D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rsid w:val="00CF09D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CF09D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CF09D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FFFFFF"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
    <w:name w:val="List Table 1 Light"/>
    <w:basedOn w:val="a1"/>
    <w:uiPriority w:val="99"/>
    <w:rsid w:val="00CF09D4"/>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rsid w:val="00CF09D4"/>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rsid w:val="00CF09D4"/>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rsid w:val="00CF09D4"/>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rsid w:val="00CF09D4"/>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rsid w:val="00CF09D4"/>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rsid w:val="00CF09D4"/>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
    <w:name w:val="List Table 2"/>
    <w:basedOn w:val="a1"/>
    <w:uiPriority w:val="99"/>
    <w:rsid w:val="00CF09D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rsid w:val="00CF09D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CF09D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rsid w:val="00CF09D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rsid w:val="00CF09D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rsid w:val="00CF09D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rsid w:val="00CF09D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
    <w:name w:val="List Table 3"/>
    <w:basedOn w:val="a1"/>
    <w:uiPriority w:val="99"/>
    <w:rsid w:val="00CF09D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rsid w:val="00CF09D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rsid w:val="00CF09D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rsid w:val="00CF09D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rsid w:val="00CF09D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CF09D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rsid w:val="00CF09D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
    <w:name w:val="List Table 4"/>
    <w:basedOn w:val="a1"/>
    <w:uiPriority w:val="99"/>
    <w:rsid w:val="00CF09D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rsid w:val="00CF09D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rsid w:val="00CF09D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rsid w:val="00CF09D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rsid w:val="00CF09D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rsid w:val="00CF09D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rsid w:val="00CF09D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
    <w:name w:val="List Table 5 Dark"/>
    <w:basedOn w:val="a1"/>
    <w:uiPriority w:val="99"/>
    <w:rsid w:val="00CF09D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rsid w:val="00CF09D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CF09D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rsid w:val="00CF09D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rsid w:val="00CF09D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rsid w:val="00CF09D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rsid w:val="00CF09D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
    <w:name w:val="List Table 6 Colorful"/>
    <w:basedOn w:val="a1"/>
    <w:uiPriority w:val="99"/>
    <w:rsid w:val="00CF09D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rsid w:val="00CF09D4"/>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rsid w:val="00CF09D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rsid w:val="00CF09D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rsid w:val="00CF09D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rsid w:val="00CF09D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rsid w:val="00CF09D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
    <w:name w:val="List Table 7 Colorful"/>
    <w:basedOn w:val="a1"/>
    <w:uiPriority w:val="99"/>
    <w:rsid w:val="00CF09D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rsid w:val="00CF09D4"/>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rsid w:val="00CF09D4"/>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rsid w:val="00CF09D4"/>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rsid w:val="00CF09D4"/>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rsid w:val="00CF09D4"/>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rsid w:val="00CF09D4"/>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sid w:val="00CF09D4"/>
    <w:rPr>
      <w:color w:val="404040"/>
      <w:sz w:val="20"/>
      <w:szCs w:val="20"/>
      <w:lang w:eastAsia="zh-CN"/>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sid w:val="00CF09D4"/>
    <w:rPr>
      <w:color w:val="404040"/>
      <w:sz w:val="20"/>
      <w:szCs w:val="20"/>
      <w:lang w:eastAsia="zh-CN"/>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sid w:val="00CF09D4"/>
    <w:rPr>
      <w:color w:val="404040"/>
      <w:sz w:val="20"/>
      <w:szCs w:val="20"/>
      <w:lang w:eastAsia="zh-CN"/>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sid w:val="00CF09D4"/>
    <w:rPr>
      <w:color w:val="404040"/>
      <w:sz w:val="20"/>
      <w:szCs w:val="20"/>
      <w:lang w:eastAsia="zh-CN"/>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sid w:val="00CF09D4"/>
    <w:rPr>
      <w:color w:val="404040"/>
      <w:sz w:val="20"/>
      <w:szCs w:val="20"/>
      <w:lang w:eastAsia="zh-CN"/>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sid w:val="00CF09D4"/>
    <w:rPr>
      <w:color w:val="404040"/>
      <w:sz w:val="20"/>
      <w:szCs w:val="20"/>
      <w:lang w:eastAsia="zh-CN"/>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sid w:val="00CF09D4"/>
    <w:rPr>
      <w:color w:val="404040"/>
      <w:sz w:val="20"/>
      <w:szCs w:val="20"/>
      <w:lang w:eastAsia="zh-CN"/>
    </w:rPr>
    <w:tblPr>
      <w:tblStyleRowBandSize w:val="1"/>
      <w:tblStyleColBandSize w:val="1"/>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sid w:val="00CF09D4"/>
    <w:rPr>
      <w:color w:val="404040"/>
      <w:sz w:val="20"/>
      <w:szCs w:val="20"/>
      <w:lang w:eastAsia="zh-CN"/>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sid w:val="00CF09D4"/>
    <w:rPr>
      <w:color w:val="404040"/>
      <w:sz w:val="20"/>
      <w:szCs w:val="20"/>
      <w:lang w:eastAsia="zh-CN"/>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sid w:val="00CF09D4"/>
    <w:rPr>
      <w:color w:val="404040"/>
      <w:sz w:val="20"/>
      <w:szCs w:val="20"/>
      <w:lang w:eastAsia="zh-CN"/>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sid w:val="00CF09D4"/>
    <w:rPr>
      <w:color w:val="404040"/>
      <w:sz w:val="20"/>
      <w:szCs w:val="20"/>
      <w:lang w:eastAsia="zh-CN"/>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sid w:val="00CF09D4"/>
    <w:rPr>
      <w:color w:val="404040"/>
      <w:sz w:val="20"/>
      <w:szCs w:val="20"/>
      <w:lang w:eastAsia="zh-CN"/>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sid w:val="00CF09D4"/>
    <w:rPr>
      <w:color w:val="404040"/>
      <w:sz w:val="20"/>
      <w:szCs w:val="20"/>
      <w:lang w:eastAsia="zh-CN"/>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sid w:val="00CF09D4"/>
    <w:rPr>
      <w:color w:val="404040"/>
      <w:sz w:val="20"/>
      <w:szCs w:val="20"/>
      <w:lang w:eastAsia="zh-CN"/>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rsid w:val="00CF09D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rsid w:val="00CF09D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rsid w:val="00CF09D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rsid w:val="00CF09D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rsid w:val="00CF09D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rsid w:val="00CF09D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rsid w:val="00CF09D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8">
    <w:name w:val="footnote text"/>
    <w:basedOn w:val="a"/>
    <w:link w:val="Char3"/>
    <w:uiPriority w:val="99"/>
    <w:semiHidden/>
    <w:unhideWhenUsed/>
    <w:rsid w:val="00CF09D4"/>
    <w:pPr>
      <w:spacing w:after="40"/>
    </w:pPr>
    <w:rPr>
      <w:sz w:val="18"/>
    </w:rPr>
  </w:style>
  <w:style w:type="character" w:customStyle="1" w:styleId="Char3">
    <w:name w:val="脚注文本 Char"/>
    <w:link w:val="a8"/>
    <w:uiPriority w:val="99"/>
    <w:rsid w:val="00CF09D4"/>
    <w:rPr>
      <w:sz w:val="18"/>
    </w:rPr>
  </w:style>
  <w:style w:type="character" w:styleId="a9">
    <w:name w:val="footnote reference"/>
    <w:basedOn w:val="a0"/>
    <w:uiPriority w:val="99"/>
    <w:unhideWhenUsed/>
    <w:rsid w:val="00CF09D4"/>
    <w:rPr>
      <w:vertAlign w:val="superscript"/>
    </w:rPr>
  </w:style>
  <w:style w:type="paragraph" w:styleId="aa">
    <w:name w:val="endnote text"/>
    <w:basedOn w:val="a"/>
    <w:link w:val="Char4"/>
    <w:uiPriority w:val="99"/>
    <w:semiHidden/>
    <w:unhideWhenUsed/>
    <w:rsid w:val="00CF09D4"/>
    <w:rPr>
      <w:sz w:val="20"/>
    </w:rPr>
  </w:style>
  <w:style w:type="character" w:customStyle="1" w:styleId="Char4">
    <w:name w:val="尾注文本 Char"/>
    <w:link w:val="aa"/>
    <w:uiPriority w:val="99"/>
    <w:rsid w:val="00CF09D4"/>
    <w:rPr>
      <w:sz w:val="20"/>
    </w:rPr>
  </w:style>
  <w:style w:type="character" w:styleId="ab">
    <w:name w:val="endnote reference"/>
    <w:basedOn w:val="a0"/>
    <w:uiPriority w:val="99"/>
    <w:semiHidden/>
    <w:unhideWhenUsed/>
    <w:rsid w:val="00CF09D4"/>
    <w:rPr>
      <w:vertAlign w:val="superscript"/>
    </w:rPr>
  </w:style>
  <w:style w:type="paragraph" w:styleId="1">
    <w:name w:val="toc 1"/>
    <w:basedOn w:val="a"/>
    <w:next w:val="a"/>
    <w:uiPriority w:val="39"/>
    <w:unhideWhenUsed/>
    <w:rsid w:val="00CF09D4"/>
    <w:pPr>
      <w:spacing w:after="57"/>
    </w:pPr>
  </w:style>
  <w:style w:type="paragraph" w:styleId="2">
    <w:name w:val="toc 2"/>
    <w:basedOn w:val="a"/>
    <w:next w:val="a"/>
    <w:uiPriority w:val="39"/>
    <w:unhideWhenUsed/>
    <w:rsid w:val="00CF09D4"/>
    <w:pPr>
      <w:spacing w:after="57"/>
      <w:ind w:left="283"/>
    </w:pPr>
  </w:style>
  <w:style w:type="paragraph" w:styleId="3">
    <w:name w:val="toc 3"/>
    <w:basedOn w:val="a"/>
    <w:next w:val="a"/>
    <w:uiPriority w:val="39"/>
    <w:unhideWhenUsed/>
    <w:rsid w:val="00CF09D4"/>
    <w:pPr>
      <w:spacing w:after="57"/>
      <w:ind w:left="567"/>
    </w:pPr>
  </w:style>
  <w:style w:type="paragraph" w:styleId="4">
    <w:name w:val="toc 4"/>
    <w:basedOn w:val="a"/>
    <w:next w:val="a"/>
    <w:uiPriority w:val="39"/>
    <w:unhideWhenUsed/>
    <w:rsid w:val="00CF09D4"/>
    <w:pPr>
      <w:spacing w:after="57"/>
      <w:ind w:left="850"/>
    </w:pPr>
  </w:style>
  <w:style w:type="paragraph" w:styleId="5">
    <w:name w:val="toc 5"/>
    <w:basedOn w:val="a"/>
    <w:next w:val="a"/>
    <w:uiPriority w:val="39"/>
    <w:unhideWhenUsed/>
    <w:rsid w:val="00CF09D4"/>
    <w:pPr>
      <w:spacing w:after="57"/>
      <w:ind w:left="1134"/>
    </w:pPr>
  </w:style>
  <w:style w:type="paragraph" w:styleId="6">
    <w:name w:val="toc 6"/>
    <w:basedOn w:val="a"/>
    <w:next w:val="a"/>
    <w:uiPriority w:val="39"/>
    <w:unhideWhenUsed/>
    <w:rsid w:val="00CF09D4"/>
    <w:pPr>
      <w:spacing w:after="57"/>
      <w:ind w:left="1417"/>
    </w:pPr>
  </w:style>
  <w:style w:type="paragraph" w:styleId="7">
    <w:name w:val="toc 7"/>
    <w:basedOn w:val="a"/>
    <w:next w:val="a"/>
    <w:uiPriority w:val="39"/>
    <w:unhideWhenUsed/>
    <w:rsid w:val="00CF09D4"/>
    <w:pPr>
      <w:spacing w:after="57"/>
      <w:ind w:left="1701"/>
    </w:pPr>
  </w:style>
  <w:style w:type="paragraph" w:styleId="8">
    <w:name w:val="toc 8"/>
    <w:basedOn w:val="a"/>
    <w:next w:val="a"/>
    <w:uiPriority w:val="39"/>
    <w:unhideWhenUsed/>
    <w:rsid w:val="00CF09D4"/>
    <w:pPr>
      <w:spacing w:after="57"/>
      <w:ind w:left="1984"/>
    </w:pPr>
  </w:style>
  <w:style w:type="paragraph" w:styleId="9">
    <w:name w:val="toc 9"/>
    <w:basedOn w:val="a"/>
    <w:next w:val="a"/>
    <w:uiPriority w:val="39"/>
    <w:unhideWhenUsed/>
    <w:rsid w:val="00CF09D4"/>
    <w:pPr>
      <w:spacing w:after="57"/>
      <w:ind w:left="2268"/>
    </w:pPr>
  </w:style>
  <w:style w:type="paragraph" w:styleId="TOC">
    <w:name w:val="TOC Heading"/>
    <w:uiPriority w:val="39"/>
    <w:unhideWhenUsed/>
    <w:rsid w:val="00CF09D4"/>
  </w:style>
  <w:style w:type="paragraph" w:styleId="ac">
    <w:name w:val="table of figures"/>
    <w:basedOn w:val="a"/>
    <w:next w:val="a"/>
    <w:uiPriority w:val="99"/>
    <w:unhideWhenUsed/>
    <w:rsid w:val="00CF09D4"/>
  </w:style>
  <w:style w:type="paragraph" w:customStyle="1" w:styleId="Heading1">
    <w:name w:val="Heading 1"/>
    <w:basedOn w:val="a"/>
    <w:next w:val="a"/>
    <w:link w:val="10"/>
    <w:uiPriority w:val="9"/>
    <w:qFormat/>
    <w:rsid w:val="00CF09D4"/>
    <w:pPr>
      <w:keepNext/>
      <w:keepLines/>
      <w:spacing w:before="340" w:after="330" w:line="578" w:lineRule="auto"/>
      <w:outlineLvl w:val="0"/>
    </w:pPr>
    <w:rPr>
      <w:b/>
      <w:bCs/>
      <w:sz w:val="44"/>
      <w:szCs w:val="44"/>
    </w:rPr>
  </w:style>
  <w:style w:type="paragraph" w:customStyle="1" w:styleId="Heading2">
    <w:name w:val="Heading 2"/>
    <w:basedOn w:val="a"/>
    <w:next w:val="a"/>
    <w:link w:val="20"/>
    <w:uiPriority w:val="9"/>
    <w:unhideWhenUsed/>
    <w:qFormat/>
    <w:rsid w:val="00CF09D4"/>
    <w:pPr>
      <w:keepNext/>
      <w:keepLines/>
      <w:spacing w:before="260" w:after="260" w:line="416" w:lineRule="auto"/>
      <w:outlineLvl w:val="1"/>
    </w:pPr>
    <w:rPr>
      <w:rFonts w:ascii="Cambria" w:hAnsi="Cambria" w:cs="Cambria"/>
      <w:b/>
      <w:bCs/>
      <w:sz w:val="32"/>
      <w:szCs w:val="32"/>
    </w:rPr>
  </w:style>
  <w:style w:type="paragraph" w:styleId="ad">
    <w:name w:val="Normal Indent"/>
    <w:basedOn w:val="a"/>
    <w:qFormat/>
    <w:rsid w:val="00CF09D4"/>
    <w:pPr>
      <w:ind w:firstLine="420"/>
    </w:pPr>
    <w:rPr>
      <w:rFonts w:ascii="Times New Roman" w:hAnsi="Times New Roman" w:cs="Times New Roman"/>
      <w:szCs w:val="20"/>
    </w:rPr>
  </w:style>
  <w:style w:type="paragraph" w:styleId="ae">
    <w:name w:val="annotation text"/>
    <w:basedOn w:val="a"/>
    <w:link w:val="Char5"/>
    <w:uiPriority w:val="99"/>
    <w:semiHidden/>
    <w:unhideWhenUsed/>
    <w:qFormat/>
    <w:rsid w:val="00CF09D4"/>
    <w:pPr>
      <w:jc w:val="left"/>
    </w:pPr>
  </w:style>
  <w:style w:type="paragraph" w:styleId="af">
    <w:name w:val="Balloon Text"/>
    <w:basedOn w:val="a"/>
    <w:link w:val="Char6"/>
    <w:uiPriority w:val="99"/>
    <w:semiHidden/>
    <w:unhideWhenUsed/>
    <w:qFormat/>
    <w:rsid w:val="00CF09D4"/>
    <w:rPr>
      <w:sz w:val="18"/>
      <w:szCs w:val="18"/>
    </w:rPr>
  </w:style>
  <w:style w:type="paragraph" w:customStyle="1" w:styleId="Footer">
    <w:name w:val="Footer"/>
    <w:basedOn w:val="a"/>
    <w:link w:val="af0"/>
    <w:uiPriority w:val="99"/>
    <w:unhideWhenUsed/>
    <w:qFormat/>
    <w:rsid w:val="00CF09D4"/>
    <w:pPr>
      <w:tabs>
        <w:tab w:val="center" w:pos="4153"/>
        <w:tab w:val="right" w:pos="8306"/>
      </w:tabs>
      <w:snapToGrid w:val="0"/>
      <w:jc w:val="left"/>
    </w:pPr>
    <w:rPr>
      <w:sz w:val="18"/>
      <w:szCs w:val="18"/>
    </w:rPr>
  </w:style>
  <w:style w:type="paragraph" w:customStyle="1" w:styleId="Header">
    <w:name w:val="Header"/>
    <w:basedOn w:val="a"/>
    <w:link w:val="af1"/>
    <w:uiPriority w:val="99"/>
    <w:unhideWhenUsed/>
    <w:qFormat/>
    <w:rsid w:val="00CF09D4"/>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
    <w:qFormat/>
    <w:rsid w:val="00CF09D4"/>
    <w:pPr>
      <w:spacing w:line="360" w:lineRule="auto"/>
      <w:ind w:firstLine="425"/>
    </w:pPr>
    <w:rPr>
      <w:rFonts w:ascii="宋体" w:hAnsi="Times New Roman" w:cs="Times New Roman"/>
      <w:szCs w:val="24"/>
    </w:rPr>
  </w:style>
  <w:style w:type="paragraph" w:styleId="HTML">
    <w:name w:val="HTML Preformatted"/>
    <w:basedOn w:val="a"/>
    <w:link w:val="HTMLChar"/>
    <w:uiPriority w:val="99"/>
    <w:unhideWhenUsed/>
    <w:qFormat/>
    <w:rsid w:val="00CF09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f2">
    <w:name w:val="Normal (Web)"/>
    <w:basedOn w:val="a"/>
    <w:uiPriority w:val="99"/>
    <w:unhideWhenUsed/>
    <w:qFormat/>
    <w:rsid w:val="00CF09D4"/>
    <w:pPr>
      <w:widowControl/>
      <w:spacing w:before="100" w:beforeAutospacing="1" w:after="100" w:afterAutospacing="1"/>
      <w:jc w:val="left"/>
    </w:pPr>
    <w:rPr>
      <w:rFonts w:ascii="宋体" w:hAnsi="宋体" w:cs="宋体"/>
      <w:sz w:val="24"/>
      <w:szCs w:val="24"/>
    </w:rPr>
  </w:style>
  <w:style w:type="paragraph" w:styleId="af3">
    <w:name w:val="annotation subject"/>
    <w:basedOn w:val="ae"/>
    <w:next w:val="ae"/>
    <w:link w:val="Char7"/>
    <w:uiPriority w:val="99"/>
    <w:semiHidden/>
    <w:unhideWhenUsed/>
    <w:qFormat/>
    <w:rsid w:val="00CF09D4"/>
    <w:rPr>
      <w:b/>
      <w:bCs/>
    </w:rPr>
  </w:style>
  <w:style w:type="table" w:styleId="af4">
    <w:name w:val="Table Grid"/>
    <w:basedOn w:val="a1"/>
    <w:qFormat/>
    <w:rsid w:val="00CF09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5">
    <w:name w:val="FollowedHyperlink"/>
    <w:basedOn w:val="a0"/>
    <w:uiPriority w:val="99"/>
    <w:semiHidden/>
    <w:unhideWhenUsed/>
    <w:qFormat/>
    <w:rsid w:val="00CF09D4"/>
    <w:rPr>
      <w:color w:val="4B4B4B"/>
      <w:u w:val="none"/>
    </w:rPr>
  </w:style>
  <w:style w:type="character" w:styleId="af6">
    <w:name w:val="Hyperlink"/>
    <w:basedOn w:val="a0"/>
    <w:uiPriority w:val="99"/>
    <w:unhideWhenUsed/>
    <w:qFormat/>
    <w:rsid w:val="00CF09D4"/>
    <w:rPr>
      <w:color w:val="4B4B4B"/>
      <w:u w:val="none"/>
    </w:rPr>
  </w:style>
  <w:style w:type="character" w:styleId="af7">
    <w:name w:val="annotation reference"/>
    <w:basedOn w:val="a0"/>
    <w:uiPriority w:val="99"/>
    <w:semiHidden/>
    <w:unhideWhenUsed/>
    <w:qFormat/>
    <w:rsid w:val="00CF09D4"/>
    <w:rPr>
      <w:sz w:val="21"/>
      <w:szCs w:val="21"/>
    </w:rPr>
  </w:style>
  <w:style w:type="character" w:customStyle="1" w:styleId="af1">
    <w:name w:val="页眉 字符"/>
    <w:basedOn w:val="a0"/>
    <w:link w:val="Header"/>
    <w:uiPriority w:val="99"/>
    <w:qFormat/>
    <w:rsid w:val="00CF09D4"/>
    <w:rPr>
      <w:sz w:val="18"/>
      <w:szCs w:val="18"/>
    </w:rPr>
  </w:style>
  <w:style w:type="character" w:customStyle="1" w:styleId="af0">
    <w:name w:val="页脚 字符"/>
    <w:basedOn w:val="a0"/>
    <w:link w:val="Footer"/>
    <w:uiPriority w:val="99"/>
    <w:qFormat/>
    <w:rsid w:val="00CF09D4"/>
    <w:rPr>
      <w:sz w:val="18"/>
      <w:szCs w:val="18"/>
    </w:rPr>
  </w:style>
  <w:style w:type="paragraph" w:customStyle="1" w:styleId="mainbg">
    <w:name w:val="mainbg"/>
    <w:basedOn w:val="a"/>
    <w:qFormat/>
    <w:rsid w:val="00CF09D4"/>
    <w:pPr>
      <w:widowControl/>
      <w:spacing w:before="100" w:beforeAutospacing="1" w:after="100" w:afterAutospacing="1"/>
      <w:jc w:val="left"/>
    </w:pPr>
    <w:rPr>
      <w:rFonts w:ascii="宋体" w:hAnsi="宋体" w:cs="宋体"/>
      <w:sz w:val="24"/>
      <w:szCs w:val="24"/>
    </w:rPr>
  </w:style>
  <w:style w:type="paragraph" w:customStyle="1" w:styleId="searchinput">
    <w:name w:val="search_input"/>
    <w:basedOn w:val="a"/>
    <w:qFormat/>
    <w:rsid w:val="00CF09D4"/>
    <w:pPr>
      <w:widowControl/>
      <w:pBdr>
        <w:top w:val="single" w:sz="4" w:space="0" w:color="82A0BA"/>
        <w:left w:val="single" w:sz="4" w:space="3" w:color="82A0BA"/>
        <w:bottom w:val="single" w:sz="4" w:space="0" w:color="82A0BA"/>
        <w:right w:val="single" w:sz="4" w:space="0" w:color="82A0BA"/>
      </w:pBdr>
      <w:spacing w:before="100" w:beforeAutospacing="1" w:after="100" w:afterAutospacing="1"/>
      <w:jc w:val="left"/>
    </w:pPr>
    <w:rPr>
      <w:rFonts w:ascii="宋体" w:hAnsi="宋体" w:cs="宋体"/>
      <w:color w:val="4B4C4E"/>
      <w:sz w:val="14"/>
      <w:szCs w:val="14"/>
    </w:rPr>
  </w:style>
  <w:style w:type="paragraph" w:customStyle="1" w:styleId="searchbutton">
    <w:name w:val="search_button"/>
    <w:basedOn w:val="a"/>
    <w:qFormat/>
    <w:rsid w:val="00CF09D4"/>
    <w:pPr>
      <w:widowControl/>
      <w:pBdr>
        <w:top w:val="single" w:sz="4" w:space="0" w:color="82A0BA"/>
        <w:left w:val="single" w:sz="4" w:space="3" w:color="82A0BA"/>
        <w:bottom w:val="single" w:sz="4" w:space="0" w:color="82A0BA"/>
        <w:right w:val="single" w:sz="4" w:space="0" w:color="82A0BA"/>
      </w:pBdr>
      <w:spacing w:before="100" w:beforeAutospacing="1" w:after="100" w:afterAutospacing="1"/>
      <w:jc w:val="left"/>
    </w:pPr>
    <w:rPr>
      <w:rFonts w:ascii="宋体" w:hAnsi="宋体" w:cs="宋体"/>
      <w:color w:val="505052"/>
      <w:sz w:val="14"/>
      <w:szCs w:val="14"/>
    </w:rPr>
  </w:style>
  <w:style w:type="paragraph" w:customStyle="1" w:styleId="datefont">
    <w:name w:val="datefont"/>
    <w:basedOn w:val="a"/>
    <w:qFormat/>
    <w:rsid w:val="00CF09D4"/>
    <w:pPr>
      <w:widowControl/>
      <w:spacing w:before="100" w:beforeAutospacing="1" w:after="100" w:afterAutospacing="1"/>
      <w:jc w:val="left"/>
    </w:pPr>
    <w:rPr>
      <w:rFonts w:ascii="宋体" w:hAnsi="宋体" w:cs="宋体"/>
      <w:color w:val="FFFFFF"/>
      <w:sz w:val="24"/>
      <w:szCs w:val="24"/>
    </w:rPr>
  </w:style>
  <w:style w:type="paragraph" w:customStyle="1" w:styleId="bottomlink">
    <w:name w:val="bottom_link"/>
    <w:basedOn w:val="a"/>
    <w:qFormat/>
    <w:rsid w:val="00CF09D4"/>
    <w:pPr>
      <w:widowControl/>
      <w:spacing w:before="100" w:beforeAutospacing="1" w:after="100" w:afterAutospacing="1"/>
      <w:jc w:val="left"/>
    </w:pPr>
    <w:rPr>
      <w:rFonts w:ascii="宋体" w:hAnsi="宋体" w:cs="宋体"/>
      <w:color w:val="FFFFFF"/>
      <w:sz w:val="24"/>
      <w:szCs w:val="24"/>
    </w:rPr>
  </w:style>
  <w:style w:type="paragraph" w:customStyle="1" w:styleId="bottom">
    <w:name w:val="bottom"/>
    <w:basedOn w:val="a"/>
    <w:qFormat/>
    <w:rsid w:val="00CF09D4"/>
    <w:pPr>
      <w:widowControl/>
      <w:spacing w:before="100" w:beforeAutospacing="1" w:after="100" w:afterAutospacing="1" w:line="253" w:lineRule="atLeast"/>
      <w:jc w:val="left"/>
    </w:pPr>
    <w:rPr>
      <w:rFonts w:ascii="宋体" w:hAnsi="宋体" w:cs="宋体"/>
      <w:sz w:val="24"/>
      <w:szCs w:val="24"/>
    </w:rPr>
  </w:style>
  <w:style w:type="paragraph" w:customStyle="1" w:styleId="pr36">
    <w:name w:val="p_r_36"/>
    <w:basedOn w:val="a"/>
    <w:qFormat/>
    <w:rsid w:val="00CF09D4"/>
    <w:pPr>
      <w:widowControl/>
      <w:spacing w:before="100" w:beforeAutospacing="1" w:after="100" w:afterAutospacing="1"/>
      <w:jc w:val="left"/>
    </w:pPr>
    <w:rPr>
      <w:rFonts w:ascii="宋体" w:hAnsi="宋体" w:cs="宋体"/>
      <w:sz w:val="24"/>
      <w:szCs w:val="24"/>
    </w:rPr>
  </w:style>
  <w:style w:type="paragraph" w:customStyle="1" w:styleId="mb16">
    <w:name w:val="m_b_16"/>
    <w:basedOn w:val="a"/>
    <w:qFormat/>
    <w:rsid w:val="00CF09D4"/>
    <w:pPr>
      <w:widowControl/>
      <w:spacing w:before="100" w:beforeAutospacing="1" w:after="184"/>
      <w:jc w:val="left"/>
    </w:pPr>
    <w:rPr>
      <w:rFonts w:ascii="宋体" w:hAnsi="宋体" w:cs="宋体"/>
      <w:sz w:val="24"/>
      <w:szCs w:val="24"/>
    </w:rPr>
  </w:style>
  <w:style w:type="paragraph" w:customStyle="1" w:styleId="mb12">
    <w:name w:val="m_b_12"/>
    <w:basedOn w:val="a"/>
    <w:qFormat/>
    <w:rsid w:val="00CF09D4"/>
    <w:pPr>
      <w:widowControl/>
      <w:spacing w:before="100" w:beforeAutospacing="1" w:after="138"/>
      <w:jc w:val="left"/>
    </w:pPr>
    <w:rPr>
      <w:rFonts w:ascii="宋体" w:hAnsi="宋体" w:cs="宋体"/>
      <w:sz w:val="24"/>
      <w:szCs w:val="24"/>
    </w:rPr>
  </w:style>
  <w:style w:type="paragraph" w:customStyle="1" w:styleId="mtb5">
    <w:name w:val="m_tb_5"/>
    <w:basedOn w:val="a"/>
    <w:qFormat/>
    <w:rsid w:val="00CF09D4"/>
    <w:pPr>
      <w:widowControl/>
      <w:spacing w:before="58" w:after="58"/>
      <w:jc w:val="left"/>
    </w:pPr>
    <w:rPr>
      <w:rFonts w:ascii="宋体" w:hAnsi="宋体" w:cs="宋体"/>
      <w:sz w:val="24"/>
      <w:szCs w:val="24"/>
    </w:rPr>
  </w:style>
  <w:style w:type="paragraph" w:customStyle="1" w:styleId="mb5">
    <w:name w:val="m_b_5"/>
    <w:basedOn w:val="a"/>
    <w:qFormat/>
    <w:rsid w:val="00CF09D4"/>
    <w:pPr>
      <w:widowControl/>
      <w:spacing w:before="100" w:beforeAutospacing="1" w:after="58"/>
      <w:jc w:val="left"/>
    </w:pPr>
    <w:rPr>
      <w:rFonts w:ascii="宋体" w:hAnsi="宋体" w:cs="宋体"/>
      <w:sz w:val="24"/>
      <w:szCs w:val="24"/>
    </w:rPr>
  </w:style>
  <w:style w:type="paragraph" w:customStyle="1" w:styleId="ml5">
    <w:name w:val="m_l_5"/>
    <w:basedOn w:val="a"/>
    <w:qFormat/>
    <w:rsid w:val="00CF09D4"/>
    <w:pPr>
      <w:widowControl/>
      <w:spacing w:before="100" w:beforeAutospacing="1" w:after="100" w:afterAutospacing="1"/>
      <w:ind w:left="58"/>
      <w:jc w:val="left"/>
    </w:pPr>
    <w:rPr>
      <w:rFonts w:ascii="宋体" w:hAnsi="宋体" w:cs="宋体"/>
      <w:sz w:val="24"/>
      <w:szCs w:val="24"/>
    </w:rPr>
  </w:style>
  <w:style w:type="paragraph" w:customStyle="1" w:styleId="pt12">
    <w:name w:val="p_t_12"/>
    <w:basedOn w:val="a"/>
    <w:qFormat/>
    <w:rsid w:val="00CF09D4"/>
    <w:pPr>
      <w:widowControl/>
      <w:spacing w:before="100" w:beforeAutospacing="1" w:after="100" w:afterAutospacing="1"/>
      <w:jc w:val="left"/>
    </w:pPr>
    <w:rPr>
      <w:rFonts w:ascii="宋体" w:hAnsi="宋体" w:cs="宋体"/>
      <w:sz w:val="24"/>
      <w:szCs w:val="24"/>
    </w:rPr>
  </w:style>
  <w:style w:type="paragraph" w:customStyle="1" w:styleId="pb6">
    <w:name w:val="p_b_6"/>
    <w:basedOn w:val="a"/>
    <w:qFormat/>
    <w:rsid w:val="00CF09D4"/>
    <w:pPr>
      <w:widowControl/>
      <w:spacing w:before="100" w:beforeAutospacing="1" w:after="100" w:afterAutospacing="1"/>
      <w:jc w:val="left"/>
    </w:pPr>
    <w:rPr>
      <w:rFonts w:ascii="宋体" w:hAnsi="宋体" w:cs="宋体"/>
      <w:sz w:val="24"/>
      <w:szCs w:val="24"/>
    </w:rPr>
  </w:style>
  <w:style w:type="paragraph" w:customStyle="1" w:styleId="p6">
    <w:name w:val="p_6"/>
    <w:basedOn w:val="a"/>
    <w:qFormat/>
    <w:rsid w:val="00CF09D4"/>
    <w:pPr>
      <w:widowControl/>
      <w:spacing w:before="100" w:beforeAutospacing="1" w:after="100" w:afterAutospacing="1"/>
      <w:jc w:val="left"/>
    </w:pPr>
    <w:rPr>
      <w:rFonts w:ascii="宋体" w:hAnsi="宋体" w:cs="宋体"/>
      <w:sz w:val="24"/>
      <w:szCs w:val="24"/>
    </w:rPr>
  </w:style>
  <w:style w:type="paragraph" w:customStyle="1" w:styleId="pt10">
    <w:name w:val="p_t_10"/>
    <w:basedOn w:val="a"/>
    <w:qFormat/>
    <w:rsid w:val="00CF09D4"/>
    <w:pPr>
      <w:widowControl/>
      <w:spacing w:before="100" w:beforeAutospacing="1" w:after="100" w:afterAutospacing="1"/>
      <w:jc w:val="left"/>
    </w:pPr>
    <w:rPr>
      <w:rFonts w:ascii="宋体" w:hAnsi="宋体" w:cs="宋体"/>
      <w:sz w:val="24"/>
      <w:szCs w:val="24"/>
    </w:rPr>
  </w:style>
  <w:style w:type="paragraph" w:customStyle="1" w:styleId="ptb12">
    <w:name w:val="p_tb_12"/>
    <w:basedOn w:val="a"/>
    <w:qFormat/>
    <w:rsid w:val="00CF09D4"/>
    <w:pPr>
      <w:widowControl/>
      <w:spacing w:before="100" w:beforeAutospacing="1" w:after="100" w:afterAutospacing="1"/>
      <w:jc w:val="left"/>
    </w:pPr>
    <w:rPr>
      <w:rFonts w:ascii="宋体" w:hAnsi="宋体" w:cs="宋体"/>
      <w:sz w:val="24"/>
      <w:szCs w:val="24"/>
    </w:rPr>
  </w:style>
  <w:style w:type="paragraph" w:customStyle="1" w:styleId="loginbox">
    <w:name w:val="login_box"/>
    <w:basedOn w:val="a"/>
    <w:qFormat/>
    <w:rsid w:val="00CF09D4"/>
    <w:pPr>
      <w:widowControl/>
      <w:spacing w:before="100" w:beforeAutospacing="1" w:after="100" w:afterAutospacing="1"/>
      <w:jc w:val="left"/>
    </w:pPr>
    <w:rPr>
      <w:rFonts w:ascii="宋体" w:hAnsi="宋体" w:cs="宋体"/>
      <w:sz w:val="24"/>
      <w:szCs w:val="24"/>
    </w:rPr>
  </w:style>
  <w:style w:type="paragraph" w:customStyle="1" w:styleId="w130">
    <w:name w:val="w_130"/>
    <w:basedOn w:val="a"/>
    <w:qFormat/>
    <w:rsid w:val="00CF09D4"/>
    <w:pPr>
      <w:widowControl/>
      <w:spacing w:before="100" w:beforeAutospacing="1" w:after="100" w:afterAutospacing="1"/>
      <w:jc w:val="left"/>
    </w:pPr>
    <w:rPr>
      <w:rFonts w:ascii="宋体" w:hAnsi="宋体" w:cs="宋体"/>
      <w:sz w:val="24"/>
      <w:szCs w:val="24"/>
    </w:rPr>
  </w:style>
  <w:style w:type="paragraph" w:customStyle="1" w:styleId="w136">
    <w:name w:val="w_136"/>
    <w:basedOn w:val="a"/>
    <w:qFormat/>
    <w:rsid w:val="00CF09D4"/>
    <w:pPr>
      <w:widowControl/>
      <w:spacing w:before="100" w:beforeAutospacing="1" w:after="100" w:afterAutospacing="1"/>
      <w:jc w:val="left"/>
    </w:pPr>
    <w:rPr>
      <w:rFonts w:ascii="宋体" w:hAnsi="宋体" w:cs="宋体"/>
      <w:sz w:val="24"/>
      <w:szCs w:val="24"/>
    </w:rPr>
  </w:style>
  <w:style w:type="paragraph" w:customStyle="1" w:styleId="td1">
    <w:name w:val="td1"/>
    <w:basedOn w:val="a"/>
    <w:qFormat/>
    <w:rsid w:val="00CF09D4"/>
    <w:pPr>
      <w:widowControl/>
      <w:spacing w:before="100" w:beforeAutospacing="1" w:after="100" w:afterAutospacing="1"/>
      <w:jc w:val="left"/>
    </w:pPr>
    <w:rPr>
      <w:rFonts w:ascii="宋体" w:hAnsi="宋体" w:cs="宋体"/>
      <w:sz w:val="24"/>
      <w:szCs w:val="24"/>
    </w:rPr>
  </w:style>
  <w:style w:type="paragraph" w:customStyle="1" w:styleId="td2">
    <w:name w:val="td2"/>
    <w:basedOn w:val="a"/>
    <w:qFormat/>
    <w:rsid w:val="00CF09D4"/>
    <w:pPr>
      <w:widowControl/>
      <w:pBdr>
        <w:left w:val="single" w:sz="4" w:space="0" w:color="EBEBEB"/>
        <w:bottom w:val="single" w:sz="4" w:space="0" w:color="EBEBEB"/>
        <w:right w:val="single" w:sz="4" w:space="0" w:color="EBEBEB"/>
      </w:pBdr>
      <w:spacing w:before="100" w:beforeAutospacing="1" w:after="100" w:afterAutospacing="1"/>
      <w:jc w:val="left"/>
    </w:pPr>
    <w:rPr>
      <w:rFonts w:ascii="宋体" w:hAnsi="宋体" w:cs="宋体"/>
      <w:sz w:val="24"/>
      <w:szCs w:val="24"/>
    </w:rPr>
  </w:style>
  <w:style w:type="paragraph" w:customStyle="1" w:styleId="td3">
    <w:name w:val="td3"/>
    <w:basedOn w:val="a"/>
    <w:qFormat/>
    <w:rsid w:val="00CF09D4"/>
    <w:pPr>
      <w:widowControl/>
      <w:pBdr>
        <w:top w:val="single" w:sz="4" w:space="0" w:color="EBEBEB"/>
        <w:left w:val="single" w:sz="4" w:space="0" w:color="EBEBEB"/>
        <w:bottom w:val="single" w:sz="4" w:space="0" w:color="EBEBEB"/>
        <w:right w:val="single" w:sz="4" w:space="0" w:color="EBEBEB"/>
      </w:pBdr>
      <w:shd w:val="clear" w:color="FFFFFF" w:fill="FFFFFF"/>
      <w:spacing w:before="100" w:beforeAutospacing="1" w:after="100" w:afterAutospacing="1"/>
      <w:jc w:val="left"/>
    </w:pPr>
    <w:rPr>
      <w:rFonts w:ascii="宋体" w:hAnsi="宋体" w:cs="宋体"/>
      <w:sz w:val="24"/>
      <w:szCs w:val="24"/>
    </w:rPr>
  </w:style>
  <w:style w:type="paragraph" w:customStyle="1" w:styleId="qyyjbg">
    <w:name w:val="qyyj_bg"/>
    <w:basedOn w:val="a"/>
    <w:qFormat/>
    <w:rsid w:val="00CF09D4"/>
    <w:pPr>
      <w:widowControl/>
      <w:spacing w:before="100" w:beforeAutospacing="1" w:after="100" w:afterAutospacing="1"/>
      <w:jc w:val="left"/>
    </w:pPr>
    <w:rPr>
      <w:rFonts w:ascii="宋体" w:hAnsi="宋体" w:cs="宋体"/>
      <w:sz w:val="24"/>
      <w:szCs w:val="24"/>
    </w:rPr>
  </w:style>
  <w:style w:type="paragraph" w:customStyle="1" w:styleId="c">
    <w:name w:val="c_"/>
    <w:qFormat/>
    <w:rsid w:val="00CF09D4"/>
    <w:pPr>
      <w:widowControl w:val="0"/>
      <w:autoSpaceDE w:val="0"/>
      <w:autoSpaceDN w:val="0"/>
      <w:jc w:val="both"/>
    </w:pPr>
    <w:rPr>
      <w:rFonts w:ascii="五"/>
      <w:sz w:val="24"/>
    </w:rPr>
  </w:style>
  <w:style w:type="character" w:customStyle="1" w:styleId="Char5">
    <w:name w:val="批注文字 Char"/>
    <w:basedOn w:val="a0"/>
    <w:link w:val="ae"/>
    <w:uiPriority w:val="99"/>
    <w:semiHidden/>
    <w:qFormat/>
    <w:rsid w:val="00CF09D4"/>
  </w:style>
  <w:style w:type="character" w:customStyle="1" w:styleId="Char7">
    <w:name w:val="批注主题 Char"/>
    <w:basedOn w:val="Char5"/>
    <w:link w:val="af3"/>
    <w:uiPriority w:val="99"/>
    <w:semiHidden/>
    <w:qFormat/>
    <w:rsid w:val="00CF09D4"/>
    <w:rPr>
      <w:b/>
      <w:bCs/>
    </w:rPr>
  </w:style>
  <w:style w:type="character" w:customStyle="1" w:styleId="Char6">
    <w:name w:val="批注框文本 Char"/>
    <w:basedOn w:val="a0"/>
    <w:link w:val="af"/>
    <w:uiPriority w:val="99"/>
    <w:semiHidden/>
    <w:qFormat/>
    <w:rsid w:val="00CF09D4"/>
    <w:rPr>
      <w:sz w:val="18"/>
      <w:szCs w:val="18"/>
    </w:rPr>
  </w:style>
  <w:style w:type="paragraph" w:customStyle="1" w:styleId="11">
    <w:name w:val="修订1"/>
    <w:hidden/>
    <w:uiPriority w:val="99"/>
    <w:semiHidden/>
    <w:qFormat/>
    <w:rsid w:val="00CF09D4"/>
    <w:rPr>
      <w:rFonts w:ascii="Calibri" w:eastAsia="宋体" w:hAnsi="Calibri" w:cs="Calibri"/>
      <w:sz w:val="21"/>
    </w:rPr>
  </w:style>
  <w:style w:type="paragraph" w:styleId="af8">
    <w:name w:val="List Paragraph"/>
    <w:basedOn w:val="a"/>
    <w:uiPriority w:val="34"/>
    <w:qFormat/>
    <w:rsid w:val="00CF09D4"/>
    <w:pPr>
      <w:ind w:firstLineChars="200" w:firstLine="420"/>
    </w:pPr>
  </w:style>
  <w:style w:type="character" w:customStyle="1" w:styleId="10">
    <w:name w:val="标题 1 字符"/>
    <w:basedOn w:val="a0"/>
    <w:link w:val="Heading1"/>
    <w:uiPriority w:val="9"/>
    <w:qFormat/>
    <w:rsid w:val="00CF09D4"/>
    <w:rPr>
      <w:b/>
      <w:bCs/>
      <w:sz w:val="44"/>
      <w:szCs w:val="44"/>
    </w:rPr>
  </w:style>
  <w:style w:type="character" w:customStyle="1" w:styleId="20">
    <w:name w:val="标题 2 字符"/>
    <w:basedOn w:val="a0"/>
    <w:link w:val="Heading2"/>
    <w:uiPriority w:val="9"/>
    <w:qFormat/>
    <w:rsid w:val="00CF09D4"/>
    <w:rPr>
      <w:rFonts w:ascii="Cambria" w:eastAsia="宋体" w:hAnsi="Cambria" w:cs="Cambria"/>
      <w:b/>
      <w:bCs/>
      <w:sz w:val="32"/>
      <w:szCs w:val="32"/>
    </w:rPr>
  </w:style>
  <w:style w:type="paragraph" w:customStyle="1" w:styleId="Default">
    <w:name w:val="Default"/>
    <w:qFormat/>
    <w:rsid w:val="00CF09D4"/>
    <w:pPr>
      <w:widowControl w:val="0"/>
      <w:autoSpaceDE w:val="0"/>
      <w:autoSpaceDN w:val="0"/>
    </w:pPr>
    <w:rPr>
      <w:rFonts w:ascii="宋体" w:eastAsia="宋体" w:hAnsi="宋体" w:cs="宋体"/>
      <w:color w:val="000000"/>
      <w:sz w:val="24"/>
      <w:szCs w:val="24"/>
    </w:rPr>
  </w:style>
  <w:style w:type="character" w:customStyle="1" w:styleId="3Char">
    <w:name w:val="正文文本缩进 3 Char"/>
    <w:basedOn w:val="a0"/>
    <w:link w:val="30"/>
    <w:qFormat/>
    <w:rsid w:val="00CF09D4"/>
    <w:rPr>
      <w:rFonts w:ascii="宋体" w:eastAsia="宋体" w:hAnsi="Times New Roman" w:cs="Times New Roman"/>
      <w:szCs w:val="24"/>
    </w:rPr>
  </w:style>
  <w:style w:type="character" w:customStyle="1" w:styleId="HTMLChar">
    <w:name w:val="HTML 预设格式 Char"/>
    <w:basedOn w:val="a0"/>
    <w:link w:val="HTML"/>
    <w:uiPriority w:val="99"/>
    <w:qFormat/>
    <w:rsid w:val="00CF09D4"/>
    <w:rPr>
      <w:rFonts w:ascii="宋体" w:eastAsia="宋体" w:hAnsi="宋体" w:cs="宋体"/>
      <w:sz w:val="24"/>
      <w:szCs w:val="24"/>
    </w:rPr>
  </w:style>
  <w:style w:type="character" w:customStyle="1" w:styleId="12">
    <w:name w:val="未处理的提及1"/>
    <w:basedOn w:val="a0"/>
    <w:uiPriority w:val="99"/>
    <w:semiHidden/>
    <w:unhideWhenUsed/>
    <w:qFormat/>
    <w:rsid w:val="00CF09D4"/>
    <w:rPr>
      <w:color w:val="605E5C"/>
      <w:shd w:val="clear" w:color="E1DFDD" w:fill="E1DFDD"/>
    </w:rPr>
  </w:style>
  <w:style w:type="paragraph" w:customStyle="1" w:styleId="21">
    <w:name w:val="修订2"/>
    <w:hidden/>
    <w:uiPriority w:val="99"/>
    <w:semiHidden/>
    <w:qFormat/>
    <w:rsid w:val="00CF09D4"/>
    <w:rPr>
      <w:rFonts w:ascii="Calibri" w:eastAsia="宋体" w:hAnsi="Calibri" w:cs="Calibri"/>
      <w:sz w:val="21"/>
    </w:rPr>
  </w:style>
  <w:style w:type="character" w:customStyle="1" w:styleId="name10">
    <w:name w:val="name10"/>
    <w:basedOn w:val="a0"/>
    <w:qFormat/>
    <w:rsid w:val="00CF09D4"/>
  </w:style>
  <w:style w:type="character" w:customStyle="1" w:styleId="font11">
    <w:name w:val="font11"/>
    <w:basedOn w:val="a0"/>
    <w:qFormat/>
    <w:rsid w:val="00CF09D4"/>
    <w:rPr>
      <w:rFonts w:ascii="宋体" w:eastAsia="宋体" w:hAnsi="宋体" w:cs="宋体" w:hint="eastAsia"/>
      <w:b/>
      <w:bCs/>
      <w:color w:val="000000"/>
      <w:sz w:val="22"/>
      <w:szCs w:val="22"/>
      <w:u w:val="none"/>
    </w:rPr>
  </w:style>
  <w:style w:type="character" w:customStyle="1" w:styleId="font71">
    <w:name w:val="font71"/>
    <w:basedOn w:val="a0"/>
    <w:qFormat/>
    <w:rsid w:val="00CF09D4"/>
    <w:rPr>
      <w:rFonts w:ascii="宋体" w:eastAsia="宋体" w:hAnsi="宋体" w:cs="宋体" w:hint="eastAsia"/>
      <w:color w:val="000000"/>
      <w:sz w:val="22"/>
      <w:szCs w:val="22"/>
      <w:u w:val="none"/>
    </w:rPr>
  </w:style>
  <w:style w:type="character" w:customStyle="1" w:styleId="font81">
    <w:name w:val="font81"/>
    <w:basedOn w:val="a0"/>
    <w:qFormat/>
    <w:rsid w:val="00CF09D4"/>
    <w:rPr>
      <w:rFonts w:ascii="宋体" w:eastAsia="宋体" w:hAnsi="宋体" w:cs="宋体" w:hint="eastAsia"/>
      <w:color w:val="000000"/>
      <w:sz w:val="22"/>
      <w:szCs w:val="22"/>
      <w:u w:val="none"/>
    </w:rPr>
  </w:style>
  <w:style w:type="character" w:customStyle="1" w:styleId="font31">
    <w:name w:val="font31"/>
    <w:basedOn w:val="a0"/>
    <w:qFormat/>
    <w:rsid w:val="00CF09D4"/>
    <w:rPr>
      <w:rFonts w:ascii="Times New Roman" w:hAnsi="Times New Roman" w:cs="Times New Roman" w:hint="default"/>
      <w:color w:val="000000"/>
      <w:sz w:val="22"/>
      <w:szCs w:val="22"/>
      <w:u w:val="none"/>
    </w:rPr>
  </w:style>
  <w:style w:type="paragraph" w:customStyle="1" w:styleId="31">
    <w:name w:val="修订3"/>
    <w:hidden/>
    <w:uiPriority w:val="99"/>
    <w:semiHidden/>
    <w:qFormat/>
    <w:rsid w:val="00CF09D4"/>
    <w:rPr>
      <w:rFonts w:ascii="Calibri" w:eastAsia="宋体" w:hAnsi="Calibri" w:cs="Calibri"/>
      <w:sz w:val="21"/>
    </w:rPr>
  </w:style>
  <w:style w:type="character" w:customStyle="1" w:styleId="font01">
    <w:name w:val="font01"/>
    <w:basedOn w:val="a0"/>
    <w:qFormat/>
    <w:rsid w:val="00CF09D4"/>
    <w:rPr>
      <w:rFonts w:ascii="等线" w:hAnsi="等线" w:cs="等线"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51changxi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1670</Words>
  <Characters>9521</Characters>
  <Application>Microsoft Office Word</Application>
  <DocSecurity>4</DocSecurity>
  <Lines>79</Lines>
  <Paragraphs>22</Paragraphs>
  <ScaleCrop>false</ScaleCrop>
  <Company>wind</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ZHONGM</cp:lastModifiedBy>
  <cp:revision>2</cp:revision>
  <dcterms:created xsi:type="dcterms:W3CDTF">2024-10-31T16:02:00Z</dcterms:created>
  <dcterms:modified xsi:type="dcterms:W3CDTF">2024-10-31T16:02:00Z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28066480D68A4FEC9D0ED7A868491FCB</vt:lpwstr>
  </property>
</Properties>
</file>