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B8" w:rsidRDefault="00815AD3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广发基金管理有限公司</w:t>
      </w:r>
    </w:p>
    <w:p w:rsidR="007912B8" w:rsidRDefault="002D6017" w:rsidP="00B05E9A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bookmarkStart w:id="0" w:name="_GoBack"/>
      <w:r w:rsidRPr="002D6017">
        <w:rPr>
          <w:rFonts w:ascii="宋体" w:eastAsia="宋体" w:hAnsi="宋体" w:hint="eastAsia"/>
          <w:b/>
          <w:sz w:val="24"/>
          <w:szCs w:val="24"/>
        </w:rPr>
        <w:t>关于广发沪深300交易型开放式指数证券投资基金联接基金恢复机构投资者大额申购（含转换转入、定期定额和不定额投资）业务的公告</w:t>
      </w:r>
      <w:bookmarkEnd w:id="0"/>
    </w:p>
    <w:p w:rsidR="007912B8" w:rsidRDefault="00815AD3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公告送出日期：</w:t>
      </w:r>
      <w:r w:rsidR="00B05E9A">
        <w:rPr>
          <w:rFonts w:ascii="宋体" w:eastAsia="宋体" w:hAnsi="宋体"/>
          <w:sz w:val="24"/>
          <w:szCs w:val="24"/>
        </w:rPr>
        <w:t>2024年10月31日</w:t>
      </w:r>
    </w:p>
    <w:p w:rsidR="007912B8" w:rsidRDefault="00815AD3">
      <w:pPr>
        <w:spacing w:line="480" w:lineRule="auto"/>
        <w:jc w:val="left"/>
        <w:rPr>
          <w:rFonts w:ascii="宋体" w:eastAsia="宋体" w:hAnsi="宋体"/>
          <w:b/>
          <w:sz w:val="24"/>
          <w:szCs w:val="24"/>
        </w:rPr>
      </w:pPr>
      <w:bookmarkStart w:id="1" w:name="_Toc275961405"/>
      <w:r>
        <w:rPr>
          <w:rFonts w:ascii="宋体" w:eastAsia="宋体" w:hAnsi="宋体"/>
          <w:b/>
          <w:sz w:val="24"/>
          <w:szCs w:val="24"/>
        </w:rPr>
        <w:t>1</w:t>
      </w:r>
      <w:r w:rsidR="00BD04C6">
        <w:rPr>
          <w:rFonts w:ascii="宋体" w:eastAsia="宋体" w:hAnsi="宋体" w:hint="eastAsia"/>
          <w:b/>
          <w:sz w:val="24"/>
          <w:szCs w:val="24"/>
        </w:rPr>
        <w:t>.</w:t>
      </w:r>
      <w:r>
        <w:rPr>
          <w:rFonts w:ascii="宋体" w:eastAsia="宋体" w:hAnsi="宋体"/>
          <w:b/>
          <w:sz w:val="24"/>
          <w:szCs w:val="24"/>
        </w:rPr>
        <w:t>公告基本信息</w:t>
      </w:r>
      <w:bookmarkEnd w:id="1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2268"/>
        <w:gridCol w:w="1559"/>
        <w:gridCol w:w="567"/>
        <w:gridCol w:w="2127"/>
      </w:tblGrid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2" w:name="_Toc275961406"/>
            <w:r>
              <w:rPr>
                <w:rFonts w:ascii="宋体" w:eastAsia="宋体" w:hAnsi="宋体"/>
                <w:sz w:val="24"/>
                <w:szCs w:val="24"/>
              </w:rPr>
              <w:t>基金名称</w:t>
            </w:r>
          </w:p>
        </w:tc>
        <w:tc>
          <w:tcPr>
            <w:tcW w:w="6521" w:type="dxa"/>
            <w:gridSpan w:val="4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广发沪深300交易型开放式指数证券投资基金联接基金</w:t>
            </w:r>
          </w:p>
        </w:tc>
      </w:tr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基金简称</w:t>
            </w:r>
          </w:p>
        </w:tc>
        <w:tc>
          <w:tcPr>
            <w:tcW w:w="6521" w:type="dxa"/>
            <w:gridSpan w:val="4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07E97">
              <w:rPr>
                <w:rFonts w:ascii="宋体" w:eastAsia="宋体" w:hAnsi="宋体" w:hint="eastAsia"/>
                <w:sz w:val="24"/>
                <w:szCs w:val="24"/>
              </w:rPr>
              <w:t>广发沪深300ETF联接</w:t>
            </w:r>
          </w:p>
        </w:tc>
      </w:tr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基金主代码</w:t>
            </w:r>
          </w:p>
        </w:tc>
        <w:tc>
          <w:tcPr>
            <w:tcW w:w="6521" w:type="dxa"/>
            <w:gridSpan w:val="4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07E97">
              <w:rPr>
                <w:rFonts w:ascii="宋体" w:eastAsia="宋体" w:hAnsi="宋体"/>
                <w:sz w:val="24"/>
                <w:szCs w:val="24"/>
              </w:rPr>
              <w:t>270010</w:t>
            </w:r>
          </w:p>
        </w:tc>
      </w:tr>
      <w:tr w:rsidR="00187ECC" w:rsidTr="002D6017">
        <w:trPr>
          <w:jc w:val="center"/>
        </w:trPr>
        <w:tc>
          <w:tcPr>
            <w:tcW w:w="2972" w:type="dxa"/>
          </w:tcPr>
          <w:p w:rsidR="00187ECC" w:rsidRDefault="00187ECC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基金管理人名称</w:t>
            </w:r>
          </w:p>
        </w:tc>
        <w:tc>
          <w:tcPr>
            <w:tcW w:w="6521" w:type="dxa"/>
            <w:gridSpan w:val="4"/>
            <w:vAlign w:val="center"/>
          </w:tcPr>
          <w:p w:rsidR="00187ECC" w:rsidRDefault="00187ECC" w:rsidP="009F59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广发基金管理有限公司</w:t>
            </w:r>
          </w:p>
        </w:tc>
      </w:tr>
      <w:tr w:rsidR="00187ECC" w:rsidTr="002D6017">
        <w:trPr>
          <w:jc w:val="center"/>
        </w:trPr>
        <w:tc>
          <w:tcPr>
            <w:tcW w:w="2972" w:type="dxa"/>
            <w:vAlign w:val="center"/>
          </w:tcPr>
          <w:p w:rsidR="00187ECC" w:rsidRDefault="00187ECC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公告依据</w:t>
            </w:r>
          </w:p>
        </w:tc>
        <w:tc>
          <w:tcPr>
            <w:tcW w:w="6521" w:type="dxa"/>
            <w:gridSpan w:val="4"/>
            <w:vAlign w:val="center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广发沪深300交易型开放式指数证券投资基金联接基金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87ECC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E178B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广发沪深300交易型开放式指数证券投资基金联接基金</w:t>
            </w:r>
            <w:r w:rsidRPr="009E178B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187ECC" w:rsidTr="002D6017">
        <w:trPr>
          <w:trHeight w:val="488"/>
          <w:jc w:val="center"/>
        </w:trPr>
        <w:tc>
          <w:tcPr>
            <w:tcW w:w="2972" w:type="dxa"/>
            <w:vMerge w:val="restart"/>
            <w:vAlign w:val="center"/>
          </w:tcPr>
          <w:p w:rsidR="00187ECC" w:rsidRDefault="00187ECC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</w:t>
            </w:r>
            <w:r>
              <w:rPr>
                <w:rFonts w:ascii="宋体" w:eastAsia="宋体" w:hAnsi="宋体"/>
                <w:sz w:val="24"/>
                <w:szCs w:val="24"/>
              </w:rPr>
              <w:t>相关业务的</w:t>
            </w:r>
            <w:r w:rsidR="00113602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  <w:r>
              <w:rPr>
                <w:rFonts w:ascii="宋体" w:eastAsia="宋体" w:hAnsi="宋体"/>
                <w:sz w:val="24"/>
                <w:szCs w:val="24"/>
              </w:rPr>
              <w:t>及原因说明</w:t>
            </w:r>
          </w:p>
        </w:tc>
        <w:tc>
          <w:tcPr>
            <w:tcW w:w="3827" w:type="dxa"/>
            <w:gridSpan w:val="2"/>
          </w:tcPr>
          <w:p w:rsidR="00187ECC" w:rsidRDefault="00113602" w:rsidP="00110596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="00187EC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694" w:type="dxa"/>
            <w:gridSpan w:val="2"/>
          </w:tcPr>
          <w:p w:rsidR="00187ECC" w:rsidRDefault="00B05E9A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2024年11月1日</w:t>
            </w:r>
          </w:p>
        </w:tc>
      </w:tr>
      <w:tr w:rsidR="009F59E2" w:rsidTr="002D6017">
        <w:trPr>
          <w:jc w:val="center"/>
        </w:trPr>
        <w:tc>
          <w:tcPr>
            <w:tcW w:w="2972" w:type="dxa"/>
            <w:vMerge/>
          </w:tcPr>
          <w:p w:rsidR="009F59E2" w:rsidRDefault="009F59E2" w:rsidP="009F59E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F59E2" w:rsidRDefault="009F59E2" w:rsidP="009F59E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恢复大额转换转入日 </w:t>
            </w:r>
          </w:p>
        </w:tc>
        <w:tc>
          <w:tcPr>
            <w:tcW w:w="2694" w:type="dxa"/>
            <w:gridSpan w:val="2"/>
          </w:tcPr>
          <w:p w:rsidR="009F59E2" w:rsidRDefault="00B05E9A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2024年11月1日</w:t>
            </w:r>
          </w:p>
        </w:tc>
      </w:tr>
      <w:tr w:rsidR="009F59E2" w:rsidTr="002D6017">
        <w:trPr>
          <w:jc w:val="center"/>
        </w:trPr>
        <w:tc>
          <w:tcPr>
            <w:tcW w:w="2972" w:type="dxa"/>
            <w:vMerge/>
          </w:tcPr>
          <w:p w:rsidR="009F59E2" w:rsidRDefault="009F59E2" w:rsidP="009F59E2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F59E2" w:rsidRDefault="009F59E2" w:rsidP="009F59E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恢复大额定期定额和不定额投资</w:t>
            </w:r>
            <w:r w:rsidRPr="002446D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2694" w:type="dxa"/>
            <w:gridSpan w:val="2"/>
          </w:tcPr>
          <w:p w:rsidR="009F59E2" w:rsidRDefault="00B05E9A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2024年11月1日</w:t>
            </w:r>
          </w:p>
        </w:tc>
      </w:tr>
      <w:tr w:rsidR="00187ECC" w:rsidTr="002D6017">
        <w:trPr>
          <w:jc w:val="center"/>
        </w:trPr>
        <w:tc>
          <w:tcPr>
            <w:tcW w:w="2972" w:type="dxa"/>
            <w:vMerge/>
          </w:tcPr>
          <w:p w:rsidR="00187ECC" w:rsidRDefault="00187ECC" w:rsidP="0011059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187ECC" w:rsidRDefault="00187ECC" w:rsidP="0076547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Pr="003B5956">
              <w:rPr>
                <w:rFonts w:ascii="宋体" w:eastAsia="宋体" w:hAnsi="宋体" w:hint="eastAsia"/>
                <w:sz w:val="24"/>
                <w:szCs w:val="24"/>
              </w:rPr>
              <w:t>（转换转入、定期定额和不定额投资）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2694" w:type="dxa"/>
            <w:gridSpan w:val="2"/>
            <w:vAlign w:val="center"/>
          </w:tcPr>
          <w:p w:rsidR="00187ECC" w:rsidRDefault="00187ECC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满足投资者的投资需求</w:t>
            </w:r>
          </w:p>
        </w:tc>
      </w:tr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下属分级基金的基金简称</w:t>
            </w:r>
          </w:p>
        </w:tc>
        <w:tc>
          <w:tcPr>
            <w:tcW w:w="2268" w:type="dxa"/>
            <w:vAlign w:val="center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07E97">
              <w:rPr>
                <w:rFonts w:ascii="宋体" w:eastAsia="宋体" w:hAnsi="宋体" w:hint="eastAsia"/>
                <w:sz w:val="24"/>
                <w:szCs w:val="24"/>
              </w:rPr>
              <w:t>广发沪深300ETF联接</w:t>
            </w:r>
            <w:r w:rsidRPr="00CC7C8C">
              <w:rPr>
                <w:rFonts w:ascii="宋体" w:eastAsia="宋体" w:hAnsi="宋体" w:hint="eastAsia"/>
                <w:sz w:val="24"/>
                <w:szCs w:val="24"/>
              </w:rPr>
              <w:t>A</w:t>
            </w:r>
          </w:p>
        </w:tc>
        <w:tc>
          <w:tcPr>
            <w:tcW w:w="2126" w:type="dxa"/>
            <w:gridSpan w:val="2"/>
            <w:vAlign w:val="center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207E97">
              <w:rPr>
                <w:rFonts w:ascii="宋体" w:eastAsia="宋体" w:hAnsi="宋体" w:hint="eastAsia"/>
                <w:sz w:val="24"/>
                <w:szCs w:val="24"/>
              </w:rPr>
              <w:t>广发沪深300ETF联接</w:t>
            </w:r>
            <w:r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2127" w:type="dxa"/>
          </w:tcPr>
          <w:p w:rsidR="002D6017" w:rsidRPr="00207E97" w:rsidRDefault="002D6017" w:rsidP="002D6017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207E97">
              <w:rPr>
                <w:rFonts w:ascii="宋体" w:eastAsia="宋体" w:hAnsi="宋体" w:hint="eastAsia"/>
                <w:sz w:val="24"/>
                <w:szCs w:val="24"/>
              </w:rPr>
              <w:t>广发沪深300ETF联接F</w:t>
            </w:r>
          </w:p>
        </w:tc>
      </w:tr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268" w:type="dxa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A03E4">
              <w:rPr>
                <w:rFonts w:ascii="宋体" w:hAnsi="宋体"/>
                <w:color w:val="000000"/>
                <w:kern w:val="0"/>
                <w:sz w:val="24"/>
              </w:rPr>
              <w:t>270010</w:t>
            </w:r>
          </w:p>
        </w:tc>
        <w:tc>
          <w:tcPr>
            <w:tcW w:w="2126" w:type="dxa"/>
            <w:gridSpan w:val="2"/>
          </w:tcPr>
          <w:p w:rsidR="002D6017" w:rsidRPr="009E178B" w:rsidRDefault="002D6017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A03E4">
              <w:rPr>
                <w:rFonts w:ascii="宋体" w:hAnsi="宋体"/>
                <w:color w:val="000000"/>
                <w:kern w:val="0"/>
                <w:sz w:val="24"/>
              </w:rPr>
              <w:t>002987</w:t>
            </w:r>
          </w:p>
        </w:tc>
        <w:tc>
          <w:tcPr>
            <w:tcW w:w="2127" w:type="dxa"/>
          </w:tcPr>
          <w:p w:rsidR="002D6017" w:rsidRPr="0069739D" w:rsidRDefault="002D6017" w:rsidP="002D6017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AF099E">
              <w:rPr>
                <w:rFonts w:ascii="宋体" w:eastAsia="宋体" w:hAnsi="宋体"/>
                <w:bCs/>
                <w:sz w:val="24"/>
                <w:szCs w:val="24"/>
              </w:rPr>
              <w:t>021737</w:t>
            </w:r>
          </w:p>
        </w:tc>
      </w:tr>
      <w:tr w:rsidR="002D6017" w:rsidTr="002D6017">
        <w:trPr>
          <w:jc w:val="center"/>
        </w:trPr>
        <w:tc>
          <w:tcPr>
            <w:tcW w:w="2972" w:type="dxa"/>
          </w:tcPr>
          <w:p w:rsidR="002D6017" w:rsidRDefault="002D6017" w:rsidP="0076547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该分级基金是否恢复</w:t>
            </w:r>
            <w:r w:rsidRPr="00BE3768">
              <w:rPr>
                <w:rFonts w:ascii="宋体" w:eastAsia="宋体" w:hAnsi="宋体" w:hint="eastAsia"/>
                <w:sz w:val="24"/>
                <w:szCs w:val="24"/>
              </w:rPr>
              <w:t>大额申购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（转换转入、定期定额和不定额投资）</w:t>
            </w:r>
          </w:p>
        </w:tc>
        <w:tc>
          <w:tcPr>
            <w:tcW w:w="2268" w:type="dxa"/>
            <w:vAlign w:val="center"/>
          </w:tcPr>
          <w:p w:rsidR="002D6017" w:rsidRDefault="002D6017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126" w:type="dxa"/>
            <w:gridSpan w:val="2"/>
            <w:vAlign w:val="center"/>
          </w:tcPr>
          <w:p w:rsidR="002D6017" w:rsidRDefault="002D6017" w:rsidP="00110596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2127" w:type="dxa"/>
            <w:vAlign w:val="center"/>
          </w:tcPr>
          <w:p w:rsidR="002D6017" w:rsidRDefault="00B05E9A" w:rsidP="002D601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7912B8" w:rsidRPr="009F59E2" w:rsidRDefault="007912B8">
      <w:pPr>
        <w:spacing w:line="480" w:lineRule="auto"/>
        <w:jc w:val="left"/>
        <w:rPr>
          <w:rFonts w:ascii="宋体" w:eastAsia="宋体" w:hAnsi="宋体"/>
          <w:b/>
          <w:sz w:val="24"/>
          <w:szCs w:val="24"/>
        </w:rPr>
      </w:pPr>
    </w:p>
    <w:p w:rsidR="007912B8" w:rsidRDefault="00815AD3">
      <w:pPr>
        <w:spacing w:line="48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2</w:t>
      </w:r>
      <w:r w:rsidR="00BD04C6">
        <w:rPr>
          <w:rFonts w:ascii="宋体" w:eastAsia="宋体" w:hAnsi="宋体" w:hint="eastAsia"/>
          <w:b/>
          <w:sz w:val="24"/>
          <w:szCs w:val="24"/>
        </w:rPr>
        <w:t>.</w:t>
      </w:r>
      <w:r>
        <w:rPr>
          <w:rFonts w:ascii="宋体" w:eastAsia="宋体" w:hAnsi="宋体"/>
          <w:b/>
          <w:sz w:val="24"/>
          <w:szCs w:val="24"/>
        </w:rPr>
        <w:t>其他需要提示的事项</w:t>
      </w:r>
      <w:bookmarkEnd w:id="2"/>
    </w:p>
    <w:p w:rsidR="007912B8" w:rsidRDefault="002D6017" w:rsidP="00815AD3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2D6017">
        <w:rPr>
          <w:rFonts w:ascii="宋体" w:eastAsia="宋体" w:hAnsi="宋体" w:hint="eastAsia"/>
          <w:sz w:val="24"/>
          <w:szCs w:val="24"/>
        </w:rPr>
        <w:t>为满足投资者的投资需求，广发基金管理有限公司（以下简称“本公司”）决定取消广发沪深300交易型开放式指数证券投资基金联接基金（以下简称“本</w:t>
      </w:r>
      <w:r w:rsidRPr="002D6017">
        <w:rPr>
          <w:rFonts w:ascii="宋体" w:eastAsia="宋体" w:hAnsi="宋体" w:hint="eastAsia"/>
          <w:sz w:val="24"/>
          <w:szCs w:val="24"/>
        </w:rPr>
        <w:lastRenderedPageBreak/>
        <w:t>基金”）机构投资者的申购（含转换转入、定期定额和不定额投资）业务限额，具体措施如下：自</w:t>
      </w:r>
      <w:r w:rsidR="00B05E9A">
        <w:rPr>
          <w:rFonts w:ascii="宋体" w:eastAsia="宋体" w:hAnsi="宋体" w:hint="eastAsia"/>
          <w:sz w:val="24"/>
          <w:szCs w:val="24"/>
        </w:rPr>
        <w:t>2024年11月1日</w:t>
      </w:r>
      <w:r w:rsidRPr="002D6017">
        <w:rPr>
          <w:rFonts w:ascii="宋体" w:eastAsia="宋体" w:hAnsi="宋体" w:hint="eastAsia"/>
          <w:sz w:val="24"/>
          <w:szCs w:val="24"/>
        </w:rPr>
        <w:t>起，本基金取消原机构投资者单日单个基金账户申购（含转换转入、定期定额和不定额投资）合计不得超过100,000.00元的限额，恢复正常的大额申购（含转换转入、定期定额和不定额投资）业务。</w:t>
      </w:r>
      <w:r w:rsidR="00815AD3">
        <w:rPr>
          <w:rFonts w:ascii="宋体" w:eastAsia="宋体" w:hAnsi="宋体"/>
          <w:sz w:val="24"/>
        </w:rPr>
        <w:t xml:space="preserve"> </w:t>
      </w:r>
    </w:p>
    <w:p w:rsidR="00815AD3" w:rsidRDefault="00815AD3" w:rsidP="00815A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815AD3">
        <w:rPr>
          <w:rFonts w:ascii="宋体" w:eastAsia="宋体" w:hAnsi="宋体" w:hint="eastAsia"/>
          <w:sz w:val="24"/>
          <w:szCs w:val="24"/>
        </w:rPr>
        <w:t>如有疑问，请拨打本公司客户服务热线95105828或020-83936999，或登录本公司网站www.gffunds.com.cn获取相关信息。</w:t>
      </w:r>
    </w:p>
    <w:p w:rsidR="00305142" w:rsidRPr="00815AD3" w:rsidRDefault="00305142" w:rsidP="00815AD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05142">
        <w:rPr>
          <w:rFonts w:ascii="宋体" w:eastAsia="宋体" w:hAnsi="宋体" w:hint="eastAsia"/>
          <w:sz w:val="24"/>
          <w:szCs w:val="24"/>
        </w:rPr>
        <w:t>风险提示：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7912B8" w:rsidRDefault="00815AD3" w:rsidP="002D6017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特此公告。</w:t>
      </w:r>
    </w:p>
    <w:p w:rsidR="007912B8" w:rsidRDefault="007912B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7912B8" w:rsidRDefault="00815AD3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广发基金管理有限公司</w:t>
      </w:r>
    </w:p>
    <w:p w:rsidR="007912B8" w:rsidRDefault="00B05E9A" w:rsidP="00204342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  <w:szCs w:val="24"/>
        </w:rPr>
        <w:t>2024年10月31日</w:t>
      </w:r>
    </w:p>
    <w:sectPr w:rsidR="007912B8" w:rsidSect="00315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2E3" w:rsidRDefault="004102E3" w:rsidP="004B0872">
      <w:r>
        <w:separator/>
      </w:r>
    </w:p>
  </w:endnote>
  <w:endnote w:type="continuationSeparator" w:id="0">
    <w:p w:rsidR="004102E3" w:rsidRDefault="004102E3" w:rsidP="004B0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A00002BF" w:usb1="184F6CFA" w:usb2="00000012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2E3" w:rsidRDefault="004102E3" w:rsidP="004B0872">
      <w:r>
        <w:separator/>
      </w:r>
    </w:p>
  </w:footnote>
  <w:footnote w:type="continuationSeparator" w:id="0">
    <w:p w:rsidR="004102E3" w:rsidRDefault="004102E3" w:rsidP="004B08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D3D"/>
    <w:rsid w:val="00012BFB"/>
    <w:rsid w:val="00022D3D"/>
    <w:rsid w:val="00040692"/>
    <w:rsid w:val="000449C4"/>
    <w:rsid w:val="00073869"/>
    <w:rsid w:val="000A35F1"/>
    <w:rsid w:val="000C3937"/>
    <w:rsid w:val="000C3A6F"/>
    <w:rsid w:val="000E43F6"/>
    <w:rsid w:val="00113602"/>
    <w:rsid w:val="00154251"/>
    <w:rsid w:val="001812BB"/>
    <w:rsid w:val="00187ECC"/>
    <w:rsid w:val="001F0B68"/>
    <w:rsid w:val="001F3C39"/>
    <w:rsid w:val="00204342"/>
    <w:rsid w:val="002151B9"/>
    <w:rsid w:val="00232080"/>
    <w:rsid w:val="00275BA0"/>
    <w:rsid w:val="002A750A"/>
    <w:rsid w:val="002B7AB5"/>
    <w:rsid w:val="002C13EB"/>
    <w:rsid w:val="002D5EF5"/>
    <w:rsid w:val="002D6017"/>
    <w:rsid w:val="00300000"/>
    <w:rsid w:val="00305142"/>
    <w:rsid w:val="0031522C"/>
    <w:rsid w:val="004102E3"/>
    <w:rsid w:val="004200CC"/>
    <w:rsid w:val="004935FE"/>
    <w:rsid w:val="004B0872"/>
    <w:rsid w:val="004D2930"/>
    <w:rsid w:val="004D3915"/>
    <w:rsid w:val="004F3A1C"/>
    <w:rsid w:val="0050397F"/>
    <w:rsid w:val="005821D5"/>
    <w:rsid w:val="00595625"/>
    <w:rsid w:val="005D46D7"/>
    <w:rsid w:val="00612FC3"/>
    <w:rsid w:val="00616CC7"/>
    <w:rsid w:val="006312B9"/>
    <w:rsid w:val="006446C0"/>
    <w:rsid w:val="00665EF0"/>
    <w:rsid w:val="00686FF2"/>
    <w:rsid w:val="006932D3"/>
    <w:rsid w:val="006A5809"/>
    <w:rsid w:val="006A5EE1"/>
    <w:rsid w:val="006C2660"/>
    <w:rsid w:val="00703B9E"/>
    <w:rsid w:val="00714F60"/>
    <w:rsid w:val="00716DF6"/>
    <w:rsid w:val="00727D29"/>
    <w:rsid w:val="00760270"/>
    <w:rsid w:val="0076547D"/>
    <w:rsid w:val="00765785"/>
    <w:rsid w:val="00766675"/>
    <w:rsid w:val="00790C2F"/>
    <w:rsid w:val="007912B8"/>
    <w:rsid w:val="007C3570"/>
    <w:rsid w:val="007C6171"/>
    <w:rsid w:val="00815AD3"/>
    <w:rsid w:val="008210DF"/>
    <w:rsid w:val="00827884"/>
    <w:rsid w:val="008349DB"/>
    <w:rsid w:val="008578A8"/>
    <w:rsid w:val="00873467"/>
    <w:rsid w:val="008B1BE7"/>
    <w:rsid w:val="008B7476"/>
    <w:rsid w:val="008F652D"/>
    <w:rsid w:val="00903BC1"/>
    <w:rsid w:val="00947138"/>
    <w:rsid w:val="009658DC"/>
    <w:rsid w:val="009679D6"/>
    <w:rsid w:val="009951AA"/>
    <w:rsid w:val="009971FE"/>
    <w:rsid w:val="009A0D64"/>
    <w:rsid w:val="009B4399"/>
    <w:rsid w:val="009B64F0"/>
    <w:rsid w:val="009F3F31"/>
    <w:rsid w:val="009F59E2"/>
    <w:rsid w:val="00A16CDB"/>
    <w:rsid w:val="00A33DA5"/>
    <w:rsid w:val="00AD7001"/>
    <w:rsid w:val="00B05E9A"/>
    <w:rsid w:val="00B5331C"/>
    <w:rsid w:val="00B677F1"/>
    <w:rsid w:val="00B67966"/>
    <w:rsid w:val="00B879BD"/>
    <w:rsid w:val="00B96CF3"/>
    <w:rsid w:val="00BA36EB"/>
    <w:rsid w:val="00BC6E62"/>
    <w:rsid w:val="00BD04C6"/>
    <w:rsid w:val="00BF5DCE"/>
    <w:rsid w:val="00C17C69"/>
    <w:rsid w:val="00C216DF"/>
    <w:rsid w:val="00C606B4"/>
    <w:rsid w:val="00C86042"/>
    <w:rsid w:val="00C91ADB"/>
    <w:rsid w:val="00C91FAF"/>
    <w:rsid w:val="00D14B79"/>
    <w:rsid w:val="00D31DC6"/>
    <w:rsid w:val="00D46FDA"/>
    <w:rsid w:val="00D63521"/>
    <w:rsid w:val="00DA24BE"/>
    <w:rsid w:val="00DE11D2"/>
    <w:rsid w:val="00DF35E7"/>
    <w:rsid w:val="00E12BA2"/>
    <w:rsid w:val="00E33ABF"/>
    <w:rsid w:val="00F11E63"/>
    <w:rsid w:val="00F36750"/>
    <w:rsid w:val="00F42E73"/>
    <w:rsid w:val="00F44E85"/>
    <w:rsid w:val="00F50486"/>
    <w:rsid w:val="00F745CD"/>
    <w:rsid w:val="00FE42F6"/>
    <w:rsid w:val="00FE4654"/>
    <w:rsid w:val="00FE764F"/>
    <w:rsid w:val="0AFC72D5"/>
    <w:rsid w:val="4D9F18B3"/>
    <w:rsid w:val="6DF05CDA"/>
    <w:rsid w:val="7D60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22C"/>
    <w:pPr>
      <w:widowControl w:val="0"/>
      <w:jc w:val="both"/>
    </w:pPr>
    <w:rPr>
      <w:rFonts w:ascii="Times New Roman" w:eastAsia="方正仿宋简体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15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15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1522C"/>
    <w:rPr>
      <w:rFonts w:eastAsia="方正仿宋简体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1522C"/>
    <w:rPr>
      <w:rFonts w:eastAsia="方正仿宋简体"/>
      <w:sz w:val="18"/>
      <w:szCs w:val="18"/>
    </w:rPr>
  </w:style>
  <w:style w:type="table" w:styleId="a5">
    <w:name w:val="Table Grid"/>
    <w:basedOn w:val="a1"/>
    <w:uiPriority w:val="39"/>
    <w:rsid w:val="009A0D6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91A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1ADB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4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mingshuang hu</dc:creator>
  <cp:lastModifiedBy>ZHONGM</cp:lastModifiedBy>
  <cp:revision>2</cp:revision>
  <dcterms:created xsi:type="dcterms:W3CDTF">2024-10-30T16:03:00Z</dcterms:created>
  <dcterms:modified xsi:type="dcterms:W3CDTF">2024-10-30T16:03:00Z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