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C23" w:rsidRDefault="00887C23"/>
    <w:p w:rsidR="00887C23" w:rsidRDefault="005168FD">
      <w:pPr>
        <w:jc w:val="center"/>
        <w:rPr>
          <w:rFonts w:ascii="宋体" w:eastAsia="宋体" w:hAnsi="宋体"/>
          <w:b/>
          <w:sz w:val="30"/>
        </w:rPr>
      </w:pPr>
      <w:r>
        <w:rPr>
          <w:rFonts w:ascii="宋体" w:eastAsia="宋体" w:hAnsi="宋体" w:hint="eastAsia"/>
          <w:b/>
          <w:sz w:val="30"/>
        </w:rPr>
        <w:t>博时裕乾纯债债券型证券投资基金</w:t>
      </w:r>
      <w:r>
        <w:rPr>
          <w:rFonts w:ascii="宋体" w:eastAsia="宋体" w:hAnsi="宋体" w:hint="eastAsia"/>
          <w:b/>
          <w:sz w:val="30"/>
        </w:rPr>
        <w:t>调整</w:t>
      </w:r>
      <w:bookmarkStart w:id="0" w:name="_GoBack"/>
      <w:bookmarkEnd w:id="0"/>
      <w:r>
        <w:rPr>
          <w:rFonts w:ascii="宋体" w:eastAsia="宋体" w:hAnsi="宋体" w:hint="eastAsia"/>
          <w:b/>
          <w:sz w:val="30"/>
        </w:rPr>
        <w:t>大额申购、转换转入、定期定额投资业务的公告</w:t>
      </w:r>
    </w:p>
    <w:p w:rsidR="00887C23" w:rsidRDefault="005168FD">
      <w:pPr>
        <w:jc w:val="center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公告送出日期：</w:t>
      </w:r>
      <w:r>
        <w:rPr>
          <w:rFonts w:ascii="宋体" w:eastAsia="宋体" w:hAnsi="宋体"/>
          <w:b/>
          <w:sz w:val="24"/>
        </w:rPr>
        <w:t>2024</w:t>
      </w:r>
      <w:r>
        <w:rPr>
          <w:rFonts w:ascii="宋体" w:eastAsia="宋体" w:hAnsi="宋体"/>
          <w:b/>
          <w:sz w:val="24"/>
        </w:rPr>
        <w:t>年</w:t>
      </w:r>
      <w:r>
        <w:rPr>
          <w:rFonts w:ascii="宋体" w:eastAsia="宋体" w:hAnsi="宋体"/>
          <w:b/>
          <w:sz w:val="24"/>
        </w:rPr>
        <w:t>10</w:t>
      </w:r>
      <w:r>
        <w:rPr>
          <w:rFonts w:ascii="宋体" w:eastAsia="宋体" w:hAnsi="宋体"/>
          <w:b/>
          <w:sz w:val="24"/>
        </w:rPr>
        <w:t>月</w:t>
      </w:r>
      <w:r>
        <w:rPr>
          <w:rFonts w:ascii="宋体" w:eastAsia="宋体" w:hAnsi="宋体"/>
          <w:b/>
          <w:sz w:val="24"/>
        </w:rPr>
        <w:t>31</w:t>
      </w:r>
      <w:r>
        <w:rPr>
          <w:rFonts w:ascii="宋体" w:eastAsia="宋体" w:hAnsi="宋体"/>
          <w:b/>
          <w:sz w:val="24"/>
        </w:rPr>
        <w:t>日</w:t>
      </w:r>
    </w:p>
    <w:p w:rsidR="00887C23" w:rsidRDefault="00887C23">
      <w:pPr>
        <w:jc w:val="center"/>
        <w:rPr>
          <w:rFonts w:ascii="宋体" w:eastAsia="宋体" w:hAnsi="宋体"/>
          <w:b/>
          <w:sz w:val="24"/>
        </w:rPr>
      </w:pPr>
    </w:p>
    <w:p w:rsidR="00887C23" w:rsidRDefault="005168FD">
      <w:pPr>
        <w:pStyle w:val="3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</w:t>
      </w:r>
      <w:r>
        <w:rPr>
          <w:rFonts w:ascii="宋体" w:eastAsia="宋体" w:hAnsi="宋体"/>
          <w:sz w:val="24"/>
        </w:rPr>
        <w:t>、公告基本信息</w:t>
      </w:r>
    </w:p>
    <w:tbl>
      <w:tblPr>
        <w:tblStyle w:val="a4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887C23">
        <w:tc>
          <w:tcPr>
            <w:tcW w:w="4260" w:type="dxa"/>
            <w:gridSpan w:val="2"/>
            <w:vAlign w:val="center"/>
          </w:tcPr>
          <w:p w:rsidR="00887C23" w:rsidRDefault="005168F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基金名称</w:t>
            </w:r>
          </w:p>
        </w:tc>
        <w:tc>
          <w:tcPr>
            <w:tcW w:w="4262" w:type="dxa"/>
            <w:gridSpan w:val="2"/>
            <w:vAlign w:val="center"/>
          </w:tcPr>
          <w:p w:rsidR="00887C23" w:rsidRDefault="005168F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博时裕乾纯债债券型证券投资基金</w:t>
            </w:r>
          </w:p>
        </w:tc>
      </w:tr>
      <w:tr w:rsidR="00887C23">
        <w:tc>
          <w:tcPr>
            <w:tcW w:w="4260" w:type="dxa"/>
            <w:gridSpan w:val="2"/>
            <w:vAlign w:val="center"/>
          </w:tcPr>
          <w:p w:rsidR="00887C23" w:rsidRDefault="005168F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基金简称</w:t>
            </w:r>
          </w:p>
        </w:tc>
        <w:tc>
          <w:tcPr>
            <w:tcW w:w="4262" w:type="dxa"/>
            <w:gridSpan w:val="2"/>
            <w:vAlign w:val="center"/>
          </w:tcPr>
          <w:p w:rsidR="00887C23" w:rsidRDefault="005168F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博时裕乾纯债债券</w:t>
            </w:r>
          </w:p>
        </w:tc>
      </w:tr>
      <w:tr w:rsidR="00887C23">
        <w:tc>
          <w:tcPr>
            <w:tcW w:w="4260" w:type="dxa"/>
            <w:gridSpan w:val="2"/>
            <w:vAlign w:val="center"/>
          </w:tcPr>
          <w:p w:rsidR="00887C23" w:rsidRDefault="005168F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基金主代码</w:t>
            </w:r>
          </w:p>
        </w:tc>
        <w:tc>
          <w:tcPr>
            <w:tcW w:w="4262" w:type="dxa"/>
            <w:gridSpan w:val="2"/>
            <w:vAlign w:val="center"/>
          </w:tcPr>
          <w:p w:rsidR="00887C23" w:rsidRDefault="005168F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002175</w:t>
            </w:r>
          </w:p>
        </w:tc>
      </w:tr>
      <w:tr w:rsidR="00887C23">
        <w:tc>
          <w:tcPr>
            <w:tcW w:w="4260" w:type="dxa"/>
            <w:gridSpan w:val="2"/>
            <w:vAlign w:val="center"/>
          </w:tcPr>
          <w:p w:rsidR="00887C23" w:rsidRDefault="005168F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基金管理人名称</w:t>
            </w:r>
          </w:p>
        </w:tc>
        <w:tc>
          <w:tcPr>
            <w:tcW w:w="4262" w:type="dxa"/>
            <w:gridSpan w:val="2"/>
            <w:vAlign w:val="center"/>
          </w:tcPr>
          <w:p w:rsidR="00887C23" w:rsidRDefault="005168F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博时基金管理有限公司</w:t>
            </w:r>
          </w:p>
        </w:tc>
      </w:tr>
      <w:tr w:rsidR="00887C23">
        <w:tc>
          <w:tcPr>
            <w:tcW w:w="4260" w:type="dxa"/>
            <w:gridSpan w:val="2"/>
            <w:vAlign w:val="center"/>
          </w:tcPr>
          <w:p w:rsidR="00887C23" w:rsidRDefault="005168F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公告依据</w:t>
            </w:r>
          </w:p>
        </w:tc>
        <w:tc>
          <w:tcPr>
            <w:tcW w:w="4262" w:type="dxa"/>
            <w:gridSpan w:val="2"/>
            <w:vAlign w:val="center"/>
          </w:tcPr>
          <w:p w:rsidR="00887C23" w:rsidRDefault="005168F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根据有关法律法规及《博时裕乾纯债债券型证券投资基金基金合同》、《博时裕乾纯债债券型证券投资基金招募说明书》等的规定</w:t>
            </w:r>
          </w:p>
        </w:tc>
      </w:tr>
      <w:tr w:rsidR="00887C23">
        <w:tc>
          <w:tcPr>
            <w:tcW w:w="2130" w:type="dxa"/>
            <w:vMerge w:val="restart"/>
            <w:vAlign w:val="center"/>
          </w:tcPr>
          <w:p w:rsidR="00887C23" w:rsidRDefault="005168F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暂停相关业务的起始日、金额及原因说明</w:t>
            </w:r>
          </w:p>
        </w:tc>
        <w:tc>
          <w:tcPr>
            <w:tcW w:w="2130" w:type="dxa"/>
            <w:vAlign w:val="center"/>
          </w:tcPr>
          <w:p w:rsidR="00887C23" w:rsidRDefault="005168F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暂停大额申购起始日</w:t>
            </w:r>
          </w:p>
        </w:tc>
        <w:tc>
          <w:tcPr>
            <w:tcW w:w="4262" w:type="dxa"/>
            <w:gridSpan w:val="2"/>
            <w:vAlign w:val="center"/>
          </w:tcPr>
          <w:p w:rsidR="00887C23" w:rsidRDefault="005168F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2024</w:t>
            </w:r>
            <w:r>
              <w:rPr>
                <w:rFonts w:ascii="宋体" w:eastAsia="宋体" w:hAnsi="宋体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>11</w:t>
            </w:r>
            <w:r>
              <w:rPr>
                <w:rFonts w:ascii="宋体" w:eastAsia="宋体" w:hAnsi="宋体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日</w:t>
            </w:r>
          </w:p>
        </w:tc>
      </w:tr>
      <w:tr w:rsidR="00887C23">
        <w:tc>
          <w:tcPr>
            <w:tcW w:w="2130" w:type="dxa"/>
            <w:vMerge/>
            <w:vAlign w:val="center"/>
          </w:tcPr>
          <w:p w:rsidR="00887C23" w:rsidRDefault="00887C23"/>
        </w:tc>
        <w:tc>
          <w:tcPr>
            <w:tcW w:w="2130" w:type="dxa"/>
            <w:vAlign w:val="center"/>
          </w:tcPr>
          <w:p w:rsidR="00887C23" w:rsidRDefault="005168F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暂停大额转换转入起始日</w:t>
            </w:r>
          </w:p>
        </w:tc>
        <w:tc>
          <w:tcPr>
            <w:tcW w:w="4262" w:type="dxa"/>
            <w:gridSpan w:val="2"/>
            <w:vAlign w:val="center"/>
          </w:tcPr>
          <w:p w:rsidR="00887C23" w:rsidRDefault="005168F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2024</w:t>
            </w:r>
            <w:r>
              <w:rPr>
                <w:rFonts w:ascii="宋体" w:eastAsia="宋体" w:hAnsi="宋体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>11</w:t>
            </w:r>
            <w:r>
              <w:rPr>
                <w:rFonts w:ascii="宋体" w:eastAsia="宋体" w:hAnsi="宋体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日</w:t>
            </w:r>
          </w:p>
        </w:tc>
      </w:tr>
      <w:tr w:rsidR="00887C23">
        <w:tc>
          <w:tcPr>
            <w:tcW w:w="2130" w:type="dxa"/>
            <w:vMerge/>
            <w:vAlign w:val="center"/>
          </w:tcPr>
          <w:p w:rsidR="00887C23" w:rsidRDefault="00887C23"/>
        </w:tc>
        <w:tc>
          <w:tcPr>
            <w:tcW w:w="2130" w:type="dxa"/>
            <w:vAlign w:val="center"/>
          </w:tcPr>
          <w:p w:rsidR="00887C23" w:rsidRDefault="005168F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暂停大额定期定额投资起始日</w:t>
            </w:r>
          </w:p>
        </w:tc>
        <w:tc>
          <w:tcPr>
            <w:tcW w:w="4262" w:type="dxa"/>
            <w:gridSpan w:val="2"/>
            <w:vAlign w:val="center"/>
          </w:tcPr>
          <w:p w:rsidR="00887C23" w:rsidRDefault="005168F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2024</w:t>
            </w:r>
            <w:r>
              <w:rPr>
                <w:rFonts w:ascii="宋体" w:eastAsia="宋体" w:hAnsi="宋体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>11</w:t>
            </w:r>
            <w:r>
              <w:rPr>
                <w:rFonts w:ascii="宋体" w:eastAsia="宋体" w:hAnsi="宋体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日</w:t>
            </w:r>
          </w:p>
        </w:tc>
      </w:tr>
      <w:tr w:rsidR="00887C23">
        <w:tc>
          <w:tcPr>
            <w:tcW w:w="2130" w:type="dxa"/>
            <w:vMerge/>
            <w:vAlign w:val="center"/>
          </w:tcPr>
          <w:p w:rsidR="00887C23" w:rsidRDefault="00887C23"/>
        </w:tc>
        <w:tc>
          <w:tcPr>
            <w:tcW w:w="2130" w:type="dxa"/>
            <w:vAlign w:val="center"/>
          </w:tcPr>
          <w:p w:rsidR="00887C23" w:rsidRDefault="005168F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暂停大额申购、转换转入、定期定额投资的原因说明</w:t>
            </w:r>
          </w:p>
        </w:tc>
        <w:tc>
          <w:tcPr>
            <w:tcW w:w="4262" w:type="dxa"/>
            <w:gridSpan w:val="2"/>
            <w:vAlign w:val="center"/>
          </w:tcPr>
          <w:p w:rsidR="00887C23" w:rsidRDefault="005168F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为保护基金份额持有人利益</w:t>
            </w:r>
          </w:p>
        </w:tc>
      </w:tr>
      <w:tr w:rsidR="00887C23">
        <w:trPr>
          <w:trHeight w:val="764"/>
        </w:trPr>
        <w:tc>
          <w:tcPr>
            <w:tcW w:w="4260" w:type="dxa"/>
            <w:gridSpan w:val="2"/>
            <w:vAlign w:val="center"/>
          </w:tcPr>
          <w:p w:rsidR="00887C23" w:rsidRDefault="005168F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下属基金份额的基金简称</w:t>
            </w:r>
          </w:p>
        </w:tc>
        <w:tc>
          <w:tcPr>
            <w:tcW w:w="2131" w:type="dxa"/>
            <w:vAlign w:val="center"/>
          </w:tcPr>
          <w:p w:rsidR="00887C23" w:rsidRDefault="005168F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博时裕乾纯债债券</w:t>
            </w:r>
            <w:r>
              <w:rPr>
                <w:rFonts w:ascii="宋体" w:eastAsia="宋体" w:hAnsi="宋体"/>
                <w:sz w:val="24"/>
              </w:rPr>
              <w:t>A</w:t>
            </w:r>
          </w:p>
        </w:tc>
        <w:tc>
          <w:tcPr>
            <w:tcW w:w="2131" w:type="dxa"/>
            <w:vAlign w:val="center"/>
          </w:tcPr>
          <w:p w:rsidR="00887C23" w:rsidRDefault="005168F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博时裕乾纯债债券</w:t>
            </w:r>
            <w:r>
              <w:rPr>
                <w:rFonts w:ascii="宋体" w:eastAsia="宋体" w:hAnsi="宋体"/>
                <w:sz w:val="24"/>
              </w:rPr>
              <w:t>C</w:t>
            </w:r>
          </w:p>
        </w:tc>
      </w:tr>
      <w:tr w:rsidR="00887C23">
        <w:trPr>
          <w:trHeight w:val="540"/>
        </w:trPr>
        <w:tc>
          <w:tcPr>
            <w:tcW w:w="4260" w:type="dxa"/>
            <w:gridSpan w:val="2"/>
            <w:vAlign w:val="center"/>
          </w:tcPr>
          <w:p w:rsidR="00887C23" w:rsidRDefault="005168F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下属基金份额的交易代码</w:t>
            </w:r>
          </w:p>
        </w:tc>
        <w:tc>
          <w:tcPr>
            <w:tcW w:w="2131" w:type="dxa"/>
            <w:vAlign w:val="center"/>
          </w:tcPr>
          <w:p w:rsidR="00887C23" w:rsidRDefault="005168F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002175</w:t>
            </w:r>
          </w:p>
        </w:tc>
        <w:tc>
          <w:tcPr>
            <w:tcW w:w="2131" w:type="dxa"/>
            <w:vAlign w:val="center"/>
          </w:tcPr>
          <w:p w:rsidR="00887C23" w:rsidRDefault="005168F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002404</w:t>
            </w:r>
          </w:p>
        </w:tc>
      </w:tr>
      <w:tr w:rsidR="00887C23">
        <w:tc>
          <w:tcPr>
            <w:tcW w:w="4260" w:type="dxa"/>
            <w:gridSpan w:val="2"/>
            <w:vAlign w:val="center"/>
          </w:tcPr>
          <w:p w:rsidR="00887C23" w:rsidRDefault="005168F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该类基金份额是否暂停大额申购、转换转入、定期定额投资业务</w:t>
            </w:r>
          </w:p>
        </w:tc>
        <w:tc>
          <w:tcPr>
            <w:tcW w:w="2131" w:type="dxa"/>
            <w:vAlign w:val="center"/>
          </w:tcPr>
          <w:p w:rsidR="00887C23" w:rsidRDefault="005168F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否</w:t>
            </w:r>
          </w:p>
        </w:tc>
        <w:tc>
          <w:tcPr>
            <w:tcW w:w="2131" w:type="dxa"/>
            <w:vAlign w:val="center"/>
          </w:tcPr>
          <w:p w:rsidR="00887C23" w:rsidRDefault="005168F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是</w:t>
            </w:r>
          </w:p>
        </w:tc>
      </w:tr>
      <w:tr w:rsidR="00887C23">
        <w:tc>
          <w:tcPr>
            <w:tcW w:w="4260" w:type="dxa"/>
            <w:gridSpan w:val="2"/>
            <w:vAlign w:val="center"/>
          </w:tcPr>
          <w:p w:rsidR="00887C23" w:rsidRDefault="005168F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下属基金份额的限制大额申购金额（元）</w:t>
            </w:r>
          </w:p>
        </w:tc>
        <w:tc>
          <w:tcPr>
            <w:tcW w:w="2131" w:type="dxa"/>
            <w:vAlign w:val="center"/>
          </w:tcPr>
          <w:p w:rsidR="00887C23" w:rsidRDefault="005168F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/</w:t>
            </w:r>
          </w:p>
        </w:tc>
        <w:tc>
          <w:tcPr>
            <w:tcW w:w="2131" w:type="dxa"/>
            <w:vAlign w:val="center"/>
          </w:tcPr>
          <w:p w:rsidR="00887C23" w:rsidRDefault="005168F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10,000,000.00</w:t>
            </w:r>
          </w:p>
        </w:tc>
      </w:tr>
      <w:tr w:rsidR="00887C23">
        <w:tc>
          <w:tcPr>
            <w:tcW w:w="4260" w:type="dxa"/>
            <w:gridSpan w:val="2"/>
            <w:vAlign w:val="center"/>
          </w:tcPr>
          <w:p w:rsidR="00887C23" w:rsidRDefault="005168F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下属基金份额的限制大额转换转入金额（元）</w:t>
            </w:r>
          </w:p>
        </w:tc>
        <w:tc>
          <w:tcPr>
            <w:tcW w:w="2131" w:type="dxa"/>
            <w:vAlign w:val="center"/>
          </w:tcPr>
          <w:p w:rsidR="00887C23" w:rsidRDefault="005168F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/</w:t>
            </w:r>
          </w:p>
        </w:tc>
        <w:tc>
          <w:tcPr>
            <w:tcW w:w="2131" w:type="dxa"/>
            <w:vAlign w:val="center"/>
          </w:tcPr>
          <w:p w:rsidR="00887C23" w:rsidRDefault="005168F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10,000,000.00</w:t>
            </w:r>
          </w:p>
        </w:tc>
      </w:tr>
      <w:tr w:rsidR="00887C23">
        <w:tc>
          <w:tcPr>
            <w:tcW w:w="4260" w:type="dxa"/>
            <w:gridSpan w:val="2"/>
            <w:vAlign w:val="center"/>
          </w:tcPr>
          <w:p w:rsidR="00887C23" w:rsidRDefault="005168F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下属基金份额的限制大额定期定额金额（元）</w:t>
            </w:r>
          </w:p>
        </w:tc>
        <w:tc>
          <w:tcPr>
            <w:tcW w:w="2131" w:type="dxa"/>
            <w:vAlign w:val="center"/>
          </w:tcPr>
          <w:p w:rsidR="00887C23" w:rsidRDefault="005168F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/</w:t>
            </w:r>
          </w:p>
        </w:tc>
        <w:tc>
          <w:tcPr>
            <w:tcW w:w="2131" w:type="dxa"/>
            <w:vAlign w:val="center"/>
          </w:tcPr>
          <w:p w:rsidR="00887C23" w:rsidRDefault="005168F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10,000,000.00</w:t>
            </w:r>
          </w:p>
        </w:tc>
      </w:tr>
    </w:tbl>
    <w:p w:rsidR="00887C23" w:rsidRDefault="00887C23"/>
    <w:p w:rsidR="00887C23" w:rsidRDefault="005168FD">
      <w:pPr>
        <w:pStyle w:val="3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2</w:t>
      </w:r>
      <w:r>
        <w:rPr>
          <w:rFonts w:ascii="宋体" w:eastAsia="宋体" w:hAnsi="宋体" w:hint="eastAsia"/>
          <w:sz w:val="24"/>
        </w:rPr>
        <w:t>、其他需要提示的事项</w:t>
      </w:r>
    </w:p>
    <w:p w:rsidR="00887C23" w:rsidRDefault="005168FD">
      <w:pPr>
        <w:pStyle w:val="a3"/>
        <w:spacing w:before="0" w:beforeAutospacing="0" w:after="0" w:afterAutospacing="0" w:line="36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）自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日起，本基金</w:t>
      </w:r>
      <w:r>
        <w:rPr>
          <w:rFonts w:hint="eastAsia"/>
        </w:rPr>
        <w:t>A</w:t>
      </w:r>
      <w:r>
        <w:rPr>
          <w:rFonts w:hint="eastAsia"/>
        </w:rPr>
        <w:t>类基金份额</w:t>
      </w:r>
      <w:r>
        <w:rPr>
          <w:rFonts w:hint="eastAsia"/>
        </w:rPr>
        <w:t>取消单日单个基金账户单笔或累计的申购、转换转入、定期定额投资申请金额不得超过</w:t>
      </w:r>
      <w:r>
        <w:rPr>
          <w:rFonts w:hint="eastAsia"/>
        </w:rPr>
        <w:t>200</w:t>
      </w:r>
      <w:r>
        <w:rPr>
          <w:rFonts w:hint="eastAsia"/>
        </w:rPr>
        <w:t>万元的限制，恢复办理大额申购、转换转入、定期定额投资业务。</w:t>
      </w:r>
    </w:p>
    <w:p w:rsidR="00887C23" w:rsidRDefault="005168FD">
      <w:pPr>
        <w:pStyle w:val="a3"/>
        <w:spacing w:before="0" w:beforeAutospacing="0" w:after="0" w:afterAutospacing="0" w:line="36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）自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日起，本基金</w:t>
      </w:r>
      <w:r>
        <w:rPr>
          <w:rFonts w:hint="eastAsia"/>
        </w:rPr>
        <w:t>C</w:t>
      </w:r>
      <w:r>
        <w:rPr>
          <w:rFonts w:hint="eastAsia"/>
        </w:rPr>
        <w:t>类基金份额单日每个基金账户的申购、转换转入、定期定额投资累计金额应不超过</w:t>
      </w:r>
      <w:r>
        <w:rPr>
          <w:rFonts w:hint="eastAsia"/>
        </w:rPr>
        <w:t>1000</w:t>
      </w:r>
      <w:r>
        <w:rPr>
          <w:rFonts w:hint="eastAsia"/>
        </w:rPr>
        <w:t>万元。如</w:t>
      </w:r>
      <w:r>
        <w:rPr>
          <w:rFonts w:hint="eastAsia"/>
        </w:rPr>
        <w:t>C</w:t>
      </w:r>
      <w:r>
        <w:rPr>
          <w:rFonts w:hint="eastAsia"/>
        </w:rPr>
        <w:t>类基金份额单日每个基金账户的申购、转换转入、定期定额投资累计金额超过</w:t>
      </w:r>
      <w:r>
        <w:rPr>
          <w:rFonts w:hint="eastAsia"/>
        </w:rPr>
        <w:t>1000</w:t>
      </w:r>
      <w:r>
        <w:rPr>
          <w:rFonts w:hint="eastAsia"/>
        </w:rPr>
        <w:t>万元，本</w:t>
      </w:r>
      <w:r>
        <w:rPr>
          <w:rFonts w:hint="eastAsia"/>
        </w:rPr>
        <w:t>基金管理人有权拒绝。</w:t>
      </w:r>
      <w:r>
        <w:rPr>
          <w:rStyle w:val="a5"/>
          <w:rFonts w:hint="eastAsia"/>
        </w:rPr>
        <w:t>如投资者于</w:t>
      </w:r>
      <w:r>
        <w:rPr>
          <w:rStyle w:val="a5"/>
          <w:rFonts w:hint="eastAsia"/>
        </w:rPr>
        <w:t>2024</w:t>
      </w:r>
      <w:r>
        <w:rPr>
          <w:rStyle w:val="a5"/>
          <w:rFonts w:hint="eastAsia"/>
        </w:rPr>
        <w:t>年</w:t>
      </w:r>
      <w:r>
        <w:rPr>
          <w:rStyle w:val="a5"/>
          <w:rFonts w:hint="eastAsia"/>
        </w:rPr>
        <w:t>10</w:t>
      </w:r>
      <w:r>
        <w:rPr>
          <w:rStyle w:val="a5"/>
          <w:rFonts w:hint="eastAsia"/>
        </w:rPr>
        <w:t>月</w:t>
      </w:r>
      <w:r>
        <w:rPr>
          <w:rStyle w:val="a5"/>
          <w:rFonts w:hint="eastAsia"/>
        </w:rPr>
        <w:t>31</w:t>
      </w:r>
      <w:r>
        <w:rPr>
          <w:rStyle w:val="a5"/>
          <w:rFonts w:hint="eastAsia"/>
        </w:rPr>
        <w:t>日</w:t>
      </w:r>
      <w:r>
        <w:rPr>
          <w:rStyle w:val="a5"/>
          <w:rFonts w:hint="eastAsia"/>
        </w:rPr>
        <w:t>15</w:t>
      </w:r>
      <w:r>
        <w:rPr>
          <w:rStyle w:val="a5"/>
          <w:rFonts w:hint="eastAsia"/>
        </w:rPr>
        <w:t>点之后申购、转换转入或定期定额投资上述基金，将适用上述限制安排，敬请投资者注意。</w:t>
      </w:r>
      <w:r>
        <w:rPr>
          <w:rFonts w:hint="eastAsia"/>
        </w:rPr>
        <w:t>在本基金</w:t>
      </w:r>
      <w:r>
        <w:rPr>
          <w:rFonts w:hint="eastAsia"/>
        </w:rPr>
        <w:t>C</w:t>
      </w:r>
      <w:r>
        <w:rPr>
          <w:rFonts w:hint="eastAsia"/>
        </w:rPr>
        <w:t>类份额</w:t>
      </w:r>
      <w:r>
        <w:rPr>
          <w:rFonts w:hint="eastAsia"/>
        </w:rPr>
        <w:t>暂停大额申购、转换转入、定期定额投资业务期间，其它业务正常办理。本基金</w:t>
      </w:r>
      <w:r>
        <w:rPr>
          <w:rFonts w:hint="eastAsia"/>
        </w:rPr>
        <w:t>C</w:t>
      </w:r>
      <w:r>
        <w:rPr>
          <w:rFonts w:hint="eastAsia"/>
        </w:rPr>
        <w:t>类份额</w:t>
      </w:r>
      <w:r>
        <w:rPr>
          <w:rFonts w:hint="eastAsia"/>
        </w:rPr>
        <w:t>恢复办理大额申购、转换转入、定期定额投资业务的时间将另行公告。</w:t>
      </w:r>
      <w:r>
        <w:rPr>
          <w:rFonts w:hint="eastAsia"/>
        </w:rPr>
        <w:t xml:space="preserve"> </w:t>
      </w:r>
    </w:p>
    <w:p w:rsidR="00887C23" w:rsidRDefault="005168FD">
      <w:pPr>
        <w:pStyle w:val="a3"/>
        <w:spacing w:before="0" w:beforeAutospacing="0" w:after="0" w:afterAutospacing="0" w:line="36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）如有疑问，请拨打博时一线通：</w:t>
      </w:r>
      <w:r>
        <w:rPr>
          <w:rFonts w:hint="eastAsia"/>
        </w:rPr>
        <w:t>95105568</w:t>
      </w:r>
      <w:r>
        <w:rPr>
          <w:rFonts w:hint="eastAsia"/>
        </w:rPr>
        <w:t>（免长途话费）或登录本公司网站</w:t>
      </w:r>
      <w:r>
        <w:rPr>
          <w:rFonts w:hint="eastAsia"/>
        </w:rPr>
        <w:t>www.bosera.com</w:t>
      </w:r>
      <w:r>
        <w:rPr>
          <w:rFonts w:hint="eastAsia"/>
        </w:rPr>
        <w:t>获取相关信息。</w:t>
      </w:r>
      <w:r>
        <w:rPr>
          <w:rFonts w:hint="eastAsia"/>
        </w:rPr>
        <w:t xml:space="preserve"> </w:t>
      </w:r>
    </w:p>
    <w:p w:rsidR="00887C23" w:rsidRDefault="005168FD">
      <w:pPr>
        <w:pStyle w:val="a3"/>
        <w:spacing w:before="0" w:beforeAutospacing="0" w:after="0" w:afterAutospacing="0" w:line="360" w:lineRule="auto"/>
        <w:ind w:firstLine="420"/>
      </w:pPr>
      <w:r>
        <w:rPr>
          <w:rFonts w:hint="eastAsia"/>
        </w:rPr>
        <w:t>特此公告。</w:t>
      </w:r>
      <w:r>
        <w:rPr>
          <w:rFonts w:hint="eastAsia"/>
        </w:rPr>
        <w:t xml:space="preserve"> </w:t>
      </w:r>
    </w:p>
    <w:p w:rsidR="00887C23" w:rsidRDefault="00887C23">
      <w:pPr>
        <w:pStyle w:val="a3"/>
        <w:spacing w:before="0" w:beforeAutospacing="0" w:after="0" w:afterAutospacing="0" w:line="360" w:lineRule="auto"/>
        <w:ind w:firstLine="420"/>
      </w:pPr>
    </w:p>
    <w:p w:rsidR="00887C23" w:rsidRDefault="00887C23">
      <w:pPr>
        <w:pStyle w:val="a3"/>
        <w:spacing w:before="0" w:beforeAutospacing="0" w:after="0" w:afterAutospacing="0" w:line="360" w:lineRule="auto"/>
        <w:ind w:firstLine="420"/>
      </w:pPr>
    </w:p>
    <w:p w:rsidR="00887C23" w:rsidRDefault="00887C23">
      <w:pPr>
        <w:pStyle w:val="a3"/>
        <w:spacing w:before="0" w:beforeAutospacing="0" w:after="0" w:afterAutospacing="0" w:line="360" w:lineRule="auto"/>
        <w:ind w:firstLine="420"/>
      </w:pPr>
    </w:p>
    <w:p w:rsidR="00887C23" w:rsidRDefault="005168FD">
      <w:pPr>
        <w:pStyle w:val="a3"/>
        <w:spacing w:before="0" w:beforeAutospacing="0" w:after="0" w:afterAutospacing="0" w:line="360" w:lineRule="auto"/>
        <w:ind w:firstLine="420"/>
        <w:jc w:val="right"/>
      </w:pPr>
      <w:r>
        <w:rPr>
          <w:rFonts w:hint="eastAsia"/>
        </w:rPr>
        <w:t>博时基金管理有限公司</w:t>
      </w:r>
    </w:p>
    <w:p w:rsidR="00887C23" w:rsidRDefault="005168FD">
      <w:pPr>
        <w:pStyle w:val="a3"/>
        <w:spacing w:before="0" w:beforeAutospacing="0" w:after="0" w:afterAutospacing="0" w:line="360" w:lineRule="auto"/>
        <w:ind w:firstLine="420"/>
        <w:jc w:val="right"/>
      </w:pPr>
      <w:r>
        <w:t>2024</w:t>
      </w:r>
      <w:r>
        <w:t>年</w:t>
      </w:r>
      <w:r>
        <w:t>10</w:t>
      </w:r>
      <w:r>
        <w:t>月</w:t>
      </w:r>
      <w:r>
        <w:t>31</w:t>
      </w:r>
      <w:r>
        <w:t>日</w:t>
      </w:r>
    </w:p>
    <w:sectPr w:rsidR="00887C23" w:rsidSect="00887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48C9"/>
    <w:rsid w:val="005168FD"/>
    <w:rsid w:val="008446BF"/>
    <w:rsid w:val="00887C23"/>
    <w:rsid w:val="00D748C9"/>
    <w:rsid w:val="55FB726D"/>
    <w:rsid w:val="65ED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23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87C2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C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887C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87C23"/>
    <w:rPr>
      <w:b/>
      <w:bCs/>
    </w:rPr>
  </w:style>
  <w:style w:type="character" w:customStyle="1" w:styleId="3Char">
    <w:name w:val="标题 3 Char"/>
    <w:basedOn w:val="a0"/>
    <w:link w:val="3"/>
    <w:uiPriority w:val="9"/>
    <w:rsid w:val="00887C23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853</Characters>
  <Application>Microsoft Office Word</Application>
  <DocSecurity>4</DocSecurity>
  <Lines>7</Lines>
  <Paragraphs>1</Paragraphs>
  <ScaleCrop>false</ScaleCrop>
  <Company>mycompany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BSKMadminDev</dc:creator>
  <cp:lastModifiedBy>ZHONGM</cp:lastModifiedBy>
  <cp:revision>2</cp:revision>
  <dcterms:created xsi:type="dcterms:W3CDTF">2024-10-30T16:03:00Z</dcterms:created>
  <dcterms:modified xsi:type="dcterms:W3CDTF">2024-10-30T16:03:00Z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B2EB37FEA5A947B18154E0DB1E555E00</vt:lpwstr>
  </property>
</Properties>
</file>