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73" w:rsidRDefault="00FD3673" w:rsidP="00FD3673">
      <w:pPr>
        <w:pStyle w:val="Default"/>
      </w:pPr>
    </w:p>
    <w:p w:rsidR="00FD3673" w:rsidRPr="00FD3673" w:rsidRDefault="00E271D0" w:rsidP="00FD3673">
      <w:pPr>
        <w:spacing w:before="120" w:after="120" w:line="480" w:lineRule="auto"/>
        <w:jc w:val="center"/>
        <w:rPr>
          <w:rFonts w:ascii="黑体" w:eastAsia="黑体" w:hAnsi="黑体" w:cs="Times New Roman"/>
          <w:b/>
          <w:color w:val="FF0000"/>
          <w:sz w:val="32"/>
          <w:szCs w:val="28"/>
        </w:rPr>
      </w:pPr>
      <w:r>
        <w:rPr>
          <w:rFonts w:ascii="黑体" w:eastAsia="黑体" w:hAnsi="黑体" w:cs="Times New Roman" w:hint="eastAsia"/>
          <w:b/>
          <w:color w:val="FF0000"/>
          <w:sz w:val="32"/>
          <w:szCs w:val="28"/>
        </w:rPr>
        <w:t>关于</w:t>
      </w:r>
      <w:r w:rsidR="00DA7580">
        <w:rPr>
          <w:rFonts w:ascii="黑体" w:eastAsia="黑体" w:hAnsi="黑体" w:cs="Times New Roman" w:hint="eastAsia"/>
          <w:b/>
          <w:color w:val="FF0000"/>
          <w:sz w:val="32"/>
          <w:szCs w:val="28"/>
        </w:rPr>
        <w:t>嘉实新添益定期开放混合型证券投资基金</w:t>
      </w:r>
    </w:p>
    <w:p w:rsidR="00052A60" w:rsidRDefault="0080797E" w:rsidP="00052A60">
      <w:pPr>
        <w:spacing w:before="120" w:after="120" w:line="480" w:lineRule="auto"/>
        <w:jc w:val="center"/>
        <w:rPr>
          <w:rFonts w:ascii="黑体" w:eastAsia="黑体" w:hAnsi="黑体" w:cs="Times New Roman"/>
          <w:b/>
          <w:color w:val="FF0000"/>
          <w:sz w:val="32"/>
          <w:szCs w:val="28"/>
        </w:rPr>
      </w:pPr>
      <w:r>
        <w:rPr>
          <w:rFonts w:ascii="黑体" w:eastAsia="黑体" w:hAnsi="黑体" w:cs="Times New Roman" w:hint="eastAsia"/>
          <w:b/>
          <w:color w:val="FF0000"/>
          <w:sz w:val="32"/>
          <w:szCs w:val="28"/>
        </w:rPr>
        <w:t>可能触发基金合同终止情形</w:t>
      </w:r>
      <w:r w:rsidR="00FD3673" w:rsidRPr="00FD3673">
        <w:rPr>
          <w:rFonts w:ascii="黑体" w:eastAsia="黑体" w:hAnsi="黑体" w:cs="Times New Roman" w:hint="eastAsia"/>
          <w:b/>
          <w:color w:val="FF0000"/>
          <w:sz w:val="32"/>
          <w:szCs w:val="28"/>
        </w:rPr>
        <w:t>的</w:t>
      </w:r>
      <w:r w:rsidR="00D026BB" w:rsidRPr="00D026BB">
        <w:rPr>
          <w:rFonts w:ascii="黑体" w:eastAsia="黑体" w:hAnsi="黑体" w:cs="Times New Roman" w:hint="eastAsia"/>
          <w:b/>
          <w:color w:val="FF0000"/>
          <w:sz w:val="32"/>
          <w:szCs w:val="28"/>
        </w:rPr>
        <w:t>第</w:t>
      </w:r>
      <w:r w:rsidR="00D026BB">
        <w:rPr>
          <w:rFonts w:ascii="黑体" w:eastAsia="黑体" w:hAnsi="黑体" w:cs="Times New Roman" w:hint="eastAsia"/>
          <w:b/>
          <w:color w:val="FF0000"/>
          <w:sz w:val="32"/>
          <w:szCs w:val="28"/>
        </w:rPr>
        <w:t>二</w:t>
      </w:r>
      <w:r w:rsidR="00D026BB" w:rsidRPr="00D026BB">
        <w:rPr>
          <w:rFonts w:ascii="黑体" w:eastAsia="黑体" w:hAnsi="黑体" w:cs="Times New Roman" w:hint="eastAsia"/>
          <w:b/>
          <w:color w:val="FF0000"/>
          <w:sz w:val="32"/>
          <w:szCs w:val="28"/>
        </w:rPr>
        <w:t>次提示性公告</w:t>
      </w:r>
    </w:p>
    <w:p w:rsidR="00052A60" w:rsidRPr="00D026BB" w:rsidRDefault="00D026BB" w:rsidP="00D026BB">
      <w:pPr>
        <w:pStyle w:val="2"/>
        <w:ind w:right="420" w:firstLine="480"/>
        <w:rPr>
          <w:color w:val="auto"/>
          <w:sz w:val="24"/>
        </w:rPr>
      </w:pPr>
      <w:r w:rsidRPr="00D026BB">
        <w:rPr>
          <w:rFonts w:hint="eastAsia"/>
          <w:color w:val="auto"/>
          <w:sz w:val="24"/>
        </w:rPr>
        <w:t>嘉实基金管理有限公司已于</w:t>
      </w:r>
      <w:r w:rsidRPr="00D026BB">
        <w:rPr>
          <w:color w:val="auto"/>
          <w:sz w:val="24"/>
        </w:rPr>
        <w:t>2024年10月15日</w:t>
      </w:r>
      <w:r>
        <w:rPr>
          <w:rFonts w:hint="eastAsia"/>
          <w:color w:val="auto"/>
          <w:sz w:val="24"/>
        </w:rPr>
        <w:t>、2</w:t>
      </w:r>
      <w:r>
        <w:rPr>
          <w:color w:val="auto"/>
          <w:sz w:val="24"/>
        </w:rPr>
        <w:t>024</w:t>
      </w:r>
      <w:r>
        <w:rPr>
          <w:rFonts w:hint="eastAsia"/>
          <w:color w:val="auto"/>
          <w:sz w:val="24"/>
        </w:rPr>
        <w:t>年1</w:t>
      </w:r>
      <w:r>
        <w:rPr>
          <w:color w:val="auto"/>
          <w:sz w:val="24"/>
        </w:rPr>
        <w:t>0</w:t>
      </w:r>
      <w:r>
        <w:rPr>
          <w:rFonts w:hint="eastAsia"/>
          <w:color w:val="auto"/>
          <w:sz w:val="24"/>
        </w:rPr>
        <w:t>月2</w:t>
      </w:r>
      <w:r w:rsidR="00582EB8">
        <w:rPr>
          <w:color w:val="auto"/>
          <w:sz w:val="24"/>
        </w:rPr>
        <w:t>2</w:t>
      </w:r>
      <w:r>
        <w:rPr>
          <w:rFonts w:hint="eastAsia"/>
          <w:color w:val="auto"/>
          <w:sz w:val="24"/>
        </w:rPr>
        <w:t>日</w:t>
      </w:r>
      <w:r w:rsidRPr="00D026BB">
        <w:rPr>
          <w:color w:val="auto"/>
          <w:sz w:val="24"/>
        </w:rPr>
        <w:t>在《上海证券报》及本公司官网（www.jsfund.cn）发布了《关于嘉实新添益定期开放混合型证券投资基金可能触发基金合同终止情形的提示性</w:t>
      </w:r>
      <w:bookmarkStart w:id="0" w:name="_GoBack"/>
      <w:bookmarkEnd w:id="0"/>
      <w:r w:rsidRPr="00D026BB">
        <w:rPr>
          <w:color w:val="auto"/>
          <w:sz w:val="24"/>
        </w:rPr>
        <w:t>公告》</w:t>
      </w:r>
      <w:r>
        <w:rPr>
          <w:rFonts w:hint="eastAsia"/>
          <w:color w:val="auto"/>
          <w:sz w:val="24"/>
        </w:rPr>
        <w:t>、《</w:t>
      </w:r>
      <w:r w:rsidRPr="00D026BB">
        <w:rPr>
          <w:color w:val="auto"/>
          <w:sz w:val="24"/>
        </w:rPr>
        <w:t>关于</w:t>
      </w:r>
      <w:r w:rsidR="006D6B84">
        <w:rPr>
          <w:color w:val="auto"/>
          <w:sz w:val="24"/>
        </w:rPr>
        <w:t>嘉实新添益定期开放混合型证券投资基金可能触发基金合同终止情形的</w:t>
      </w:r>
      <w:r w:rsidRPr="00D026BB">
        <w:rPr>
          <w:color w:val="auto"/>
          <w:sz w:val="24"/>
        </w:rPr>
        <w:t>第一次提示性公告</w:t>
      </w:r>
      <w:r>
        <w:rPr>
          <w:rFonts w:hint="eastAsia"/>
          <w:color w:val="auto"/>
          <w:sz w:val="24"/>
        </w:rPr>
        <w:t>》</w:t>
      </w:r>
      <w:r w:rsidRPr="00D026BB">
        <w:rPr>
          <w:color w:val="auto"/>
          <w:sz w:val="24"/>
        </w:rPr>
        <w:t>。为更好地提醒投资者相关事宜，现发布《关</w:t>
      </w:r>
      <w:r w:rsidR="008C639B">
        <w:rPr>
          <w:color w:val="auto"/>
          <w:sz w:val="24"/>
        </w:rPr>
        <w:t>于嘉实新添益定期开放混合型证券投资基金可能触发基金合同终止情形</w:t>
      </w:r>
      <w:r w:rsidRPr="00D026BB">
        <w:rPr>
          <w:color w:val="auto"/>
          <w:sz w:val="24"/>
        </w:rPr>
        <w:t>的第</w:t>
      </w:r>
      <w:r>
        <w:rPr>
          <w:rFonts w:hint="eastAsia"/>
          <w:color w:val="auto"/>
          <w:sz w:val="24"/>
        </w:rPr>
        <w:t>二</w:t>
      </w:r>
      <w:r w:rsidRPr="00D026BB">
        <w:rPr>
          <w:color w:val="auto"/>
          <w:sz w:val="24"/>
        </w:rPr>
        <w:t>次提示性公告》。</w:t>
      </w:r>
    </w:p>
    <w:p w:rsidR="00B268B5" w:rsidRDefault="0080797E" w:rsidP="00052A60">
      <w:pPr>
        <w:pStyle w:val="2"/>
        <w:ind w:right="420" w:firstLine="480"/>
        <w:rPr>
          <w:color w:val="auto"/>
          <w:sz w:val="24"/>
        </w:rPr>
      </w:pPr>
      <w:r w:rsidRPr="0080797E">
        <w:rPr>
          <w:rFonts w:hint="eastAsia"/>
          <w:color w:val="auto"/>
          <w:sz w:val="24"/>
        </w:rPr>
        <w:t>根据《中华人民共和国证券投资基金法》、《公开募集证券投资基金运作管理办法》、《</w:t>
      </w:r>
      <w:r w:rsidR="00DA7580">
        <w:rPr>
          <w:rFonts w:hint="eastAsia"/>
          <w:color w:val="auto"/>
          <w:sz w:val="24"/>
        </w:rPr>
        <w:t>嘉实新添益定期开放混合型证券投资基金</w:t>
      </w:r>
      <w:r w:rsidRPr="0080797E">
        <w:rPr>
          <w:rFonts w:hint="eastAsia"/>
          <w:color w:val="auto"/>
          <w:sz w:val="24"/>
        </w:rPr>
        <w:t>基金合同》（以下简称“《基金合同》”）的有关规定，</w:t>
      </w:r>
      <w:r w:rsidR="00DA7580">
        <w:rPr>
          <w:rFonts w:hint="eastAsia"/>
          <w:color w:val="auto"/>
          <w:sz w:val="24"/>
        </w:rPr>
        <w:t>嘉实新添益定期开放混合型证券投资基金</w:t>
      </w:r>
      <w:r w:rsidR="00247C19">
        <w:rPr>
          <w:rFonts w:hint="eastAsia"/>
          <w:color w:val="auto"/>
          <w:sz w:val="24"/>
        </w:rPr>
        <w:t>（以下简称“本基金”）可能触发基金合同终止情形，</w:t>
      </w:r>
      <w:r w:rsidRPr="0080797E">
        <w:rPr>
          <w:rFonts w:hint="eastAsia"/>
          <w:color w:val="auto"/>
          <w:sz w:val="24"/>
        </w:rPr>
        <w:t>现将相关事项提示公告如下：</w:t>
      </w:r>
    </w:p>
    <w:p w:rsidR="0080797E" w:rsidRPr="0080797E" w:rsidRDefault="0080797E" w:rsidP="00052A60">
      <w:pPr>
        <w:pStyle w:val="2"/>
        <w:ind w:right="420" w:firstLine="482"/>
        <w:rPr>
          <w:b/>
          <w:color w:val="auto"/>
          <w:sz w:val="24"/>
        </w:rPr>
      </w:pPr>
      <w:r w:rsidRPr="0080797E">
        <w:rPr>
          <w:rFonts w:hint="eastAsia"/>
          <w:b/>
          <w:color w:val="auto"/>
          <w:sz w:val="24"/>
        </w:rPr>
        <w:t>一、基金基本信息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2"/>
        <w:gridCol w:w="2775"/>
        <w:gridCol w:w="2775"/>
      </w:tblGrid>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color w:val="000000"/>
                <w:sz w:val="24"/>
                <w:szCs w:val="24"/>
              </w:rPr>
              <w:t>基金名称</w:t>
            </w:r>
          </w:p>
        </w:tc>
        <w:tc>
          <w:tcPr>
            <w:tcW w:w="5550" w:type="dxa"/>
            <w:gridSpan w:val="2"/>
          </w:tcPr>
          <w:p w:rsidR="0080797E" w:rsidRPr="0080797E" w:rsidRDefault="00DA7580" w:rsidP="0080520B">
            <w:pPr>
              <w:rPr>
                <w:rFonts w:ascii="宋体" w:eastAsia="宋体" w:hAnsi="宋体"/>
                <w:color w:val="000000"/>
                <w:sz w:val="24"/>
                <w:szCs w:val="24"/>
              </w:rPr>
            </w:pPr>
            <w:r>
              <w:rPr>
                <w:rFonts w:ascii="宋体" w:eastAsia="宋体" w:hAnsi="宋体" w:hint="eastAsia"/>
                <w:color w:val="000000"/>
                <w:kern w:val="0"/>
                <w:sz w:val="24"/>
                <w:szCs w:val="24"/>
              </w:rPr>
              <w:t>嘉实新添益定期开放混合型证券投资基金</w:t>
            </w:r>
          </w:p>
        </w:tc>
      </w:tr>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hint="eastAsia"/>
                <w:color w:val="000000"/>
                <w:sz w:val="24"/>
                <w:szCs w:val="24"/>
              </w:rPr>
              <w:t>基金简称</w:t>
            </w:r>
          </w:p>
        </w:tc>
        <w:tc>
          <w:tcPr>
            <w:tcW w:w="5550" w:type="dxa"/>
            <w:gridSpan w:val="2"/>
          </w:tcPr>
          <w:p w:rsidR="0080797E" w:rsidRPr="0080797E" w:rsidRDefault="00DA7580" w:rsidP="0080520B">
            <w:pPr>
              <w:rPr>
                <w:rFonts w:ascii="宋体" w:eastAsia="宋体" w:hAnsi="宋体"/>
                <w:color w:val="000000"/>
                <w:kern w:val="0"/>
                <w:sz w:val="24"/>
                <w:szCs w:val="24"/>
              </w:rPr>
            </w:pPr>
            <w:r w:rsidRPr="00DA7580">
              <w:rPr>
                <w:rFonts w:ascii="宋体" w:eastAsia="宋体" w:hAnsi="宋体" w:hint="eastAsia"/>
                <w:color w:val="000000"/>
                <w:kern w:val="0"/>
                <w:sz w:val="24"/>
                <w:szCs w:val="24"/>
              </w:rPr>
              <w:t>嘉实新添益定期混合</w:t>
            </w:r>
          </w:p>
        </w:tc>
      </w:tr>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hint="eastAsia"/>
                <w:color w:val="000000"/>
                <w:sz w:val="24"/>
                <w:szCs w:val="24"/>
              </w:rPr>
              <w:t>基金主代码</w:t>
            </w:r>
          </w:p>
        </w:tc>
        <w:tc>
          <w:tcPr>
            <w:tcW w:w="5550" w:type="dxa"/>
            <w:gridSpan w:val="2"/>
          </w:tcPr>
          <w:p w:rsidR="0080797E" w:rsidRPr="0080797E" w:rsidRDefault="00DA7580" w:rsidP="0080520B">
            <w:pPr>
              <w:rPr>
                <w:rFonts w:ascii="宋体" w:eastAsia="宋体" w:hAnsi="宋体"/>
                <w:color w:val="000000"/>
                <w:kern w:val="0"/>
                <w:sz w:val="24"/>
                <w:szCs w:val="24"/>
              </w:rPr>
            </w:pPr>
            <w:r w:rsidRPr="00DA7580">
              <w:rPr>
                <w:rFonts w:ascii="宋体" w:eastAsia="宋体" w:hAnsi="宋体"/>
                <w:color w:val="000000"/>
                <w:kern w:val="0"/>
                <w:sz w:val="24"/>
                <w:szCs w:val="24"/>
              </w:rPr>
              <w:t>007266</w:t>
            </w:r>
          </w:p>
        </w:tc>
      </w:tr>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hint="eastAsia"/>
                <w:color w:val="000000"/>
                <w:sz w:val="24"/>
                <w:szCs w:val="24"/>
              </w:rPr>
              <w:t>基金运作方式</w:t>
            </w:r>
          </w:p>
        </w:tc>
        <w:tc>
          <w:tcPr>
            <w:tcW w:w="5550" w:type="dxa"/>
            <w:gridSpan w:val="2"/>
          </w:tcPr>
          <w:p w:rsidR="0080797E" w:rsidRPr="0080797E" w:rsidRDefault="0080797E" w:rsidP="0080520B">
            <w:pPr>
              <w:rPr>
                <w:rFonts w:ascii="宋体" w:eastAsia="宋体" w:hAnsi="宋体"/>
                <w:color w:val="000000"/>
                <w:kern w:val="0"/>
                <w:sz w:val="24"/>
                <w:szCs w:val="24"/>
              </w:rPr>
            </w:pPr>
            <w:r w:rsidRPr="0080797E">
              <w:rPr>
                <w:rFonts w:ascii="宋体" w:eastAsia="宋体" w:hAnsi="宋体" w:hint="eastAsia"/>
                <w:color w:val="000000"/>
                <w:kern w:val="0"/>
                <w:sz w:val="24"/>
                <w:szCs w:val="24"/>
              </w:rPr>
              <w:t>契约型、以定期开放方式运作</w:t>
            </w:r>
          </w:p>
        </w:tc>
      </w:tr>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hint="eastAsia"/>
                <w:color w:val="000000"/>
                <w:sz w:val="24"/>
                <w:szCs w:val="24"/>
              </w:rPr>
              <w:t>基金合同生效日</w:t>
            </w:r>
          </w:p>
        </w:tc>
        <w:tc>
          <w:tcPr>
            <w:tcW w:w="5550" w:type="dxa"/>
            <w:gridSpan w:val="2"/>
          </w:tcPr>
          <w:p w:rsidR="0080797E" w:rsidRPr="0080797E" w:rsidRDefault="00DA7580" w:rsidP="0080520B">
            <w:pPr>
              <w:rPr>
                <w:rFonts w:ascii="宋体" w:eastAsia="宋体" w:hAnsi="宋体"/>
                <w:color w:val="000000"/>
                <w:kern w:val="0"/>
                <w:sz w:val="24"/>
                <w:szCs w:val="24"/>
              </w:rPr>
            </w:pPr>
            <w:r w:rsidRPr="00DA7580">
              <w:rPr>
                <w:rFonts w:ascii="宋体" w:eastAsia="宋体" w:hAnsi="宋体"/>
                <w:color w:val="000000"/>
                <w:kern w:val="0"/>
                <w:sz w:val="24"/>
                <w:szCs w:val="24"/>
              </w:rPr>
              <w:t>2019年8月9日</w:t>
            </w:r>
          </w:p>
        </w:tc>
      </w:tr>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hint="eastAsia"/>
                <w:color w:val="000000"/>
                <w:sz w:val="24"/>
                <w:szCs w:val="24"/>
              </w:rPr>
              <w:t>基金管理人名称</w:t>
            </w:r>
          </w:p>
        </w:tc>
        <w:tc>
          <w:tcPr>
            <w:tcW w:w="5550" w:type="dxa"/>
            <w:gridSpan w:val="2"/>
          </w:tcPr>
          <w:p w:rsidR="0080797E" w:rsidRPr="0080797E" w:rsidRDefault="0080797E" w:rsidP="0080520B">
            <w:pPr>
              <w:rPr>
                <w:rFonts w:ascii="宋体" w:eastAsia="宋体" w:hAnsi="宋体"/>
                <w:color w:val="000000"/>
                <w:kern w:val="0"/>
                <w:sz w:val="24"/>
                <w:szCs w:val="24"/>
              </w:rPr>
            </w:pPr>
            <w:r w:rsidRPr="0080797E">
              <w:rPr>
                <w:rFonts w:ascii="宋体" w:eastAsia="宋体" w:hAnsi="宋体" w:hint="eastAsia"/>
                <w:color w:val="000000"/>
                <w:kern w:val="0"/>
                <w:sz w:val="24"/>
                <w:szCs w:val="24"/>
              </w:rPr>
              <w:t>嘉实基金管理有限公司</w:t>
            </w:r>
          </w:p>
        </w:tc>
      </w:tr>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hint="eastAsia"/>
                <w:color w:val="000000"/>
                <w:sz w:val="24"/>
                <w:szCs w:val="24"/>
              </w:rPr>
              <w:t>基金托管人名称</w:t>
            </w:r>
          </w:p>
        </w:tc>
        <w:tc>
          <w:tcPr>
            <w:tcW w:w="5550" w:type="dxa"/>
            <w:gridSpan w:val="2"/>
          </w:tcPr>
          <w:p w:rsidR="0080797E" w:rsidRPr="0080797E" w:rsidRDefault="00DA7580" w:rsidP="0080520B">
            <w:pPr>
              <w:rPr>
                <w:rFonts w:ascii="宋体" w:eastAsia="宋体" w:hAnsi="宋体"/>
                <w:color w:val="000000"/>
                <w:kern w:val="0"/>
                <w:sz w:val="24"/>
                <w:szCs w:val="24"/>
              </w:rPr>
            </w:pPr>
            <w:r w:rsidRPr="00DA7580">
              <w:rPr>
                <w:rFonts w:ascii="宋体" w:eastAsia="宋体" w:hAnsi="宋体" w:hint="eastAsia"/>
                <w:color w:val="000000"/>
                <w:kern w:val="0"/>
                <w:sz w:val="24"/>
                <w:szCs w:val="24"/>
              </w:rPr>
              <w:t>交通银行股份有限公司</w:t>
            </w:r>
          </w:p>
        </w:tc>
      </w:tr>
      <w:tr w:rsidR="0080797E" w:rsidRPr="0080797E" w:rsidTr="00212636">
        <w:trPr>
          <w:jc w:val="center"/>
        </w:trPr>
        <w:tc>
          <w:tcPr>
            <w:tcW w:w="2972" w:type="dxa"/>
          </w:tcPr>
          <w:p w:rsidR="0080797E" w:rsidRPr="0080797E" w:rsidRDefault="0080797E" w:rsidP="0080520B">
            <w:pPr>
              <w:rPr>
                <w:rFonts w:ascii="宋体" w:eastAsia="宋体" w:hAnsi="宋体"/>
                <w:color w:val="000000"/>
                <w:sz w:val="24"/>
                <w:szCs w:val="24"/>
              </w:rPr>
            </w:pPr>
            <w:r w:rsidRPr="0080797E">
              <w:rPr>
                <w:rFonts w:ascii="宋体" w:eastAsia="宋体" w:hAnsi="宋体" w:hint="eastAsia"/>
                <w:color w:val="000000"/>
                <w:sz w:val="24"/>
                <w:szCs w:val="24"/>
              </w:rPr>
              <w:t>基金注册登记机构名称</w:t>
            </w:r>
          </w:p>
        </w:tc>
        <w:tc>
          <w:tcPr>
            <w:tcW w:w="5550" w:type="dxa"/>
            <w:gridSpan w:val="2"/>
          </w:tcPr>
          <w:p w:rsidR="0080797E" w:rsidRPr="0080797E" w:rsidRDefault="0080797E" w:rsidP="0080520B">
            <w:pPr>
              <w:rPr>
                <w:rFonts w:ascii="宋体" w:eastAsia="宋体" w:hAnsi="宋体"/>
                <w:color w:val="000000"/>
                <w:kern w:val="0"/>
                <w:sz w:val="24"/>
                <w:szCs w:val="24"/>
              </w:rPr>
            </w:pPr>
            <w:r w:rsidRPr="0080797E">
              <w:rPr>
                <w:rFonts w:ascii="宋体" w:eastAsia="宋体" w:hAnsi="宋体" w:hint="eastAsia"/>
                <w:color w:val="000000"/>
                <w:kern w:val="0"/>
                <w:sz w:val="24"/>
                <w:szCs w:val="24"/>
              </w:rPr>
              <w:t>嘉实基金管理有限公司</w:t>
            </w:r>
          </w:p>
        </w:tc>
      </w:tr>
      <w:tr w:rsidR="00212636" w:rsidRPr="0080797E" w:rsidTr="00212636">
        <w:trPr>
          <w:jc w:val="center"/>
        </w:trPr>
        <w:tc>
          <w:tcPr>
            <w:tcW w:w="2972" w:type="dxa"/>
            <w:vAlign w:val="center"/>
          </w:tcPr>
          <w:p w:rsidR="00212636" w:rsidRPr="0080797E" w:rsidRDefault="00212636" w:rsidP="00212636">
            <w:pPr>
              <w:rPr>
                <w:rFonts w:ascii="宋体" w:eastAsia="宋体" w:hAnsi="宋体"/>
                <w:color w:val="000000"/>
                <w:sz w:val="24"/>
                <w:szCs w:val="24"/>
              </w:rPr>
            </w:pPr>
            <w:r w:rsidRPr="00212636">
              <w:rPr>
                <w:rFonts w:ascii="宋体" w:eastAsia="宋体" w:hAnsi="宋体" w:hint="eastAsia"/>
                <w:color w:val="000000"/>
                <w:sz w:val="24"/>
                <w:szCs w:val="24"/>
              </w:rPr>
              <w:t>下属分级基金的基金简称</w:t>
            </w:r>
          </w:p>
        </w:tc>
        <w:tc>
          <w:tcPr>
            <w:tcW w:w="2775" w:type="dxa"/>
          </w:tcPr>
          <w:p w:rsidR="00212636" w:rsidRPr="0080797E" w:rsidRDefault="00212636" w:rsidP="00212636">
            <w:pPr>
              <w:rPr>
                <w:rFonts w:ascii="宋体" w:eastAsia="宋体" w:hAnsi="宋体"/>
                <w:color w:val="000000"/>
                <w:kern w:val="0"/>
                <w:sz w:val="24"/>
                <w:szCs w:val="24"/>
              </w:rPr>
            </w:pPr>
            <w:r w:rsidRPr="00DA7580">
              <w:rPr>
                <w:rFonts w:ascii="宋体" w:eastAsia="宋体" w:hAnsi="宋体" w:hint="eastAsia"/>
                <w:color w:val="000000"/>
                <w:kern w:val="0"/>
                <w:sz w:val="24"/>
                <w:szCs w:val="24"/>
              </w:rPr>
              <w:t>嘉实新添益定期混合</w:t>
            </w:r>
            <w:r>
              <w:rPr>
                <w:rFonts w:ascii="宋体" w:eastAsia="宋体" w:hAnsi="宋体" w:hint="eastAsia"/>
                <w:color w:val="000000"/>
                <w:kern w:val="0"/>
                <w:sz w:val="24"/>
                <w:szCs w:val="24"/>
              </w:rPr>
              <w:t>A</w:t>
            </w:r>
          </w:p>
        </w:tc>
        <w:tc>
          <w:tcPr>
            <w:tcW w:w="2775" w:type="dxa"/>
          </w:tcPr>
          <w:p w:rsidR="00212636" w:rsidRPr="0080797E" w:rsidRDefault="00212636" w:rsidP="00212636">
            <w:pPr>
              <w:rPr>
                <w:rFonts w:ascii="宋体" w:eastAsia="宋体" w:hAnsi="宋体"/>
                <w:color w:val="000000"/>
                <w:kern w:val="0"/>
                <w:sz w:val="24"/>
                <w:szCs w:val="24"/>
              </w:rPr>
            </w:pPr>
            <w:r w:rsidRPr="00DA7580">
              <w:rPr>
                <w:rFonts w:ascii="宋体" w:eastAsia="宋体" w:hAnsi="宋体" w:hint="eastAsia"/>
                <w:color w:val="000000"/>
                <w:kern w:val="0"/>
                <w:sz w:val="24"/>
                <w:szCs w:val="24"/>
              </w:rPr>
              <w:t>嘉实新添益定期混合</w:t>
            </w:r>
            <w:r>
              <w:rPr>
                <w:rFonts w:ascii="宋体" w:eastAsia="宋体" w:hAnsi="宋体" w:hint="eastAsia"/>
                <w:color w:val="000000"/>
                <w:kern w:val="0"/>
                <w:sz w:val="24"/>
                <w:szCs w:val="24"/>
              </w:rPr>
              <w:t>C</w:t>
            </w:r>
          </w:p>
        </w:tc>
      </w:tr>
      <w:tr w:rsidR="00212636" w:rsidRPr="0080797E" w:rsidTr="00212636">
        <w:trPr>
          <w:jc w:val="center"/>
        </w:trPr>
        <w:tc>
          <w:tcPr>
            <w:tcW w:w="2972" w:type="dxa"/>
            <w:vAlign w:val="center"/>
          </w:tcPr>
          <w:p w:rsidR="00212636" w:rsidRPr="0080797E" w:rsidRDefault="00212636" w:rsidP="00212636">
            <w:pPr>
              <w:rPr>
                <w:rFonts w:ascii="宋体" w:eastAsia="宋体" w:hAnsi="宋体"/>
                <w:color w:val="000000"/>
                <w:sz w:val="24"/>
                <w:szCs w:val="24"/>
              </w:rPr>
            </w:pPr>
            <w:r w:rsidRPr="00212636">
              <w:rPr>
                <w:rFonts w:ascii="宋体" w:eastAsia="宋体" w:hAnsi="宋体" w:hint="eastAsia"/>
                <w:color w:val="000000"/>
                <w:sz w:val="24"/>
                <w:szCs w:val="24"/>
              </w:rPr>
              <w:t>下属分级基金的交易代码</w:t>
            </w:r>
          </w:p>
        </w:tc>
        <w:tc>
          <w:tcPr>
            <w:tcW w:w="2775" w:type="dxa"/>
          </w:tcPr>
          <w:p w:rsidR="00212636" w:rsidRPr="0080797E" w:rsidRDefault="00212636" w:rsidP="00212636">
            <w:pPr>
              <w:rPr>
                <w:rFonts w:ascii="宋体" w:eastAsia="宋体" w:hAnsi="宋体"/>
                <w:color w:val="000000"/>
                <w:kern w:val="0"/>
                <w:sz w:val="24"/>
                <w:szCs w:val="24"/>
              </w:rPr>
            </w:pPr>
            <w:r w:rsidRPr="00DA7580">
              <w:rPr>
                <w:rFonts w:ascii="宋体" w:eastAsia="宋体" w:hAnsi="宋体"/>
                <w:color w:val="000000"/>
                <w:kern w:val="0"/>
                <w:sz w:val="24"/>
                <w:szCs w:val="24"/>
              </w:rPr>
              <w:t>007266</w:t>
            </w:r>
          </w:p>
        </w:tc>
        <w:tc>
          <w:tcPr>
            <w:tcW w:w="2775" w:type="dxa"/>
          </w:tcPr>
          <w:p w:rsidR="00212636" w:rsidRPr="0080797E" w:rsidRDefault="00212636" w:rsidP="00212636">
            <w:pPr>
              <w:rPr>
                <w:rFonts w:ascii="宋体" w:eastAsia="宋体" w:hAnsi="宋体"/>
                <w:color w:val="000000"/>
                <w:kern w:val="0"/>
                <w:sz w:val="24"/>
                <w:szCs w:val="24"/>
              </w:rPr>
            </w:pPr>
            <w:r w:rsidRPr="00212636">
              <w:rPr>
                <w:rFonts w:ascii="宋体" w:eastAsia="宋体" w:hAnsi="宋体"/>
                <w:color w:val="000000"/>
                <w:kern w:val="0"/>
                <w:sz w:val="24"/>
                <w:szCs w:val="24"/>
              </w:rPr>
              <w:t>007267</w:t>
            </w:r>
          </w:p>
        </w:tc>
      </w:tr>
    </w:tbl>
    <w:p w:rsidR="0080797E" w:rsidRPr="00571B70" w:rsidRDefault="0080797E" w:rsidP="00052A60">
      <w:pPr>
        <w:pStyle w:val="2"/>
        <w:ind w:right="420" w:firstLine="480"/>
        <w:rPr>
          <w:color w:val="auto"/>
          <w:sz w:val="24"/>
        </w:rPr>
      </w:pPr>
    </w:p>
    <w:p w:rsidR="00682A25" w:rsidRPr="0080797E" w:rsidRDefault="0080797E" w:rsidP="00682A25">
      <w:pPr>
        <w:pStyle w:val="2"/>
        <w:ind w:right="420" w:firstLine="482"/>
        <w:rPr>
          <w:b/>
          <w:color w:val="auto"/>
          <w:sz w:val="24"/>
        </w:rPr>
      </w:pPr>
      <w:r w:rsidRPr="0080797E">
        <w:rPr>
          <w:rFonts w:hint="eastAsia"/>
          <w:b/>
          <w:color w:val="auto"/>
          <w:sz w:val="24"/>
        </w:rPr>
        <w:t>二、可能触发基金合同终止的情形说明</w:t>
      </w:r>
    </w:p>
    <w:p w:rsidR="0080797E" w:rsidRDefault="00FD3673" w:rsidP="0080797E">
      <w:pPr>
        <w:pStyle w:val="2"/>
        <w:ind w:right="420" w:firstLine="480"/>
        <w:rPr>
          <w:color w:val="auto"/>
          <w:sz w:val="24"/>
        </w:rPr>
      </w:pPr>
      <w:r w:rsidRPr="00AF0BB4">
        <w:rPr>
          <w:rFonts w:hint="eastAsia"/>
          <w:color w:val="auto"/>
          <w:sz w:val="24"/>
        </w:rPr>
        <w:t>根据</w:t>
      </w:r>
      <w:r w:rsidR="0080797E">
        <w:rPr>
          <w:rFonts w:hint="eastAsia"/>
          <w:color w:val="auto"/>
          <w:sz w:val="24"/>
        </w:rPr>
        <w:t>《</w:t>
      </w:r>
      <w:r w:rsidRPr="00AF0BB4">
        <w:rPr>
          <w:rFonts w:hint="eastAsia"/>
          <w:color w:val="auto"/>
          <w:sz w:val="24"/>
        </w:rPr>
        <w:t>基金合同</w:t>
      </w:r>
      <w:r w:rsidR="0080797E">
        <w:rPr>
          <w:rFonts w:hint="eastAsia"/>
          <w:color w:val="auto"/>
          <w:sz w:val="24"/>
        </w:rPr>
        <w:t>》“第五部分 基金备案”之“三、基金存续期内的基金份额持有人数量和资产规模”约定</w:t>
      </w:r>
      <w:r w:rsidR="009A5942" w:rsidRPr="00AF0BB4">
        <w:rPr>
          <w:rFonts w:hint="eastAsia"/>
          <w:color w:val="auto"/>
          <w:sz w:val="24"/>
        </w:rPr>
        <w:t>，</w:t>
      </w:r>
      <w:r w:rsidR="0080797E">
        <w:rPr>
          <w:rFonts w:hint="eastAsia"/>
          <w:color w:val="auto"/>
          <w:sz w:val="24"/>
        </w:rPr>
        <w:t>“</w:t>
      </w:r>
      <w:r w:rsidR="001206B0">
        <w:rPr>
          <w:rFonts w:hint="eastAsia"/>
          <w:color w:val="auto"/>
          <w:sz w:val="24"/>
        </w:rPr>
        <w:t>《</w:t>
      </w:r>
      <w:r w:rsidR="00212636" w:rsidRPr="00212636">
        <w:rPr>
          <w:rFonts w:hint="eastAsia"/>
          <w:color w:val="auto"/>
          <w:sz w:val="24"/>
        </w:rPr>
        <w:t>基金合同》生效后，连续</w:t>
      </w:r>
      <w:r w:rsidR="00212636" w:rsidRPr="00212636">
        <w:rPr>
          <w:color w:val="auto"/>
          <w:sz w:val="24"/>
        </w:rPr>
        <w:t>20个工作日出现基金份额持有人数量不满200人或者基金资产净值低于5000万</w:t>
      </w:r>
      <w:r w:rsidR="00212636" w:rsidRPr="00212636">
        <w:rPr>
          <w:color w:val="auto"/>
          <w:sz w:val="24"/>
        </w:rPr>
        <w:lastRenderedPageBreak/>
        <w:t>元情形的，基金管理人应当在定期报告中予以披露；连续60个工作日出现前述情形的，基金管理人应当向中国证监会报告并提出解决方案，如转换运作方式、与其他基金合并或者终止基金合同</w:t>
      </w:r>
      <w:r w:rsidR="00212636">
        <w:rPr>
          <w:color w:val="auto"/>
          <w:sz w:val="24"/>
        </w:rPr>
        <w:t>等，并召开基金份额持有人大会进行表决，但基金合同另有约定的除外</w:t>
      </w:r>
      <w:r w:rsidR="00571B70" w:rsidRPr="00571B70">
        <w:rPr>
          <w:color w:val="auto"/>
          <w:sz w:val="24"/>
        </w:rPr>
        <w:t>。</w:t>
      </w:r>
      <w:r w:rsidR="00212636" w:rsidRPr="00BC0579">
        <w:rPr>
          <w:rFonts w:hint="eastAsia"/>
          <w:b/>
          <w:color w:val="auto"/>
          <w:sz w:val="24"/>
        </w:rPr>
        <w:t>尽管有前述约定，本基金自基金合同生效之日起，在任一开放期最后一日日终（登记机构完成最后一日申购、赎回业务申请的确认以后），如基金资产净值低于</w:t>
      </w:r>
      <w:r w:rsidR="00212636" w:rsidRPr="00BC0579">
        <w:rPr>
          <w:b/>
          <w:color w:val="auto"/>
          <w:sz w:val="24"/>
        </w:rPr>
        <w:t>5000万元，基金管理人经与基金托管人协商一致，有权决定终止《基金合</w:t>
      </w:r>
      <w:r w:rsidR="00212636" w:rsidRPr="00BC0579">
        <w:rPr>
          <w:rFonts w:hint="eastAsia"/>
          <w:b/>
          <w:color w:val="auto"/>
          <w:sz w:val="24"/>
        </w:rPr>
        <w:t>同》，无需召开基金份额持有人大会审议</w:t>
      </w:r>
      <w:r w:rsidR="009A5942" w:rsidRPr="00BC0579">
        <w:rPr>
          <w:b/>
          <w:color w:val="auto"/>
          <w:sz w:val="24"/>
        </w:rPr>
        <w:t>。</w:t>
      </w:r>
      <w:r w:rsidR="0080797E" w:rsidRPr="00BC0579">
        <w:rPr>
          <w:rFonts w:hint="eastAsia"/>
          <w:b/>
          <w:color w:val="auto"/>
          <w:sz w:val="24"/>
        </w:rPr>
        <w:t>”</w:t>
      </w:r>
    </w:p>
    <w:p w:rsidR="00491986" w:rsidRDefault="008F6ED6" w:rsidP="008F6ED6">
      <w:pPr>
        <w:pStyle w:val="2"/>
        <w:ind w:right="420" w:firstLine="480"/>
        <w:rPr>
          <w:color w:val="auto"/>
          <w:sz w:val="24"/>
        </w:rPr>
      </w:pPr>
      <w:r>
        <w:rPr>
          <w:rFonts w:hint="eastAsia"/>
          <w:color w:val="auto"/>
          <w:sz w:val="24"/>
        </w:rPr>
        <w:t>根据</w:t>
      </w:r>
      <w:r w:rsidRPr="008F6ED6">
        <w:rPr>
          <w:rFonts w:hint="eastAsia"/>
          <w:color w:val="auto"/>
          <w:sz w:val="24"/>
        </w:rPr>
        <w:t>基金管理人于</w:t>
      </w:r>
      <w:r w:rsidRPr="008F6ED6">
        <w:rPr>
          <w:color w:val="auto"/>
          <w:sz w:val="24"/>
        </w:rPr>
        <w:t>202</w:t>
      </w:r>
      <w:r w:rsidR="00212636">
        <w:rPr>
          <w:color w:val="auto"/>
          <w:sz w:val="24"/>
        </w:rPr>
        <w:t>4</w:t>
      </w:r>
      <w:r w:rsidRPr="008F6ED6">
        <w:rPr>
          <w:color w:val="auto"/>
          <w:sz w:val="24"/>
        </w:rPr>
        <w:t>年</w:t>
      </w:r>
      <w:r w:rsidR="00212636">
        <w:rPr>
          <w:color w:val="auto"/>
          <w:sz w:val="24"/>
        </w:rPr>
        <w:t>9</w:t>
      </w:r>
      <w:r w:rsidRPr="008F6ED6">
        <w:rPr>
          <w:color w:val="auto"/>
          <w:sz w:val="24"/>
        </w:rPr>
        <w:t>月2</w:t>
      </w:r>
      <w:r w:rsidR="00212636">
        <w:rPr>
          <w:color w:val="auto"/>
          <w:sz w:val="24"/>
        </w:rPr>
        <w:t>6</w:t>
      </w:r>
      <w:r w:rsidRPr="008F6ED6">
        <w:rPr>
          <w:color w:val="auto"/>
          <w:sz w:val="24"/>
        </w:rPr>
        <w:t>日发布的《</w:t>
      </w:r>
      <w:r w:rsidR="00212636" w:rsidRPr="00212636">
        <w:rPr>
          <w:rFonts w:hint="eastAsia"/>
          <w:color w:val="auto"/>
          <w:sz w:val="24"/>
        </w:rPr>
        <w:t>关于嘉实新添益定期开放混合型证券投资基金第五个开放期开放赎回及转换转出业务的公告</w:t>
      </w:r>
      <w:r w:rsidRPr="008F6ED6">
        <w:rPr>
          <w:color w:val="auto"/>
          <w:sz w:val="24"/>
        </w:rPr>
        <w:t>》，202</w:t>
      </w:r>
      <w:r w:rsidR="00212636">
        <w:rPr>
          <w:color w:val="auto"/>
          <w:sz w:val="24"/>
        </w:rPr>
        <w:t>4</w:t>
      </w:r>
      <w:r w:rsidRPr="008F6ED6">
        <w:rPr>
          <w:color w:val="auto"/>
          <w:sz w:val="24"/>
        </w:rPr>
        <w:t>年</w:t>
      </w:r>
      <w:r w:rsidR="00212636">
        <w:rPr>
          <w:color w:val="auto"/>
          <w:sz w:val="24"/>
        </w:rPr>
        <w:t>9</w:t>
      </w:r>
      <w:r w:rsidRPr="008F6ED6">
        <w:rPr>
          <w:color w:val="auto"/>
          <w:sz w:val="24"/>
        </w:rPr>
        <w:t>月</w:t>
      </w:r>
      <w:r w:rsidR="00212636">
        <w:rPr>
          <w:color w:val="auto"/>
          <w:sz w:val="24"/>
        </w:rPr>
        <w:t>30</w:t>
      </w:r>
      <w:r w:rsidRPr="008F6ED6">
        <w:rPr>
          <w:color w:val="auto"/>
          <w:sz w:val="24"/>
        </w:rPr>
        <w:t>日（含该日）至202</w:t>
      </w:r>
      <w:r w:rsidR="00212636">
        <w:rPr>
          <w:color w:val="auto"/>
          <w:sz w:val="24"/>
        </w:rPr>
        <w:t>4</w:t>
      </w:r>
      <w:r w:rsidRPr="008F6ED6">
        <w:rPr>
          <w:color w:val="auto"/>
          <w:sz w:val="24"/>
        </w:rPr>
        <w:t>年</w:t>
      </w:r>
      <w:r w:rsidR="00212636">
        <w:rPr>
          <w:color w:val="auto"/>
          <w:sz w:val="24"/>
        </w:rPr>
        <w:t>11</w:t>
      </w:r>
      <w:r w:rsidRPr="008F6ED6">
        <w:rPr>
          <w:color w:val="auto"/>
          <w:sz w:val="24"/>
        </w:rPr>
        <w:t>月</w:t>
      </w:r>
      <w:r w:rsidR="00212636">
        <w:rPr>
          <w:color w:val="auto"/>
          <w:sz w:val="24"/>
        </w:rPr>
        <w:t>1</w:t>
      </w:r>
      <w:r>
        <w:rPr>
          <w:color w:val="auto"/>
          <w:sz w:val="24"/>
        </w:rPr>
        <w:t>日（含该日）为本基金的第</w:t>
      </w:r>
      <w:r w:rsidR="00212636">
        <w:rPr>
          <w:rFonts w:hint="eastAsia"/>
          <w:color w:val="auto"/>
          <w:sz w:val="24"/>
        </w:rPr>
        <w:t>五</w:t>
      </w:r>
      <w:r>
        <w:rPr>
          <w:color w:val="auto"/>
          <w:sz w:val="24"/>
        </w:rPr>
        <w:t>个开放期</w:t>
      </w:r>
      <w:r>
        <w:rPr>
          <w:rFonts w:hint="eastAsia"/>
          <w:color w:val="auto"/>
          <w:sz w:val="24"/>
        </w:rPr>
        <w:t>。</w:t>
      </w:r>
      <w:r w:rsidRPr="008F6ED6">
        <w:rPr>
          <w:color w:val="auto"/>
          <w:sz w:val="24"/>
        </w:rPr>
        <w:t>若该开放期最后一个开放日（即</w:t>
      </w:r>
      <w:r w:rsidR="00212636" w:rsidRPr="00212636">
        <w:rPr>
          <w:color w:val="auto"/>
          <w:sz w:val="24"/>
        </w:rPr>
        <w:t>2024年11月1日</w:t>
      </w:r>
      <w:r w:rsidRPr="008F6ED6">
        <w:rPr>
          <w:color w:val="auto"/>
          <w:sz w:val="24"/>
        </w:rPr>
        <w:t>）日终</w:t>
      </w:r>
      <w:r w:rsidRPr="00491986">
        <w:rPr>
          <w:rFonts w:hint="eastAsia"/>
          <w:color w:val="auto"/>
          <w:sz w:val="24"/>
        </w:rPr>
        <w:t>（登记机构完成最后一日申购、赎回业务申请的确认以后）</w:t>
      </w:r>
      <w:r w:rsidRPr="008F6ED6">
        <w:rPr>
          <w:color w:val="auto"/>
          <w:sz w:val="24"/>
        </w:rPr>
        <w:t>，本基金出现触发基金合同终止的上述情形，基金管理人经与基金托管人协商一致，将终</w:t>
      </w:r>
      <w:r w:rsidR="00E17088">
        <w:rPr>
          <w:color w:val="auto"/>
          <w:sz w:val="24"/>
        </w:rPr>
        <w:t>止《基金合同》并按照《基金合同》的约定履行基金财产清算程序，无</w:t>
      </w:r>
      <w:r w:rsidR="00E17088">
        <w:rPr>
          <w:rFonts w:hint="eastAsia"/>
          <w:color w:val="auto"/>
          <w:sz w:val="24"/>
        </w:rPr>
        <w:t>需</w:t>
      </w:r>
      <w:r w:rsidRPr="008F6ED6">
        <w:rPr>
          <w:color w:val="auto"/>
          <w:sz w:val="24"/>
        </w:rPr>
        <w:t>召开基金份额持有人大会。</w:t>
      </w:r>
    </w:p>
    <w:p w:rsidR="008F6ED6" w:rsidRDefault="008F6ED6" w:rsidP="008F6ED6">
      <w:pPr>
        <w:pStyle w:val="2"/>
        <w:ind w:right="420" w:firstLine="480"/>
        <w:rPr>
          <w:color w:val="auto"/>
          <w:sz w:val="24"/>
        </w:rPr>
      </w:pPr>
    </w:p>
    <w:p w:rsidR="00491986" w:rsidRPr="00247C19" w:rsidRDefault="00491986" w:rsidP="00247C19">
      <w:pPr>
        <w:pStyle w:val="2"/>
        <w:ind w:right="420" w:firstLine="482"/>
        <w:rPr>
          <w:b/>
          <w:color w:val="auto"/>
          <w:sz w:val="24"/>
        </w:rPr>
      </w:pPr>
      <w:r w:rsidRPr="00247C19">
        <w:rPr>
          <w:rFonts w:hint="eastAsia"/>
          <w:b/>
          <w:color w:val="auto"/>
          <w:sz w:val="24"/>
        </w:rPr>
        <w:t>三、其他需要提示的事项</w:t>
      </w:r>
    </w:p>
    <w:p w:rsidR="00491986" w:rsidRPr="00486547" w:rsidRDefault="00491986" w:rsidP="00486547">
      <w:pPr>
        <w:pStyle w:val="2"/>
        <w:ind w:right="420" w:firstLine="480"/>
        <w:rPr>
          <w:color w:val="auto"/>
          <w:sz w:val="24"/>
        </w:rPr>
      </w:pPr>
      <w:r w:rsidRPr="00491986">
        <w:rPr>
          <w:color w:val="auto"/>
          <w:sz w:val="24"/>
        </w:rPr>
        <w:t>1、本基金</w:t>
      </w:r>
      <w:r w:rsidR="00E02325" w:rsidRPr="00E02325">
        <w:rPr>
          <w:rFonts w:hint="eastAsia"/>
          <w:color w:val="auto"/>
          <w:sz w:val="24"/>
        </w:rPr>
        <w:t>第五个开放期</w:t>
      </w:r>
      <w:r w:rsidRPr="00491986">
        <w:rPr>
          <w:color w:val="auto"/>
          <w:sz w:val="24"/>
        </w:rPr>
        <w:t>为</w:t>
      </w:r>
      <w:r w:rsidR="00212636" w:rsidRPr="00212636">
        <w:rPr>
          <w:color w:val="auto"/>
          <w:sz w:val="24"/>
        </w:rPr>
        <w:t>2024年9月30日（含该日）至2024年11月1日（含该日）</w:t>
      </w:r>
      <w:r w:rsidRPr="00491986">
        <w:rPr>
          <w:color w:val="auto"/>
          <w:sz w:val="24"/>
        </w:rPr>
        <w:t>，</w:t>
      </w:r>
      <w:r w:rsidR="00E02325" w:rsidRPr="00E02325">
        <w:rPr>
          <w:rFonts w:hint="eastAsia"/>
          <w:color w:val="auto"/>
          <w:sz w:val="24"/>
        </w:rPr>
        <w:t>为保护投资人权益，第五个开放期暂停办理申购、转换转入业务，仅办理赎回、转换转出业务</w:t>
      </w:r>
      <w:r w:rsidR="00E02325">
        <w:rPr>
          <w:rFonts w:hint="eastAsia"/>
          <w:color w:val="auto"/>
          <w:sz w:val="24"/>
        </w:rPr>
        <w:t>。</w:t>
      </w:r>
      <w:r w:rsidR="00E02325" w:rsidRPr="00491986">
        <w:rPr>
          <w:color w:val="auto"/>
          <w:sz w:val="24"/>
        </w:rPr>
        <w:t>根据《基金合同》约定，</w:t>
      </w:r>
      <w:r w:rsidR="00E02325" w:rsidRPr="00486547">
        <w:rPr>
          <w:rFonts w:hint="eastAsia"/>
          <w:color w:val="auto"/>
          <w:sz w:val="24"/>
        </w:rPr>
        <w:t>基金管理人不得在基</w:t>
      </w:r>
      <w:r w:rsidR="00E02325">
        <w:rPr>
          <w:rFonts w:hint="eastAsia"/>
          <w:color w:val="auto"/>
          <w:sz w:val="24"/>
        </w:rPr>
        <w:t>金合同约定之外的日期或者时间办理基金份额的申购</w:t>
      </w:r>
      <w:r w:rsidR="001206B0">
        <w:rPr>
          <w:rFonts w:hint="eastAsia"/>
          <w:color w:val="auto"/>
          <w:sz w:val="24"/>
        </w:rPr>
        <w:t>、</w:t>
      </w:r>
      <w:r w:rsidR="00E02325">
        <w:rPr>
          <w:rFonts w:hint="eastAsia"/>
          <w:color w:val="auto"/>
          <w:sz w:val="24"/>
        </w:rPr>
        <w:t>赎回或者转换</w:t>
      </w:r>
      <w:r w:rsidR="0087349F">
        <w:rPr>
          <w:rFonts w:hint="eastAsia"/>
          <w:color w:val="auto"/>
          <w:sz w:val="24"/>
        </w:rPr>
        <w:t>，</w:t>
      </w:r>
      <w:r w:rsidRPr="00491986">
        <w:rPr>
          <w:color w:val="auto"/>
          <w:sz w:val="24"/>
        </w:rPr>
        <w:t>因此开放期结束后本基金将不再开放申购、赎回和转换等业务。</w:t>
      </w:r>
    </w:p>
    <w:p w:rsidR="00B268B5" w:rsidRPr="008F6ED6" w:rsidRDefault="00E02325" w:rsidP="00491986">
      <w:pPr>
        <w:pStyle w:val="2"/>
        <w:ind w:right="420" w:firstLine="480"/>
        <w:rPr>
          <w:color w:val="auto"/>
          <w:sz w:val="24"/>
        </w:rPr>
      </w:pPr>
      <w:r>
        <w:rPr>
          <w:color w:val="auto"/>
          <w:sz w:val="24"/>
        </w:rPr>
        <w:t>2</w:t>
      </w:r>
      <w:r w:rsidR="00491986">
        <w:rPr>
          <w:rFonts w:hint="eastAsia"/>
          <w:color w:val="auto"/>
          <w:sz w:val="24"/>
        </w:rPr>
        <w:t>、</w:t>
      </w:r>
      <w:r w:rsidR="00491986" w:rsidRPr="00491986">
        <w:rPr>
          <w:color w:val="auto"/>
          <w:sz w:val="24"/>
        </w:rPr>
        <w:t>若</w:t>
      </w:r>
      <w:r w:rsidR="00F63FA2">
        <w:rPr>
          <w:color w:val="auto"/>
          <w:sz w:val="24"/>
        </w:rPr>
        <w:t>本基金</w:t>
      </w:r>
      <w:r w:rsidR="0087349F">
        <w:rPr>
          <w:color w:val="auto"/>
          <w:sz w:val="24"/>
        </w:rPr>
        <w:t>发生</w:t>
      </w:r>
      <w:r w:rsidR="00491986" w:rsidRPr="00491986">
        <w:rPr>
          <w:color w:val="auto"/>
          <w:sz w:val="24"/>
        </w:rPr>
        <w:t>《基金合同》终止</w:t>
      </w:r>
      <w:r w:rsidR="0087349F">
        <w:rPr>
          <w:color w:val="auto"/>
          <w:sz w:val="24"/>
        </w:rPr>
        <w:t>情形</w:t>
      </w:r>
      <w:r w:rsidR="00491986" w:rsidRPr="00491986">
        <w:rPr>
          <w:color w:val="auto"/>
          <w:sz w:val="24"/>
        </w:rPr>
        <w:t>，基金管理人将根据相关法律法规、《基金合同》等规定成立基金财产清算小组，履行基金财产清算程序</w:t>
      </w:r>
      <w:r w:rsidR="0087349F">
        <w:rPr>
          <w:color w:val="auto"/>
          <w:sz w:val="24"/>
        </w:rPr>
        <w:t>，终止</w:t>
      </w:r>
      <w:r w:rsidR="0087349F">
        <w:rPr>
          <w:rFonts w:hint="eastAsia"/>
          <w:color w:val="auto"/>
          <w:sz w:val="24"/>
        </w:rPr>
        <w:t>《</w:t>
      </w:r>
      <w:r w:rsidR="0087349F">
        <w:rPr>
          <w:color w:val="auto"/>
          <w:sz w:val="24"/>
        </w:rPr>
        <w:t>基金合同》</w:t>
      </w:r>
      <w:r w:rsidR="00491986" w:rsidRPr="00491986">
        <w:rPr>
          <w:color w:val="auto"/>
          <w:sz w:val="24"/>
        </w:rPr>
        <w:t>。</w:t>
      </w:r>
      <w:r w:rsidR="008F6ED6" w:rsidRPr="008F6ED6">
        <w:rPr>
          <w:rFonts w:hint="eastAsia"/>
          <w:color w:val="auto"/>
          <w:sz w:val="24"/>
        </w:rPr>
        <w:t>本基金正式进入清算程序后，投资者将无法办理本基金的申购、赎回和转换等业务。基金管理人承诺以诚实信用、勤勉尽责的原则管理和运用基金资产，并在履行必要手续后向投资者及时公告基金财产清算等后续安排，敬请投资者关注。</w:t>
      </w:r>
    </w:p>
    <w:p w:rsidR="008F6ED6" w:rsidRDefault="00E02325" w:rsidP="008F6ED6">
      <w:pPr>
        <w:pStyle w:val="2"/>
        <w:ind w:right="420" w:firstLine="480"/>
        <w:rPr>
          <w:color w:val="auto"/>
          <w:sz w:val="24"/>
        </w:rPr>
      </w:pPr>
      <w:r>
        <w:rPr>
          <w:color w:val="auto"/>
          <w:sz w:val="24"/>
        </w:rPr>
        <w:lastRenderedPageBreak/>
        <w:t>3</w:t>
      </w:r>
      <w:r w:rsidR="00491986">
        <w:rPr>
          <w:rFonts w:hint="eastAsia"/>
          <w:color w:val="auto"/>
          <w:sz w:val="24"/>
        </w:rPr>
        <w:t>、</w:t>
      </w:r>
      <w:r w:rsidR="008F6ED6" w:rsidRPr="008F6ED6">
        <w:rPr>
          <w:rFonts w:hint="eastAsia"/>
          <w:color w:val="auto"/>
          <w:sz w:val="24"/>
        </w:rPr>
        <w:t>投资者可拨打嘉实基金管理有限公司客户服务电话</w:t>
      </w:r>
      <w:r w:rsidR="008F6ED6" w:rsidRPr="008F6ED6">
        <w:rPr>
          <w:color w:val="auto"/>
          <w:sz w:val="24"/>
        </w:rPr>
        <w:t>400-600-8800或登录网站www.jsfund.cn咨询、了解相关情况。</w:t>
      </w:r>
    </w:p>
    <w:p w:rsidR="008F6ED6" w:rsidRPr="00E02325" w:rsidRDefault="008F6ED6" w:rsidP="008F6ED6">
      <w:pPr>
        <w:pStyle w:val="2"/>
        <w:ind w:right="420" w:firstLine="480"/>
        <w:rPr>
          <w:color w:val="auto"/>
          <w:sz w:val="24"/>
        </w:rPr>
      </w:pPr>
    </w:p>
    <w:p w:rsidR="00B268B5" w:rsidRPr="00247C19" w:rsidRDefault="00B268B5" w:rsidP="008F6ED6">
      <w:pPr>
        <w:pStyle w:val="2"/>
        <w:ind w:right="420" w:firstLine="480"/>
        <w:rPr>
          <w:color w:val="auto"/>
          <w:sz w:val="24"/>
        </w:rPr>
      </w:pPr>
      <w:r w:rsidRPr="00247C19">
        <w:rPr>
          <w:rFonts w:hint="eastAsia"/>
          <w:color w:val="auto"/>
          <w:sz w:val="24"/>
        </w:rPr>
        <w:t>特此公告</w:t>
      </w:r>
    </w:p>
    <w:p w:rsidR="00B268B5" w:rsidRPr="00247C19" w:rsidRDefault="00B268B5" w:rsidP="00247C19">
      <w:pPr>
        <w:pStyle w:val="2"/>
        <w:ind w:right="420" w:firstLine="480"/>
        <w:jc w:val="right"/>
        <w:rPr>
          <w:color w:val="auto"/>
          <w:sz w:val="24"/>
        </w:rPr>
      </w:pPr>
      <w:r w:rsidRPr="00247C19">
        <w:rPr>
          <w:rFonts w:hint="eastAsia"/>
          <w:color w:val="auto"/>
          <w:sz w:val="24"/>
        </w:rPr>
        <w:t>嘉实基金管理有限公司</w:t>
      </w:r>
    </w:p>
    <w:p w:rsidR="007A6556" w:rsidRPr="0080797E" w:rsidRDefault="00B268B5" w:rsidP="00EB560E">
      <w:pPr>
        <w:pStyle w:val="2"/>
        <w:ind w:right="420" w:firstLine="480"/>
        <w:jc w:val="right"/>
        <w:rPr>
          <w:color w:val="auto"/>
          <w:sz w:val="24"/>
        </w:rPr>
      </w:pPr>
      <w:r w:rsidRPr="00247C19">
        <w:rPr>
          <w:rFonts w:hint="eastAsia"/>
          <w:color w:val="auto"/>
          <w:sz w:val="24"/>
        </w:rPr>
        <w:t xml:space="preserve"> </w:t>
      </w:r>
      <w:r w:rsidR="00F00BF7" w:rsidRPr="00247C19">
        <w:rPr>
          <w:rFonts w:hint="eastAsia"/>
          <w:color w:val="auto"/>
          <w:sz w:val="24"/>
        </w:rPr>
        <w:t>202</w:t>
      </w:r>
      <w:r w:rsidR="00F00BF7">
        <w:rPr>
          <w:color w:val="auto"/>
          <w:sz w:val="24"/>
        </w:rPr>
        <w:t>4</w:t>
      </w:r>
      <w:r w:rsidR="00F00BF7" w:rsidRPr="00247C19">
        <w:rPr>
          <w:rFonts w:hint="eastAsia"/>
          <w:color w:val="auto"/>
          <w:sz w:val="24"/>
        </w:rPr>
        <w:t>年</w:t>
      </w:r>
      <w:r w:rsidR="00F00BF7">
        <w:rPr>
          <w:color w:val="auto"/>
          <w:sz w:val="24"/>
        </w:rPr>
        <w:t>10</w:t>
      </w:r>
      <w:r w:rsidR="00F00BF7" w:rsidRPr="00247C19">
        <w:rPr>
          <w:rFonts w:hint="eastAsia"/>
          <w:color w:val="auto"/>
          <w:sz w:val="24"/>
        </w:rPr>
        <w:t>月</w:t>
      </w:r>
      <w:r w:rsidR="00B12F3C">
        <w:rPr>
          <w:color w:val="auto"/>
          <w:sz w:val="24"/>
        </w:rPr>
        <w:t>29</w:t>
      </w:r>
      <w:r w:rsidRPr="00247C19">
        <w:rPr>
          <w:rFonts w:hint="eastAsia"/>
          <w:color w:val="auto"/>
          <w:sz w:val="24"/>
        </w:rPr>
        <w:t>日</w:t>
      </w:r>
    </w:p>
    <w:sectPr w:rsidR="007A6556" w:rsidRPr="0080797E" w:rsidSect="003908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1A" w:rsidRDefault="003C301A" w:rsidP="00795362">
      <w:r>
        <w:separator/>
      </w:r>
    </w:p>
  </w:endnote>
  <w:endnote w:type="continuationSeparator" w:id="0">
    <w:p w:rsidR="003C301A" w:rsidRDefault="003C301A" w:rsidP="0079536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1A" w:rsidRDefault="003C301A" w:rsidP="00795362">
      <w:r>
        <w:separator/>
      </w:r>
    </w:p>
  </w:footnote>
  <w:footnote w:type="continuationSeparator" w:id="0">
    <w:p w:rsidR="003C301A" w:rsidRDefault="003C301A" w:rsidP="007953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643"/>
    <w:rsid w:val="00052A60"/>
    <w:rsid w:val="001206B0"/>
    <w:rsid w:val="00212636"/>
    <w:rsid w:val="002162E4"/>
    <w:rsid w:val="00247C19"/>
    <w:rsid w:val="00276D50"/>
    <w:rsid w:val="002A6B49"/>
    <w:rsid w:val="00305491"/>
    <w:rsid w:val="00390877"/>
    <w:rsid w:val="003B6113"/>
    <w:rsid w:val="003C301A"/>
    <w:rsid w:val="00481825"/>
    <w:rsid w:val="00486547"/>
    <w:rsid w:val="00491986"/>
    <w:rsid w:val="00571B70"/>
    <w:rsid w:val="00582EB8"/>
    <w:rsid w:val="005D69CC"/>
    <w:rsid w:val="00682A25"/>
    <w:rsid w:val="00696286"/>
    <w:rsid w:val="006D67C1"/>
    <w:rsid w:val="006D6B84"/>
    <w:rsid w:val="006F1872"/>
    <w:rsid w:val="00795362"/>
    <w:rsid w:val="007A6556"/>
    <w:rsid w:val="007E590F"/>
    <w:rsid w:val="0080797E"/>
    <w:rsid w:val="0087349F"/>
    <w:rsid w:val="008C639B"/>
    <w:rsid w:val="008F6ED6"/>
    <w:rsid w:val="00903A95"/>
    <w:rsid w:val="0097618E"/>
    <w:rsid w:val="009A5942"/>
    <w:rsid w:val="00A029C2"/>
    <w:rsid w:val="00A04643"/>
    <w:rsid w:val="00AF0BB4"/>
    <w:rsid w:val="00B12F3C"/>
    <w:rsid w:val="00B268B5"/>
    <w:rsid w:val="00B95C54"/>
    <w:rsid w:val="00BC0579"/>
    <w:rsid w:val="00BE07E7"/>
    <w:rsid w:val="00C219B5"/>
    <w:rsid w:val="00D026BB"/>
    <w:rsid w:val="00D5797A"/>
    <w:rsid w:val="00DA7580"/>
    <w:rsid w:val="00E02325"/>
    <w:rsid w:val="00E17088"/>
    <w:rsid w:val="00E271D0"/>
    <w:rsid w:val="00EA399C"/>
    <w:rsid w:val="00EB560E"/>
    <w:rsid w:val="00ED4E81"/>
    <w:rsid w:val="00F00BF7"/>
    <w:rsid w:val="00F63FA2"/>
    <w:rsid w:val="00F86B56"/>
    <w:rsid w:val="00FD36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3673"/>
    <w:pPr>
      <w:widowControl w:val="0"/>
      <w:autoSpaceDE w:val="0"/>
      <w:autoSpaceDN w:val="0"/>
      <w:adjustRightInd w:val="0"/>
    </w:pPr>
    <w:rPr>
      <w:rFonts w:ascii="宋体" w:eastAsia="宋体" w:cs="宋体"/>
      <w:color w:val="000000"/>
      <w:kern w:val="0"/>
      <w:sz w:val="24"/>
      <w:szCs w:val="24"/>
    </w:rPr>
  </w:style>
  <w:style w:type="character" w:styleId="a3">
    <w:name w:val="annotation reference"/>
    <w:basedOn w:val="a0"/>
    <w:uiPriority w:val="99"/>
    <w:semiHidden/>
    <w:unhideWhenUsed/>
    <w:rsid w:val="00F86B56"/>
    <w:rPr>
      <w:sz w:val="21"/>
      <w:szCs w:val="21"/>
    </w:rPr>
  </w:style>
  <w:style w:type="paragraph" w:styleId="a4">
    <w:name w:val="annotation text"/>
    <w:basedOn w:val="a"/>
    <w:link w:val="Char"/>
    <w:uiPriority w:val="99"/>
    <w:semiHidden/>
    <w:unhideWhenUsed/>
    <w:rsid w:val="00F86B56"/>
    <w:pPr>
      <w:jc w:val="left"/>
    </w:pPr>
  </w:style>
  <w:style w:type="character" w:customStyle="1" w:styleId="Char">
    <w:name w:val="批注文字 Char"/>
    <w:basedOn w:val="a0"/>
    <w:link w:val="a4"/>
    <w:uiPriority w:val="99"/>
    <w:semiHidden/>
    <w:rsid w:val="00F86B56"/>
  </w:style>
  <w:style w:type="paragraph" w:styleId="a5">
    <w:name w:val="annotation subject"/>
    <w:basedOn w:val="a4"/>
    <w:next w:val="a4"/>
    <w:link w:val="Char0"/>
    <w:uiPriority w:val="99"/>
    <w:semiHidden/>
    <w:unhideWhenUsed/>
    <w:rsid w:val="00F86B56"/>
    <w:rPr>
      <w:b/>
      <w:bCs/>
    </w:rPr>
  </w:style>
  <w:style w:type="character" w:customStyle="1" w:styleId="Char0">
    <w:name w:val="批注主题 Char"/>
    <w:basedOn w:val="Char"/>
    <w:link w:val="a5"/>
    <w:uiPriority w:val="99"/>
    <w:semiHidden/>
    <w:rsid w:val="00F86B56"/>
    <w:rPr>
      <w:b/>
      <w:bCs/>
    </w:rPr>
  </w:style>
  <w:style w:type="paragraph" w:styleId="a6">
    <w:name w:val="Balloon Text"/>
    <w:basedOn w:val="a"/>
    <w:link w:val="Char1"/>
    <w:uiPriority w:val="99"/>
    <w:semiHidden/>
    <w:unhideWhenUsed/>
    <w:rsid w:val="00F86B56"/>
    <w:rPr>
      <w:sz w:val="18"/>
      <w:szCs w:val="18"/>
    </w:rPr>
  </w:style>
  <w:style w:type="character" w:customStyle="1" w:styleId="Char1">
    <w:name w:val="批注框文本 Char"/>
    <w:basedOn w:val="a0"/>
    <w:link w:val="a6"/>
    <w:uiPriority w:val="99"/>
    <w:semiHidden/>
    <w:rsid w:val="00F86B56"/>
    <w:rPr>
      <w:sz w:val="18"/>
      <w:szCs w:val="18"/>
    </w:rPr>
  </w:style>
  <w:style w:type="paragraph" w:styleId="2">
    <w:name w:val="Body Text Indent 2"/>
    <w:basedOn w:val="a"/>
    <w:link w:val="2Char"/>
    <w:rsid w:val="00B268B5"/>
    <w:pPr>
      <w:spacing w:line="360" w:lineRule="auto"/>
      <w:ind w:firstLineChars="200" w:firstLine="420"/>
    </w:pPr>
    <w:rPr>
      <w:rFonts w:ascii="宋体" w:eastAsia="宋体" w:hAnsi="宋体" w:cs="Times New Roman"/>
      <w:color w:val="FF0000"/>
      <w:kern w:val="0"/>
      <w:szCs w:val="24"/>
    </w:rPr>
  </w:style>
  <w:style w:type="character" w:customStyle="1" w:styleId="2Char">
    <w:name w:val="正文文本缩进 2 Char"/>
    <w:basedOn w:val="a0"/>
    <w:link w:val="2"/>
    <w:rsid w:val="00B268B5"/>
    <w:rPr>
      <w:rFonts w:ascii="宋体" w:eastAsia="宋体" w:hAnsi="宋体" w:cs="Times New Roman"/>
      <w:color w:val="FF0000"/>
      <w:kern w:val="0"/>
      <w:szCs w:val="24"/>
    </w:rPr>
  </w:style>
  <w:style w:type="paragraph" w:styleId="a7">
    <w:name w:val="header"/>
    <w:basedOn w:val="a"/>
    <w:link w:val="Char2"/>
    <w:uiPriority w:val="99"/>
    <w:unhideWhenUsed/>
    <w:rsid w:val="007953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795362"/>
    <w:rPr>
      <w:sz w:val="18"/>
      <w:szCs w:val="18"/>
    </w:rPr>
  </w:style>
  <w:style w:type="paragraph" w:styleId="a8">
    <w:name w:val="footer"/>
    <w:basedOn w:val="a"/>
    <w:link w:val="Char3"/>
    <w:uiPriority w:val="99"/>
    <w:unhideWhenUsed/>
    <w:rsid w:val="00795362"/>
    <w:pPr>
      <w:tabs>
        <w:tab w:val="center" w:pos="4153"/>
        <w:tab w:val="right" w:pos="8306"/>
      </w:tabs>
      <w:snapToGrid w:val="0"/>
      <w:jc w:val="left"/>
    </w:pPr>
    <w:rPr>
      <w:sz w:val="18"/>
      <w:szCs w:val="18"/>
    </w:rPr>
  </w:style>
  <w:style w:type="character" w:customStyle="1" w:styleId="Char3">
    <w:name w:val="页脚 Char"/>
    <w:basedOn w:val="a0"/>
    <w:link w:val="a8"/>
    <w:uiPriority w:val="99"/>
    <w:rsid w:val="00795362"/>
    <w:rPr>
      <w:sz w:val="18"/>
      <w:szCs w:val="18"/>
    </w:rPr>
  </w:style>
  <w:style w:type="paragraph" w:styleId="a9">
    <w:name w:val="Revision"/>
    <w:hidden/>
    <w:uiPriority w:val="99"/>
    <w:semiHidden/>
    <w:rsid w:val="00BC0579"/>
  </w:style>
</w:styles>
</file>

<file path=word/webSettings.xml><?xml version="1.0" encoding="utf-8"?>
<w:webSettings xmlns:r="http://schemas.openxmlformats.org/officeDocument/2006/relationships" xmlns:w="http://schemas.openxmlformats.org/wordprocessingml/2006/main">
  <w:divs>
    <w:div w:id="651983076">
      <w:bodyDiv w:val="1"/>
      <w:marLeft w:val="0"/>
      <w:marRight w:val="0"/>
      <w:marTop w:val="0"/>
      <w:marBottom w:val="0"/>
      <w:divBdr>
        <w:top w:val="none" w:sz="0" w:space="0" w:color="auto"/>
        <w:left w:val="none" w:sz="0" w:space="0" w:color="auto"/>
        <w:bottom w:val="none" w:sz="0" w:space="0" w:color="auto"/>
        <w:right w:val="none" w:sz="0" w:space="0" w:color="auto"/>
      </w:divBdr>
      <w:divsChild>
        <w:div w:id="1398092110">
          <w:marLeft w:val="0"/>
          <w:marRight w:val="0"/>
          <w:marTop w:val="0"/>
          <w:marBottom w:val="0"/>
          <w:divBdr>
            <w:top w:val="none" w:sz="0" w:space="0" w:color="auto"/>
            <w:left w:val="none" w:sz="0" w:space="0" w:color="auto"/>
            <w:bottom w:val="none" w:sz="0" w:space="0" w:color="auto"/>
            <w:right w:val="none" w:sz="0" w:space="0" w:color="auto"/>
          </w:divBdr>
        </w:div>
        <w:div w:id="144200794">
          <w:marLeft w:val="0"/>
          <w:marRight w:val="0"/>
          <w:marTop w:val="0"/>
          <w:marBottom w:val="0"/>
          <w:divBdr>
            <w:top w:val="none" w:sz="0" w:space="0" w:color="auto"/>
            <w:left w:val="none" w:sz="0" w:space="0" w:color="auto"/>
            <w:bottom w:val="none" w:sz="0" w:space="0" w:color="auto"/>
            <w:right w:val="none" w:sz="0" w:space="0" w:color="auto"/>
          </w:divBdr>
        </w:div>
        <w:div w:id="374349144">
          <w:marLeft w:val="0"/>
          <w:marRight w:val="0"/>
          <w:marTop w:val="0"/>
          <w:marBottom w:val="0"/>
          <w:divBdr>
            <w:top w:val="none" w:sz="0" w:space="0" w:color="auto"/>
            <w:left w:val="none" w:sz="0" w:space="0" w:color="auto"/>
            <w:bottom w:val="none" w:sz="0" w:space="0" w:color="auto"/>
            <w:right w:val="none" w:sz="0" w:space="0" w:color="auto"/>
          </w:divBdr>
        </w:div>
        <w:div w:id="1021586728">
          <w:marLeft w:val="0"/>
          <w:marRight w:val="0"/>
          <w:marTop w:val="0"/>
          <w:marBottom w:val="0"/>
          <w:divBdr>
            <w:top w:val="none" w:sz="0" w:space="0" w:color="auto"/>
            <w:left w:val="none" w:sz="0" w:space="0" w:color="auto"/>
            <w:bottom w:val="none" w:sz="0" w:space="0" w:color="auto"/>
            <w:right w:val="none" w:sz="0" w:space="0" w:color="auto"/>
          </w:divBdr>
        </w:div>
        <w:div w:id="1924801082">
          <w:marLeft w:val="0"/>
          <w:marRight w:val="0"/>
          <w:marTop w:val="0"/>
          <w:marBottom w:val="0"/>
          <w:divBdr>
            <w:top w:val="none" w:sz="0" w:space="0" w:color="auto"/>
            <w:left w:val="none" w:sz="0" w:space="0" w:color="auto"/>
            <w:bottom w:val="none" w:sz="0" w:space="0" w:color="auto"/>
            <w:right w:val="none" w:sz="0" w:space="0" w:color="auto"/>
          </w:divBdr>
        </w:div>
        <w:div w:id="465394365">
          <w:marLeft w:val="0"/>
          <w:marRight w:val="0"/>
          <w:marTop w:val="0"/>
          <w:marBottom w:val="0"/>
          <w:divBdr>
            <w:top w:val="none" w:sz="0" w:space="0" w:color="auto"/>
            <w:left w:val="none" w:sz="0" w:space="0" w:color="auto"/>
            <w:bottom w:val="none" w:sz="0" w:space="0" w:color="auto"/>
            <w:right w:val="none" w:sz="0" w:space="0" w:color="auto"/>
          </w:divBdr>
        </w:div>
        <w:div w:id="826365071">
          <w:marLeft w:val="0"/>
          <w:marRight w:val="0"/>
          <w:marTop w:val="0"/>
          <w:marBottom w:val="0"/>
          <w:divBdr>
            <w:top w:val="none" w:sz="0" w:space="0" w:color="auto"/>
            <w:left w:val="none" w:sz="0" w:space="0" w:color="auto"/>
            <w:bottom w:val="none" w:sz="0" w:space="0" w:color="auto"/>
            <w:right w:val="none" w:sz="0" w:space="0" w:color="auto"/>
          </w:divBdr>
        </w:div>
        <w:div w:id="416363430">
          <w:marLeft w:val="0"/>
          <w:marRight w:val="0"/>
          <w:marTop w:val="0"/>
          <w:marBottom w:val="0"/>
          <w:divBdr>
            <w:top w:val="none" w:sz="0" w:space="0" w:color="auto"/>
            <w:left w:val="none" w:sz="0" w:space="0" w:color="auto"/>
            <w:bottom w:val="none" w:sz="0" w:space="0" w:color="auto"/>
            <w:right w:val="none" w:sz="0" w:space="0" w:color="auto"/>
          </w:divBdr>
        </w:div>
        <w:div w:id="2069111392">
          <w:marLeft w:val="0"/>
          <w:marRight w:val="0"/>
          <w:marTop w:val="0"/>
          <w:marBottom w:val="0"/>
          <w:divBdr>
            <w:top w:val="none" w:sz="0" w:space="0" w:color="auto"/>
            <w:left w:val="none" w:sz="0" w:space="0" w:color="auto"/>
            <w:bottom w:val="none" w:sz="0" w:space="0" w:color="auto"/>
            <w:right w:val="none" w:sz="0" w:space="0" w:color="auto"/>
          </w:divBdr>
        </w:div>
        <w:div w:id="1132556213">
          <w:marLeft w:val="0"/>
          <w:marRight w:val="0"/>
          <w:marTop w:val="0"/>
          <w:marBottom w:val="0"/>
          <w:divBdr>
            <w:top w:val="none" w:sz="0" w:space="0" w:color="auto"/>
            <w:left w:val="none" w:sz="0" w:space="0" w:color="auto"/>
            <w:bottom w:val="none" w:sz="0" w:space="0" w:color="auto"/>
            <w:right w:val="none" w:sz="0" w:space="0" w:color="auto"/>
          </w:divBdr>
        </w:div>
        <w:div w:id="734204514">
          <w:marLeft w:val="0"/>
          <w:marRight w:val="0"/>
          <w:marTop w:val="0"/>
          <w:marBottom w:val="0"/>
          <w:divBdr>
            <w:top w:val="none" w:sz="0" w:space="0" w:color="auto"/>
            <w:left w:val="none" w:sz="0" w:space="0" w:color="auto"/>
            <w:bottom w:val="none" w:sz="0" w:space="0" w:color="auto"/>
            <w:right w:val="none" w:sz="0" w:space="0" w:color="auto"/>
          </w:divBdr>
        </w:div>
        <w:div w:id="1283919622">
          <w:marLeft w:val="0"/>
          <w:marRight w:val="0"/>
          <w:marTop w:val="0"/>
          <w:marBottom w:val="0"/>
          <w:divBdr>
            <w:top w:val="none" w:sz="0" w:space="0" w:color="auto"/>
            <w:left w:val="none" w:sz="0" w:space="0" w:color="auto"/>
            <w:bottom w:val="none" w:sz="0" w:space="0" w:color="auto"/>
            <w:right w:val="none" w:sz="0" w:space="0" w:color="auto"/>
          </w:divBdr>
        </w:div>
        <w:div w:id="1793287940">
          <w:marLeft w:val="0"/>
          <w:marRight w:val="0"/>
          <w:marTop w:val="0"/>
          <w:marBottom w:val="0"/>
          <w:divBdr>
            <w:top w:val="none" w:sz="0" w:space="0" w:color="auto"/>
            <w:left w:val="none" w:sz="0" w:space="0" w:color="auto"/>
            <w:bottom w:val="none" w:sz="0" w:space="0" w:color="auto"/>
            <w:right w:val="none" w:sz="0" w:space="0" w:color="auto"/>
          </w:divBdr>
        </w:div>
      </w:divsChild>
    </w:div>
    <w:div w:id="743574533">
      <w:bodyDiv w:val="1"/>
      <w:marLeft w:val="0"/>
      <w:marRight w:val="0"/>
      <w:marTop w:val="0"/>
      <w:marBottom w:val="0"/>
      <w:divBdr>
        <w:top w:val="none" w:sz="0" w:space="0" w:color="auto"/>
        <w:left w:val="none" w:sz="0" w:space="0" w:color="auto"/>
        <w:bottom w:val="none" w:sz="0" w:space="0" w:color="auto"/>
        <w:right w:val="none" w:sz="0" w:space="0" w:color="auto"/>
      </w:divBdr>
      <w:divsChild>
        <w:div w:id="955604575">
          <w:marLeft w:val="0"/>
          <w:marRight w:val="0"/>
          <w:marTop w:val="0"/>
          <w:marBottom w:val="0"/>
          <w:divBdr>
            <w:top w:val="none" w:sz="0" w:space="0" w:color="auto"/>
            <w:left w:val="none" w:sz="0" w:space="0" w:color="auto"/>
            <w:bottom w:val="none" w:sz="0" w:space="0" w:color="auto"/>
            <w:right w:val="none" w:sz="0" w:space="0" w:color="auto"/>
          </w:divBdr>
        </w:div>
        <w:div w:id="232854867">
          <w:marLeft w:val="0"/>
          <w:marRight w:val="0"/>
          <w:marTop w:val="0"/>
          <w:marBottom w:val="0"/>
          <w:divBdr>
            <w:top w:val="none" w:sz="0" w:space="0" w:color="auto"/>
            <w:left w:val="none" w:sz="0" w:space="0" w:color="auto"/>
            <w:bottom w:val="none" w:sz="0" w:space="0" w:color="auto"/>
            <w:right w:val="none" w:sz="0" w:space="0" w:color="auto"/>
          </w:divBdr>
        </w:div>
        <w:div w:id="388577502">
          <w:marLeft w:val="0"/>
          <w:marRight w:val="0"/>
          <w:marTop w:val="0"/>
          <w:marBottom w:val="0"/>
          <w:divBdr>
            <w:top w:val="none" w:sz="0" w:space="0" w:color="auto"/>
            <w:left w:val="none" w:sz="0" w:space="0" w:color="auto"/>
            <w:bottom w:val="none" w:sz="0" w:space="0" w:color="auto"/>
            <w:right w:val="none" w:sz="0" w:space="0" w:color="auto"/>
          </w:divBdr>
        </w:div>
      </w:divsChild>
    </w:div>
    <w:div w:id="1157918650">
      <w:bodyDiv w:val="1"/>
      <w:marLeft w:val="0"/>
      <w:marRight w:val="0"/>
      <w:marTop w:val="0"/>
      <w:marBottom w:val="0"/>
      <w:divBdr>
        <w:top w:val="none" w:sz="0" w:space="0" w:color="auto"/>
        <w:left w:val="none" w:sz="0" w:space="0" w:color="auto"/>
        <w:bottom w:val="none" w:sz="0" w:space="0" w:color="auto"/>
        <w:right w:val="none" w:sz="0" w:space="0" w:color="auto"/>
      </w:divBdr>
      <w:divsChild>
        <w:div w:id="859709748">
          <w:marLeft w:val="0"/>
          <w:marRight w:val="0"/>
          <w:marTop w:val="0"/>
          <w:marBottom w:val="0"/>
          <w:divBdr>
            <w:top w:val="none" w:sz="0" w:space="0" w:color="auto"/>
            <w:left w:val="none" w:sz="0" w:space="0" w:color="auto"/>
            <w:bottom w:val="none" w:sz="0" w:space="0" w:color="auto"/>
            <w:right w:val="none" w:sz="0" w:space="0" w:color="auto"/>
          </w:divBdr>
        </w:div>
        <w:div w:id="1562906420">
          <w:marLeft w:val="0"/>
          <w:marRight w:val="0"/>
          <w:marTop w:val="0"/>
          <w:marBottom w:val="0"/>
          <w:divBdr>
            <w:top w:val="none" w:sz="0" w:space="0" w:color="auto"/>
            <w:left w:val="none" w:sz="0" w:space="0" w:color="auto"/>
            <w:bottom w:val="none" w:sz="0" w:space="0" w:color="auto"/>
            <w:right w:val="none" w:sz="0" w:space="0" w:color="auto"/>
          </w:divBdr>
        </w:div>
        <w:div w:id="1205405238">
          <w:marLeft w:val="0"/>
          <w:marRight w:val="0"/>
          <w:marTop w:val="0"/>
          <w:marBottom w:val="0"/>
          <w:divBdr>
            <w:top w:val="none" w:sz="0" w:space="0" w:color="auto"/>
            <w:left w:val="none" w:sz="0" w:space="0" w:color="auto"/>
            <w:bottom w:val="none" w:sz="0" w:space="0" w:color="auto"/>
            <w:right w:val="none" w:sz="0" w:space="0" w:color="auto"/>
          </w:divBdr>
        </w:div>
        <w:div w:id="1518077606">
          <w:marLeft w:val="0"/>
          <w:marRight w:val="0"/>
          <w:marTop w:val="0"/>
          <w:marBottom w:val="0"/>
          <w:divBdr>
            <w:top w:val="none" w:sz="0" w:space="0" w:color="auto"/>
            <w:left w:val="none" w:sz="0" w:space="0" w:color="auto"/>
            <w:bottom w:val="none" w:sz="0" w:space="0" w:color="auto"/>
            <w:right w:val="none" w:sz="0" w:space="0" w:color="auto"/>
          </w:divBdr>
        </w:div>
        <w:div w:id="352146218">
          <w:marLeft w:val="0"/>
          <w:marRight w:val="0"/>
          <w:marTop w:val="0"/>
          <w:marBottom w:val="0"/>
          <w:divBdr>
            <w:top w:val="none" w:sz="0" w:space="0" w:color="auto"/>
            <w:left w:val="none" w:sz="0" w:space="0" w:color="auto"/>
            <w:bottom w:val="none" w:sz="0" w:space="0" w:color="auto"/>
            <w:right w:val="none" w:sz="0" w:space="0" w:color="auto"/>
          </w:divBdr>
        </w:div>
        <w:div w:id="540752940">
          <w:marLeft w:val="0"/>
          <w:marRight w:val="0"/>
          <w:marTop w:val="0"/>
          <w:marBottom w:val="0"/>
          <w:divBdr>
            <w:top w:val="none" w:sz="0" w:space="0" w:color="auto"/>
            <w:left w:val="none" w:sz="0" w:space="0" w:color="auto"/>
            <w:bottom w:val="none" w:sz="0" w:space="0" w:color="auto"/>
            <w:right w:val="none" w:sz="0" w:space="0" w:color="auto"/>
          </w:divBdr>
        </w:div>
        <w:div w:id="1980649050">
          <w:marLeft w:val="0"/>
          <w:marRight w:val="0"/>
          <w:marTop w:val="0"/>
          <w:marBottom w:val="0"/>
          <w:divBdr>
            <w:top w:val="none" w:sz="0" w:space="0" w:color="auto"/>
            <w:left w:val="none" w:sz="0" w:space="0" w:color="auto"/>
            <w:bottom w:val="none" w:sz="0" w:space="0" w:color="auto"/>
            <w:right w:val="none" w:sz="0" w:space="0" w:color="auto"/>
          </w:divBdr>
        </w:div>
        <w:div w:id="2141652609">
          <w:marLeft w:val="0"/>
          <w:marRight w:val="0"/>
          <w:marTop w:val="0"/>
          <w:marBottom w:val="0"/>
          <w:divBdr>
            <w:top w:val="none" w:sz="0" w:space="0" w:color="auto"/>
            <w:left w:val="none" w:sz="0" w:space="0" w:color="auto"/>
            <w:bottom w:val="none" w:sz="0" w:space="0" w:color="auto"/>
            <w:right w:val="none" w:sz="0" w:space="0" w:color="auto"/>
          </w:divBdr>
        </w:div>
        <w:div w:id="302808154">
          <w:marLeft w:val="0"/>
          <w:marRight w:val="0"/>
          <w:marTop w:val="0"/>
          <w:marBottom w:val="0"/>
          <w:divBdr>
            <w:top w:val="none" w:sz="0" w:space="0" w:color="auto"/>
            <w:left w:val="none" w:sz="0" w:space="0" w:color="auto"/>
            <w:bottom w:val="none" w:sz="0" w:space="0" w:color="auto"/>
            <w:right w:val="none" w:sz="0" w:space="0" w:color="auto"/>
          </w:divBdr>
        </w:div>
        <w:div w:id="724762805">
          <w:marLeft w:val="0"/>
          <w:marRight w:val="0"/>
          <w:marTop w:val="0"/>
          <w:marBottom w:val="0"/>
          <w:divBdr>
            <w:top w:val="none" w:sz="0" w:space="0" w:color="auto"/>
            <w:left w:val="none" w:sz="0" w:space="0" w:color="auto"/>
            <w:bottom w:val="none" w:sz="0" w:space="0" w:color="auto"/>
            <w:right w:val="none" w:sz="0" w:space="0" w:color="auto"/>
          </w:divBdr>
        </w:div>
        <w:div w:id="425810362">
          <w:marLeft w:val="0"/>
          <w:marRight w:val="0"/>
          <w:marTop w:val="0"/>
          <w:marBottom w:val="0"/>
          <w:divBdr>
            <w:top w:val="none" w:sz="0" w:space="0" w:color="auto"/>
            <w:left w:val="none" w:sz="0" w:space="0" w:color="auto"/>
            <w:bottom w:val="none" w:sz="0" w:space="0" w:color="auto"/>
            <w:right w:val="none" w:sz="0" w:space="0" w:color="auto"/>
          </w:divBdr>
        </w:div>
        <w:div w:id="125242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1432</Characters>
  <Application>Microsoft Office Word</Application>
  <DocSecurity>4</DocSecurity>
  <Lines>11</Lines>
  <Paragraphs>3</Paragraphs>
  <ScaleCrop>false</ScaleCrop>
  <Company>js</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刘然</dc:creator>
  <cp:keywords/>
  <dc:description/>
  <cp:lastModifiedBy>ZHONGM</cp:lastModifiedBy>
  <cp:revision>2</cp:revision>
  <dcterms:created xsi:type="dcterms:W3CDTF">2024-10-28T16:01:00Z</dcterms:created>
  <dcterms:modified xsi:type="dcterms:W3CDTF">2024-10-28T16:01:00Z</dcterms:modified>
</cp:coreProperties>
</file>